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FF596" w14:textId="35723EB1" w:rsidR="00D441B4" w:rsidRPr="00D441B4" w:rsidRDefault="005338CD" w:rsidP="005338CD">
      <w:pPr>
        <w:tabs>
          <w:tab w:val="clear" w:pos="806"/>
          <w:tab w:val="clear" w:pos="1440"/>
          <w:tab w:val="clear" w:pos="2074"/>
          <w:tab w:val="clear" w:pos="2707"/>
          <w:tab w:val="clear" w:pos="3240"/>
          <w:tab w:val="clear" w:pos="3874"/>
          <w:tab w:val="clear" w:pos="4507"/>
          <w:tab w:val="center" w:pos="4680"/>
          <w:tab w:val="right" w:pos="9360"/>
        </w:tabs>
        <w:jc w:val="left"/>
        <w:rPr>
          <w:bCs/>
        </w:rPr>
      </w:pPr>
      <w:r>
        <w:tab/>
      </w:r>
      <w:r>
        <w:tab/>
      </w:r>
      <w:r>
        <w:tab/>
      </w:r>
      <w:r w:rsidR="00D441B4" w:rsidRPr="00D441B4">
        <w:rPr>
          <w:b/>
          <w:bCs/>
          <w:sz w:val="38"/>
          <w:szCs w:val="38"/>
        </w:rPr>
        <w:t>NRC INSPECTION MANUAL</w:t>
      </w:r>
      <w:r w:rsidR="00D441B4" w:rsidRPr="00D441B4">
        <w:rPr>
          <w:b/>
          <w:bCs/>
          <w:sz w:val="38"/>
          <w:szCs w:val="38"/>
        </w:rPr>
        <w:tab/>
      </w:r>
      <w:r w:rsidR="00D441B4">
        <w:rPr>
          <w:b/>
          <w:bCs/>
          <w:sz w:val="38"/>
          <w:szCs w:val="38"/>
        </w:rPr>
        <w:tab/>
      </w:r>
      <w:r w:rsidR="00D441B4">
        <w:rPr>
          <w:b/>
          <w:bCs/>
          <w:sz w:val="38"/>
          <w:szCs w:val="38"/>
        </w:rPr>
        <w:tab/>
      </w:r>
      <w:r w:rsidR="00D441B4" w:rsidRPr="00D441B4">
        <w:rPr>
          <w:bCs/>
          <w:sz w:val="20"/>
          <w:szCs w:val="20"/>
        </w:rPr>
        <w:t>ARCB</w:t>
      </w:r>
    </w:p>
    <w:p w14:paraId="735D5A46" w14:textId="77777777" w:rsidR="00D441B4" w:rsidRPr="00D441B4" w:rsidRDefault="00D441B4" w:rsidP="00D441B4">
      <w:pPr>
        <w:ind w:left="0" w:firstLine="0"/>
        <w:jc w:val="center"/>
        <w:rPr>
          <w:bCs/>
        </w:rPr>
      </w:pPr>
    </w:p>
    <w:p w14:paraId="5F5D2703" w14:textId="77777777" w:rsidR="00D441B4" w:rsidRPr="00D441B4" w:rsidRDefault="00D441B4" w:rsidP="00D441B4">
      <w:pPr>
        <w:pBdr>
          <w:top w:val="single" w:sz="6" w:space="1" w:color="auto"/>
          <w:bottom w:val="single" w:sz="6" w:space="1" w:color="auto"/>
        </w:pBdr>
        <w:ind w:left="0" w:firstLine="0"/>
        <w:jc w:val="center"/>
      </w:pPr>
      <w:r w:rsidRPr="00D441B4">
        <w:rPr>
          <w:bCs/>
        </w:rPr>
        <w:t>INSPECTION PROCEDURE 71124 ATTACHMENT 07</w:t>
      </w:r>
    </w:p>
    <w:p w14:paraId="13AE9A66" w14:textId="77777777" w:rsidR="00D441B4" w:rsidRPr="00D441B4" w:rsidRDefault="00D441B4" w:rsidP="00D441B4">
      <w:pPr>
        <w:ind w:left="0" w:firstLine="0"/>
        <w:jc w:val="center"/>
      </w:pPr>
    </w:p>
    <w:p w14:paraId="2C65FBA5" w14:textId="77777777" w:rsidR="00D441B4" w:rsidRPr="00D441B4" w:rsidRDefault="00D441B4" w:rsidP="00D441B4">
      <w:pPr>
        <w:ind w:left="0" w:firstLine="0"/>
        <w:jc w:val="center"/>
      </w:pPr>
    </w:p>
    <w:p w14:paraId="5F73B272" w14:textId="77777777" w:rsidR="00D441B4" w:rsidRPr="00D441B4" w:rsidRDefault="00D441B4" w:rsidP="00D441B4">
      <w:pPr>
        <w:ind w:left="2700" w:hanging="2700"/>
        <w:jc w:val="center"/>
      </w:pPr>
      <w:r w:rsidRPr="00D441B4">
        <w:t>RADIOLOGICAL ENVIRONMENTAL MONITORING PROGRAM</w:t>
      </w:r>
    </w:p>
    <w:p w14:paraId="7491A085" w14:textId="77777777" w:rsidR="003B204C" w:rsidRPr="00182066" w:rsidRDefault="003B204C" w:rsidP="00D441B4"/>
    <w:p w14:paraId="11C7F7BE" w14:textId="6B402705" w:rsidR="003B204C" w:rsidRDefault="005338CD" w:rsidP="005338CD">
      <w:pPr>
        <w:jc w:val="center"/>
      </w:pPr>
      <w:r w:rsidRPr="005338CD">
        <w:t>Effective Date:  January 1, 2018</w:t>
      </w:r>
    </w:p>
    <w:p w14:paraId="672C859B" w14:textId="77777777" w:rsidR="005338CD" w:rsidRDefault="005338CD" w:rsidP="003B204C"/>
    <w:p w14:paraId="320E848B" w14:textId="77777777" w:rsidR="005338CD" w:rsidRPr="0062152B" w:rsidRDefault="005338CD" w:rsidP="003B204C"/>
    <w:p w14:paraId="3F77FD61" w14:textId="77777777" w:rsidR="003B204C" w:rsidRPr="00F82E4F" w:rsidRDefault="003B204C" w:rsidP="003B204C">
      <w:r w:rsidRPr="00F82E4F">
        <w:t>INSPECT</w:t>
      </w:r>
      <w:r>
        <w:t>ABLE</w:t>
      </w:r>
      <w:r w:rsidRPr="00F82E4F">
        <w:t xml:space="preserve"> AREA:</w:t>
      </w:r>
      <w:r>
        <w:tab/>
      </w:r>
      <w:r w:rsidRPr="00F82E4F">
        <w:t xml:space="preserve">Radiological Environmental Monitoring Program  </w:t>
      </w:r>
    </w:p>
    <w:p w14:paraId="79404568" w14:textId="77777777" w:rsidR="003B204C" w:rsidRPr="00F82E4F" w:rsidRDefault="003B204C" w:rsidP="003B204C"/>
    <w:p w14:paraId="31B39873" w14:textId="77777777" w:rsidR="003B204C" w:rsidRPr="00F82E4F" w:rsidRDefault="003B204C" w:rsidP="003B204C"/>
    <w:p w14:paraId="51EC3C62" w14:textId="77777777" w:rsidR="003B204C" w:rsidRPr="003B204C" w:rsidRDefault="003B204C" w:rsidP="003B204C">
      <w:r w:rsidRPr="003B204C">
        <w:t>CORNERSTONE:</w:t>
      </w:r>
      <w:r w:rsidRPr="003B204C">
        <w:tab/>
      </w:r>
      <w:r w:rsidRPr="003B204C">
        <w:tab/>
        <w:t>Public Radiation Safety</w:t>
      </w:r>
    </w:p>
    <w:p w14:paraId="6ED555D0" w14:textId="77777777" w:rsidR="003B204C" w:rsidRPr="003B204C" w:rsidRDefault="003B204C" w:rsidP="003B204C"/>
    <w:p w14:paraId="7FEA25D5" w14:textId="77777777" w:rsidR="006661E4" w:rsidRPr="003B204C" w:rsidRDefault="006661E4" w:rsidP="006D4839">
      <w:pPr>
        <w:jc w:val="left"/>
      </w:pPr>
    </w:p>
    <w:p w14:paraId="794F7E76" w14:textId="7D340D06" w:rsidR="00A14A33" w:rsidRDefault="006661E4" w:rsidP="005379FD">
      <w:pPr>
        <w:ind w:left="2707" w:hanging="2707"/>
        <w:jc w:val="left"/>
      </w:pPr>
      <w:r w:rsidRPr="003B204C">
        <w:t>INSPECTION BASES:</w:t>
      </w:r>
      <w:r w:rsidRPr="003B204C">
        <w:tab/>
      </w:r>
      <w:r w:rsidR="005379FD">
        <w:t xml:space="preserve">10 CFR 20.1302 requires licensees take appropriate surveys of the unrestricted and controlled areas and effluents released into these areas to demonstrate compliance with the dose limits for individual members of the public.  10 CFR 50.36a requires licensees to establish Technical Specifications to keep releases of radioactive materials ALARA and provides numerical guidance via 10 CFR Part 50 Appendix I for establishing limiting conditions for operation to ensure effluents from light water cooled reactors are ALARA.  10 CFR 50 Appendix I directs licensees to establish surveillance and monitoring programs that provide data on measurable levels of radiation and radioactive material in the environment to evaluate the relationship between the quantities of radioactive materials released in effluents and resultant radiation doses to individuals from principal pathways of exposure.  </w:t>
      </w:r>
      <w:r w:rsidR="005379FD" w:rsidRPr="003B204C">
        <w:t xml:space="preserve">The scope of the REMP is specified in 10 CFR Part 50, Appendix I, </w:t>
      </w:r>
      <w:proofErr w:type="gramStart"/>
      <w:r w:rsidR="005379FD" w:rsidRPr="003B204C">
        <w:t>Section</w:t>
      </w:r>
      <w:proofErr w:type="gramEnd"/>
      <w:r w:rsidR="005379FD" w:rsidRPr="003B204C">
        <w:t xml:space="preserve"> IV, paragraph B.  </w:t>
      </w:r>
      <w:r w:rsidR="005379FD">
        <w:t>Additionally, licensees are to identify changes in the use of unrestricted areas (e.g., for agricultural purposes) to permit modifications in the monitoring program for evaluating doses to individuals from principal pathways of exposure.  Implementation of these requirements is described in plant-specific Technical Specifications and, typically, further described in licensee-controlled Offsite Dose Calculation Manuals (ODCM). </w:t>
      </w:r>
    </w:p>
    <w:p w14:paraId="18160380" w14:textId="77777777" w:rsidR="005379FD" w:rsidRDefault="005379FD" w:rsidP="005379FD">
      <w:pPr>
        <w:ind w:left="2707" w:hanging="2707"/>
        <w:jc w:val="left"/>
      </w:pPr>
    </w:p>
    <w:p w14:paraId="79B37D88" w14:textId="41AA14D2" w:rsidR="00CA459A" w:rsidRDefault="00A14A33" w:rsidP="006D4839">
      <w:pPr>
        <w:ind w:left="2707" w:hanging="2707"/>
        <w:jc w:val="left"/>
      </w:pPr>
      <w:r>
        <w:tab/>
      </w:r>
      <w:r>
        <w:tab/>
      </w:r>
      <w:r>
        <w:tab/>
      </w:r>
      <w:r>
        <w:tab/>
      </w:r>
      <w:r>
        <w:tab/>
      </w:r>
      <w:r w:rsidR="005A061F" w:rsidRPr="003B204C">
        <w:t xml:space="preserve">This inspection area verifies aspects of the Public </w:t>
      </w:r>
      <w:r w:rsidR="009B19D6" w:rsidRPr="003B204C">
        <w:t>Radiation Safety</w:t>
      </w:r>
      <w:r w:rsidR="005A061F" w:rsidRPr="003B204C">
        <w:t xml:space="preserve"> </w:t>
      </w:r>
      <w:r w:rsidR="00246F5B" w:rsidRPr="003B204C">
        <w:t>C</w:t>
      </w:r>
      <w:r w:rsidR="005A061F" w:rsidRPr="003B204C">
        <w:t xml:space="preserve">ornerstone for which there are no performance indicators to measure performance.  </w:t>
      </w:r>
    </w:p>
    <w:p w14:paraId="2E1ACFC7" w14:textId="77777777" w:rsidR="0090450E" w:rsidRDefault="0090450E" w:rsidP="006D4839">
      <w:pPr>
        <w:ind w:left="2707" w:hanging="2707"/>
        <w:jc w:val="left"/>
      </w:pPr>
    </w:p>
    <w:p w14:paraId="6AF6704D" w14:textId="77777777" w:rsidR="0090450E" w:rsidRDefault="0090450E" w:rsidP="006D4839">
      <w:pPr>
        <w:ind w:left="2707" w:hanging="2707"/>
        <w:jc w:val="left"/>
      </w:pPr>
    </w:p>
    <w:p w14:paraId="4C23C72B" w14:textId="46C0BBEE" w:rsidR="0090450E" w:rsidRDefault="0090450E" w:rsidP="006D4839">
      <w:pPr>
        <w:ind w:left="2707" w:hanging="2707"/>
        <w:jc w:val="left"/>
      </w:pPr>
      <w:r w:rsidRPr="003B204C">
        <w:t>LEVEL OF EFFORT:</w:t>
      </w:r>
      <w:r w:rsidRPr="003B204C">
        <w:tab/>
      </w:r>
      <w:r>
        <w:tab/>
      </w:r>
      <w:r w:rsidRPr="003B204C">
        <w:t xml:space="preserve">Inspect </w:t>
      </w:r>
      <w:r>
        <w:t>B</w:t>
      </w:r>
      <w:r w:rsidRPr="003B204C">
        <w:t>iennially</w:t>
      </w:r>
    </w:p>
    <w:p w14:paraId="2D4FB189" w14:textId="77777777" w:rsidR="0090450E" w:rsidRDefault="0090450E" w:rsidP="006D4839">
      <w:pPr>
        <w:ind w:left="2707" w:hanging="2707"/>
        <w:jc w:val="left"/>
      </w:pPr>
    </w:p>
    <w:p w14:paraId="128F3A30" w14:textId="77777777" w:rsidR="0090450E" w:rsidRDefault="0090450E" w:rsidP="006D4839">
      <w:pPr>
        <w:ind w:left="2707" w:hanging="2707"/>
        <w:jc w:val="left"/>
        <w:sectPr w:rsidR="0090450E" w:rsidSect="0090450E">
          <w:footerReference w:type="default" r:id="rId11"/>
          <w:pgSz w:w="12240" w:h="15840" w:code="1"/>
          <w:pgMar w:top="1440" w:right="1440" w:bottom="1440" w:left="1440" w:header="720" w:footer="720" w:gutter="0"/>
          <w:pgNumType w:start="1"/>
          <w:cols w:space="720"/>
          <w:docGrid w:linePitch="299"/>
        </w:sectPr>
      </w:pPr>
    </w:p>
    <w:p w14:paraId="2AFED62B" w14:textId="77777777" w:rsidR="0024426A" w:rsidRDefault="0024426A" w:rsidP="003B204C"/>
    <w:p w14:paraId="780F6897" w14:textId="54BC424A" w:rsidR="0024426A" w:rsidRDefault="0024426A" w:rsidP="0024426A">
      <w:r>
        <w:t xml:space="preserve">PROGRAM APPLICABILITY:  </w:t>
      </w:r>
      <w:r w:rsidR="0090450E">
        <w:t xml:space="preserve">IMC </w:t>
      </w:r>
      <w:r>
        <w:t>2515 App A</w:t>
      </w:r>
    </w:p>
    <w:p w14:paraId="022C6C36" w14:textId="77777777" w:rsidR="0024426A" w:rsidRDefault="0024426A" w:rsidP="0024426A"/>
    <w:p w14:paraId="1ABF0805" w14:textId="77777777" w:rsidR="0024426A" w:rsidRDefault="0024426A" w:rsidP="0024426A"/>
    <w:p w14:paraId="34ACDBD0" w14:textId="77777777" w:rsidR="006661E4" w:rsidRPr="003B204C" w:rsidRDefault="006661E4" w:rsidP="00BC623E">
      <w:pPr>
        <w:pStyle w:val="7112307-01"/>
        <w:jc w:val="left"/>
      </w:pPr>
      <w:r w:rsidRPr="003B204C">
        <w:t>7112</w:t>
      </w:r>
      <w:r w:rsidR="00C76ECA" w:rsidRPr="003B204C">
        <w:t>4</w:t>
      </w:r>
      <w:r w:rsidRPr="003B204C">
        <w:t>.0</w:t>
      </w:r>
      <w:r w:rsidR="005A061F" w:rsidRPr="003B204C">
        <w:t>7</w:t>
      </w:r>
      <w:r w:rsidR="003B204C">
        <w:t>-01</w:t>
      </w:r>
      <w:r w:rsidR="003B204C">
        <w:tab/>
      </w:r>
      <w:r w:rsidRPr="003B204C">
        <w:t>INSPECTION OBJECTIVES</w:t>
      </w:r>
    </w:p>
    <w:p w14:paraId="66797AD9" w14:textId="77777777" w:rsidR="006661E4" w:rsidRPr="003B204C" w:rsidRDefault="006661E4" w:rsidP="00BC623E">
      <w:pPr>
        <w:jc w:val="left"/>
      </w:pPr>
    </w:p>
    <w:p w14:paraId="5D6AD130" w14:textId="3A39F688" w:rsidR="006661E4" w:rsidRPr="003B204C" w:rsidRDefault="006661E4" w:rsidP="00BC623E">
      <w:pPr>
        <w:jc w:val="left"/>
      </w:pPr>
      <w:r w:rsidRPr="003B204C">
        <w:t>01.01</w:t>
      </w:r>
      <w:r w:rsidR="003B204C">
        <w:tab/>
      </w:r>
      <w:r w:rsidRPr="003B204C">
        <w:t xml:space="preserve">To </w:t>
      </w:r>
      <w:r w:rsidR="001E39A3" w:rsidRPr="003B204C">
        <w:t xml:space="preserve">verify </w:t>
      </w:r>
      <w:r w:rsidRPr="003B204C">
        <w:t xml:space="preserve">that the </w:t>
      </w:r>
      <w:r w:rsidR="00567166" w:rsidRPr="00F82E4F">
        <w:t xml:space="preserve">Radiological Environmental Monitoring </w:t>
      </w:r>
      <w:proofErr w:type="gramStart"/>
      <w:r w:rsidR="00567166" w:rsidRPr="00F82E4F">
        <w:t xml:space="preserve">Program  </w:t>
      </w:r>
      <w:r w:rsidR="00567166">
        <w:t>(</w:t>
      </w:r>
      <w:proofErr w:type="gramEnd"/>
      <w:r w:rsidRPr="003B204C">
        <w:t>REMP</w:t>
      </w:r>
      <w:r w:rsidR="00567166">
        <w:t>)</w:t>
      </w:r>
      <w:r w:rsidRPr="003B204C">
        <w:t xml:space="preserve"> </w:t>
      </w:r>
      <w:r w:rsidR="001E39A3" w:rsidRPr="003B204C">
        <w:t>quantifies</w:t>
      </w:r>
      <w:r w:rsidRPr="003B204C">
        <w:t xml:space="preserve"> the impact of radioactive effluent releases to the environment and sufficiently validates the integrity of the radioactive gaseous and liquid effluent release program.</w:t>
      </w:r>
    </w:p>
    <w:p w14:paraId="65E81007" w14:textId="77777777" w:rsidR="006661E4" w:rsidRPr="003B204C" w:rsidRDefault="006661E4" w:rsidP="00BC623E">
      <w:pPr>
        <w:jc w:val="left"/>
      </w:pPr>
    </w:p>
    <w:p w14:paraId="12BBC479" w14:textId="77777777" w:rsidR="006661E4" w:rsidRPr="003B204C" w:rsidRDefault="006661E4" w:rsidP="00325EEA">
      <w:pPr>
        <w:numPr>
          <w:ilvl w:val="1"/>
          <w:numId w:val="2"/>
        </w:numPr>
        <w:jc w:val="left"/>
      </w:pPr>
      <w:r w:rsidRPr="003B204C">
        <w:t>To verify that the REMP is implemented consistent</w:t>
      </w:r>
      <w:r w:rsidR="00DF4B4B" w:rsidRPr="003B204C">
        <w:t>ly</w:t>
      </w:r>
      <w:r w:rsidRPr="003B204C">
        <w:t xml:space="preserve"> with the licensee’s TS and/or ODCM</w:t>
      </w:r>
      <w:r w:rsidR="001E39A3" w:rsidRPr="003B204C">
        <w:t xml:space="preserve"> and</w:t>
      </w:r>
      <w:r w:rsidRPr="003B204C">
        <w:t xml:space="preserve"> to validate that the radioactive effluent release program meets the design objective</w:t>
      </w:r>
      <w:r w:rsidR="000A4962">
        <w:t>s</w:t>
      </w:r>
      <w:r w:rsidRPr="003B204C">
        <w:t xml:space="preserve"> in Appendix</w:t>
      </w:r>
      <w:r w:rsidR="0066415A" w:rsidRPr="003B204C">
        <w:t> </w:t>
      </w:r>
      <w:r w:rsidRPr="003B204C">
        <w:t>I to 10</w:t>
      </w:r>
      <w:r w:rsidR="0066415A" w:rsidRPr="003B204C">
        <w:t> </w:t>
      </w:r>
      <w:r w:rsidRPr="003B204C">
        <w:t>CFR</w:t>
      </w:r>
      <w:r w:rsidR="0066415A" w:rsidRPr="003B204C">
        <w:t> </w:t>
      </w:r>
      <w:r w:rsidRPr="003B204C">
        <w:t>Part</w:t>
      </w:r>
      <w:r w:rsidR="0066415A" w:rsidRPr="003B204C">
        <w:t> </w:t>
      </w:r>
      <w:r w:rsidRPr="003B204C">
        <w:t xml:space="preserve">50. </w:t>
      </w:r>
    </w:p>
    <w:p w14:paraId="486D06F6" w14:textId="77777777" w:rsidR="00213D3C" w:rsidRPr="003B204C" w:rsidRDefault="00213D3C" w:rsidP="00BC623E">
      <w:pPr>
        <w:jc w:val="left"/>
      </w:pPr>
    </w:p>
    <w:p w14:paraId="19B0DD44" w14:textId="77777777" w:rsidR="00213D3C" w:rsidRDefault="00213D3C" w:rsidP="000A4962">
      <w:pPr>
        <w:numPr>
          <w:ilvl w:val="1"/>
          <w:numId w:val="2"/>
        </w:numPr>
        <w:jc w:val="left"/>
      </w:pPr>
      <w:r w:rsidRPr="003B204C">
        <w:t xml:space="preserve">To ensure that the REMP </w:t>
      </w:r>
      <w:r w:rsidR="0066415A" w:rsidRPr="003B204C">
        <w:t>(</w:t>
      </w:r>
      <w:r w:rsidRPr="003B204C">
        <w:t>1) monitor</w:t>
      </w:r>
      <w:r w:rsidR="00EE17D6" w:rsidRPr="003B204C">
        <w:t>s</w:t>
      </w:r>
      <w:r w:rsidRPr="003B204C">
        <w:t xml:space="preserve"> </w:t>
      </w:r>
      <w:proofErr w:type="spellStart"/>
      <w:r w:rsidRPr="003B204C">
        <w:t>noneffluent</w:t>
      </w:r>
      <w:proofErr w:type="spellEnd"/>
      <w:r w:rsidRPr="003B204C">
        <w:t xml:space="preserve"> exposure pathways (e.g., onsite spills</w:t>
      </w:r>
      <w:r w:rsidR="0066415A" w:rsidRPr="003B204C">
        <w:t xml:space="preserve"> or </w:t>
      </w:r>
      <w:r w:rsidRPr="003B204C">
        <w:t xml:space="preserve">leaks, </w:t>
      </w:r>
      <w:r w:rsidR="00EE17D6" w:rsidRPr="003B204C">
        <w:t xml:space="preserve">exposures from </w:t>
      </w:r>
      <w:r w:rsidRPr="003B204C">
        <w:t>direct and scattered (</w:t>
      </w:r>
      <w:proofErr w:type="spellStart"/>
      <w:r w:rsidRPr="003B204C">
        <w:t>skyshine</w:t>
      </w:r>
      <w:proofErr w:type="spellEnd"/>
      <w:r w:rsidRPr="003B204C">
        <w:t xml:space="preserve">) radiation from </w:t>
      </w:r>
      <w:r w:rsidR="00EE17D6" w:rsidRPr="003B204C">
        <w:t xml:space="preserve">plant facilities and components), </w:t>
      </w:r>
      <w:r w:rsidR="0066415A" w:rsidRPr="003B204C">
        <w:t>(</w:t>
      </w:r>
      <w:r w:rsidR="00EE17D6" w:rsidRPr="003B204C">
        <w:t>2) is</w:t>
      </w:r>
      <w:r w:rsidRPr="003B204C">
        <w:t xml:space="preserve"> based on sound principles and assumptions</w:t>
      </w:r>
      <w:r w:rsidR="00EE17D6" w:rsidRPr="003B204C">
        <w:t xml:space="preserve">, </w:t>
      </w:r>
      <w:r w:rsidR="006F385D" w:rsidRPr="003B204C">
        <w:t xml:space="preserve">and </w:t>
      </w:r>
      <w:r w:rsidR="0066415A" w:rsidRPr="003B204C">
        <w:t>(</w:t>
      </w:r>
      <w:r w:rsidR="00EE17D6" w:rsidRPr="003B204C">
        <w:t>3)</w:t>
      </w:r>
      <w:r w:rsidR="0066415A" w:rsidRPr="003B204C">
        <w:t> </w:t>
      </w:r>
      <w:r w:rsidR="00EE17D6" w:rsidRPr="003B204C">
        <w:t>validates that doses to members of the public are within the dose limits of 10</w:t>
      </w:r>
      <w:r w:rsidR="0066415A" w:rsidRPr="003B204C">
        <w:t> </w:t>
      </w:r>
      <w:r w:rsidR="00EE17D6" w:rsidRPr="003B204C">
        <w:t>CFR</w:t>
      </w:r>
      <w:r w:rsidR="0066415A" w:rsidRPr="003B204C">
        <w:t> </w:t>
      </w:r>
      <w:r w:rsidR="00371123" w:rsidRPr="003B204C">
        <w:t>Part</w:t>
      </w:r>
      <w:r w:rsidR="0066415A" w:rsidRPr="003B204C">
        <w:t> </w:t>
      </w:r>
      <w:r w:rsidR="00EE17D6" w:rsidRPr="003B204C">
        <w:t>20</w:t>
      </w:r>
      <w:r w:rsidR="0066415A" w:rsidRPr="003B204C">
        <w:t>, “Standards for Protection against Radiation,”</w:t>
      </w:r>
      <w:r w:rsidR="00EE17D6" w:rsidRPr="003B204C">
        <w:t xml:space="preserve"> and 40</w:t>
      </w:r>
      <w:r w:rsidR="0066415A" w:rsidRPr="003B204C">
        <w:t> </w:t>
      </w:r>
      <w:r w:rsidR="00EE17D6" w:rsidRPr="003B204C">
        <w:t>CFR</w:t>
      </w:r>
      <w:r w:rsidR="0066415A" w:rsidRPr="003B204C">
        <w:t> </w:t>
      </w:r>
      <w:r w:rsidR="00371123" w:rsidRPr="003B204C">
        <w:t>Part</w:t>
      </w:r>
      <w:r w:rsidR="0066415A" w:rsidRPr="003B204C">
        <w:t> </w:t>
      </w:r>
      <w:r w:rsidR="00EE17D6" w:rsidRPr="003B204C">
        <w:t>190</w:t>
      </w:r>
      <w:r w:rsidR="0066415A" w:rsidRPr="003B204C">
        <w:t>, “Environmental Radiation Protection Standards for Nuclear Power Operations,”</w:t>
      </w:r>
      <w:r w:rsidR="00A86D8B" w:rsidRPr="003B204C">
        <w:t xml:space="preserve"> as applicable</w:t>
      </w:r>
      <w:r w:rsidR="00EE17D6" w:rsidRPr="003B204C">
        <w:t>.</w:t>
      </w:r>
    </w:p>
    <w:p w14:paraId="312541A3" w14:textId="77777777" w:rsidR="000A4962" w:rsidRDefault="000A4962" w:rsidP="000A4962">
      <w:pPr>
        <w:pStyle w:val="ListParagraph"/>
      </w:pPr>
    </w:p>
    <w:p w14:paraId="7D53CC13" w14:textId="2F960CD4" w:rsidR="000A4962" w:rsidRDefault="000A4962" w:rsidP="000A4962">
      <w:pPr>
        <w:numPr>
          <w:ilvl w:val="1"/>
          <w:numId w:val="2"/>
        </w:numPr>
        <w:jc w:val="left"/>
      </w:pPr>
      <w:r>
        <w:t xml:space="preserve">To verify that the </w:t>
      </w:r>
      <w:r w:rsidRPr="003B204C">
        <w:t>licensee is continuing to implement the voluntary NEI/Industry Ground Wate</w:t>
      </w:r>
      <w:r w:rsidR="005379FD">
        <w:t>r Protection Initiative (GPI).</w:t>
      </w:r>
    </w:p>
    <w:p w14:paraId="2A76F89C" w14:textId="77777777" w:rsidR="005379FD" w:rsidRDefault="005379FD" w:rsidP="005379FD">
      <w:pPr>
        <w:pStyle w:val="ListParagraph"/>
      </w:pPr>
    </w:p>
    <w:p w14:paraId="49A08EE0" w14:textId="1904CDC2" w:rsidR="005379FD" w:rsidRPr="003B204C" w:rsidRDefault="0039121F" w:rsidP="000A4962">
      <w:pPr>
        <w:numPr>
          <w:ilvl w:val="1"/>
          <w:numId w:val="2"/>
        </w:numPr>
        <w:jc w:val="left"/>
      </w:pPr>
      <w:r>
        <w:t xml:space="preserve">To </w:t>
      </w:r>
      <w:r w:rsidR="005379FD">
        <w:t>conduct a Routine R</w:t>
      </w:r>
      <w:r w:rsidR="005379FD" w:rsidRPr="006A2245">
        <w:t xml:space="preserve">eview of problem identification and resolution activities </w:t>
      </w:r>
      <w:r>
        <w:t>per</w:t>
      </w:r>
      <w:r w:rsidR="005379FD" w:rsidRPr="006A2245">
        <w:t xml:space="preserve"> Inspection Procedure (IP) 71152, “Problem Identification and Resolution.”</w:t>
      </w:r>
    </w:p>
    <w:p w14:paraId="12C8E825" w14:textId="77777777" w:rsidR="006661E4" w:rsidRPr="003B204C" w:rsidRDefault="006661E4" w:rsidP="00BC623E">
      <w:pPr>
        <w:jc w:val="left"/>
      </w:pPr>
    </w:p>
    <w:p w14:paraId="407E9501" w14:textId="77777777" w:rsidR="00736FCB" w:rsidRPr="003B204C" w:rsidRDefault="00736FCB" w:rsidP="00BC623E">
      <w:pPr>
        <w:jc w:val="left"/>
      </w:pPr>
    </w:p>
    <w:p w14:paraId="53271EBB" w14:textId="77777777" w:rsidR="006661E4" w:rsidRPr="003B204C" w:rsidRDefault="006661E4" w:rsidP="00BC623E">
      <w:pPr>
        <w:pStyle w:val="7112307-01"/>
        <w:jc w:val="left"/>
      </w:pPr>
      <w:r w:rsidRPr="003B204C">
        <w:t>7112</w:t>
      </w:r>
      <w:r w:rsidR="00C76ECA" w:rsidRPr="003B204C">
        <w:t>4</w:t>
      </w:r>
      <w:r w:rsidRPr="003B204C">
        <w:t>.0</w:t>
      </w:r>
      <w:r w:rsidR="005A061F" w:rsidRPr="003B204C">
        <w:t>7</w:t>
      </w:r>
      <w:r w:rsidR="00416DB5" w:rsidRPr="003B204C">
        <w:t>-02</w:t>
      </w:r>
      <w:r w:rsidR="00416DB5" w:rsidRPr="003B204C">
        <w:tab/>
      </w:r>
      <w:r w:rsidRPr="003B204C">
        <w:t>INSPECTION REQUIREMENTS</w:t>
      </w:r>
    </w:p>
    <w:p w14:paraId="1ED2BDD5" w14:textId="77777777" w:rsidR="006661E4" w:rsidRPr="003B204C" w:rsidRDefault="006661E4" w:rsidP="00BC623E">
      <w:pPr>
        <w:jc w:val="left"/>
      </w:pPr>
    </w:p>
    <w:p w14:paraId="03A9132D" w14:textId="2B13EE11" w:rsidR="006661E4" w:rsidRPr="003B204C" w:rsidRDefault="003A692E" w:rsidP="00BC623E">
      <w:pPr>
        <w:pStyle w:val="0201"/>
        <w:jc w:val="left"/>
      </w:pPr>
      <w:r>
        <w:t>02.01</w:t>
      </w:r>
      <w:r w:rsidR="00F90577" w:rsidRPr="003B204C">
        <w:tab/>
      </w:r>
      <w:r w:rsidR="00F90577" w:rsidRPr="00787DEC">
        <w:rPr>
          <w:u w:val="single"/>
        </w:rPr>
        <w:t>S</w:t>
      </w:r>
      <w:r w:rsidR="006661E4" w:rsidRPr="00787DEC">
        <w:rPr>
          <w:u w:val="single"/>
        </w:rPr>
        <w:t>ite Inspectio</w:t>
      </w:r>
      <w:r>
        <w:rPr>
          <w:u w:val="single"/>
        </w:rPr>
        <w:t>n</w:t>
      </w:r>
      <w:r w:rsidR="008778BD" w:rsidRPr="000442A4">
        <w:t xml:space="preserve"> (1 Sample)</w:t>
      </w:r>
    </w:p>
    <w:p w14:paraId="08514545" w14:textId="77777777" w:rsidR="00E02DB0" w:rsidRPr="003B204C" w:rsidRDefault="00E02DB0" w:rsidP="00BC623E">
      <w:pPr>
        <w:jc w:val="left"/>
      </w:pPr>
    </w:p>
    <w:p w14:paraId="30DB2A14" w14:textId="1246EDC0" w:rsidR="006661E4" w:rsidRPr="003B204C" w:rsidRDefault="006661E4" w:rsidP="00A03D76">
      <w:pPr>
        <w:pStyle w:val="pa"/>
        <w:numPr>
          <w:ilvl w:val="0"/>
          <w:numId w:val="7"/>
        </w:numPr>
      </w:pPr>
      <w:r w:rsidRPr="003B204C">
        <w:t>Walk</w:t>
      </w:r>
      <w:r w:rsidR="0066415A" w:rsidRPr="003B204C">
        <w:t xml:space="preserve"> </w:t>
      </w:r>
      <w:r w:rsidRPr="003B204C">
        <w:t xml:space="preserve">down </w:t>
      </w:r>
      <w:r w:rsidR="004D79D0">
        <w:t>3-5</w:t>
      </w:r>
      <w:r w:rsidR="00F90577" w:rsidRPr="003B204C">
        <w:t xml:space="preserve"> </w:t>
      </w:r>
      <w:r w:rsidR="003200F1" w:rsidRPr="003B204C">
        <w:t xml:space="preserve">of the air sampling stations </w:t>
      </w:r>
      <w:r w:rsidRPr="003B204C">
        <w:t xml:space="preserve">and </w:t>
      </w:r>
      <w:r w:rsidR="004D79D0">
        <w:t>3-5</w:t>
      </w:r>
      <w:r w:rsidRPr="003B204C">
        <w:t xml:space="preserve"> of the </w:t>
      </w:r>
      <w:proofErr w:type="spellStart"/>
      <w:r w:rsidR="000B7E44" w:rsidRPr="003B204C">
        <w:t>thermoluminescent</w:t>
      </w:r>
      <w:proofErr w:type="spellEnd"/>
      <w:r w:rsidR="000B7E44" w:rsidRPr="003B204C">
        <w:t xml:space="preserve"> </w:t>
      </w:r>
      <w:r w:rsidRPr="003B204C">
        <w:t xml:space="preserve">dosimeter (TLD) monitoring stations to determine whether they are located as described in the </w:t>
      </w:r>
      <w:r w:rsidR="006A731D" w:rsidRPr="003B204C">
        <w:t>ODCM</w:t>
      </w:r>
      <w:r w:rsidRPr="003B204C">
        <w:t xml:space="preserve"> and to determine the equipment material condition.</w:t>
      </w:r>
      <w:r w:rsidR="003200F1" w:rsidRPr="003B204C">
        <w:t xml:space="preserve"> </w:t>
      </w:r>
      <w:r w:rsidR="0069783F" w:rsidRPr="003B204C">
        <w:t xml:space="preserve"> </w:t>
      </w:r>
    </w:p>
    <w:p w14:paraId="62EA1C14" w14:textId="77777777" w:rsidR="0069783F" w:rsidRPr="003B204C" w:rsidRDefault="0069783F" w:rsidP="00BC623E">
      <w:pPr>
        <w:pStyle w:val="pa"/>
        <w:numPr>
          <w:ilvl w:val="0"/>
          <w:numId w:val="0"/>
        </w:numPr>
        <w:ind w:left="806"/>
      </w:pPr>
    </w:p>
    <w:p w14:paraId="2871EB4A" w14:textId="40489450" w:rsidR="0004470E" w:rsidRDefault="000541D7" w:rsidP="00325EEA">
      <w:pPr>
        <w:pStyle w:val="pa"/>
        <w:numPr>
          <w:ilvl w:val="0"/>
          <w:numId w:val="7"/>
        </w:numPr>
      </w:pPr>
      <w:r w:rsidRPr="003B204C">
        <w:t xml:space="preserve">For the air samplers selected above, review the calibration and maintenance records to verify that they demonstrate adequate operability of these components.  </w:t>
      </w:r>
    </w:p>
    <w:p w14:paraId="317F5CFA" w14:textId="77777777" w:rsidR="0004470E" w:rsidRDefault="0004470E" w:rsidP="00EC1111">
      <w:pPr>
        <w:pStyle w:val="ListParagraph"/>
      </w:pPr>
    </w:p>
    <w:p w14:paraId="4A440ACD" w14:textId="402C8AFB" w:rsidR="000541D7" w:rsidRPr="003B204C" w:rsidRDefault="00EC1111" w:rsidP="00325EEA">
      <w:pPr>
        <w:pStyle w:val="pa"/>
        <w:numPr>
          <w:ilvl w:val="0"/>
          <w:numId w:val="7"/>
        </w:numPr>
      </w:pPr>
      <w:r>
        <w:t>R</w:t>
      </w:r>
      <w:r w:rsidRPr="003B204C">
        <w:t>eview</w:t>
      </w:r>
      <w:r w:rsidR="000541D7" w:rsidRPr="003B204C">
        <w:t xml:space="preserve"> the calibration </w:t>
      </w:r>
      <w:r w:rsidR="0004470E">
        <w:t>&amp;</w:t>
      </w:r>
      <w:r w:rsidR="0004470E" w:rsidRPr="003B204C">
        <w:t xml:space="preserve"> </w:t>
      </w:r>
      <w:r w:rsidR="000541D7" w:rsidRPr="003B204C">
        <w:t>maintenance</w:t>
      </w:r>
      <w:r w:rsidR="0004470E">
        <w:t xml:space="preserve"> (or volume verification)</w:t>
      </w:r>
      <w:r w:rsidR="000541D7" w:rsidRPr="003B204C">
        <w:t xml:space="preserve"> records of up to </w:t>
      </w:r>
      <w:r w:rsidR="0069783F" w:rsidRPr="003B204C">
        <w:t>five</w:t>
      </w:r>
      <w:r w:rsidR="000541D7" w:rsidRPr="003B204C">
        <w:t xml:space="preserve"> composite water samplers</w:t>
      </w:r>
      <w:r w:rsidR="0004470E">
        <w:t>,</w:t>
      </w:r>
      <w:r w:rsidR="00906302" w:rsidRPr="003B204C">
        <w:t xml:space="preserve"> as available</w:t>
      </w:r>
      <w:r w:rsidR="000541D7" w:rsidRPr="003B204C">
        <w:t>.</w:t>
      </w:r>
    </w:p>
    <w:p w14:paraId="2F5F24A7" w14:textId="77777777" w:rsidR="007373FB" w:rsidRPr="003B204C" w:rsidRDefault="007373FB" w:rsidP="00BC623E">
      <w:pPr>
        <w:pStyle w:val="pa"/>
        <w:numPr>
          <w:ilvl w:val="0"/>
          <w:numId w:val="0"/>
        </w:numPr>
        <w:ind w:left="806"/>
      </w:pPr>
    </w:p>
    <w:p w14:paraId="700DEDC3" w14:textId="77777777" w:rsidR="007373FB" w:rsidRPr="003B204C" w:rsidRDefault="007373FB" w:rsidP="00325EEA">
      <w:pPr>
        <w:pStyle w:val="pa"/>
        <w:numPr>
          <w:ilvl w:val="0"/>
          <w:numId w:val="7"/>
        </w:numPr>
      </w:pPr>
      <w:r w:rsidRPr="003B204C">
        <w:t>Verify that the licensee has initiated sampling of other appropriate media upon loss of a required sampling station.</w:t>
      </w:r>
    </w:p>
    <w:p w14:paraId="61673C89" w14:textId="77777777" w:rsidR="00E02DB0" w:rsidRPr="003B204C" w:rsidRDefault="00E02DB0" w:rsidP="00BC623E">
      <w:pPr>
        <w:pStyle w:val="pa"/>
        <w:numPr>
          <w:ilvl w:val="0"/>
          <w:numId w:val="0"/>
        </w:numPr>
        <w:ind w:left="806"/>
      </w:pPr>
    </w:p>
    <w:p w14:paraId="10E761DB" w14:textId="77777777" w:rsidR="0090450E" w:rsidRDefault="006661E4" w:rsidP="00325EEA">
      <w:pPr>
        <w:pStyle w:val="pa"/>
        <w:numPr>
          <w:ilvl w:val="0"/>
          <w:numId w:val="7"/>
        </w:numPr>
        <w:sectPr w:rsidR="0090450E" w:rsidSect="00681A32">
          <w:footerReference w:type="default" r:id="rId12"/>
          <w:pgSz w:w="12240" w:h="15840" w:code="1"/>
          <w:pgMar w:top="1440" w:right="1440" w:bottom="1440" w:left="1440" w:header="720" w:footer="720" w:gutter="0"/>
          <w:cols w:space="720"/>
          <w:docGrid w:linePitch="299"/>
        </w:sectPr>
      </w:pPr>
      <w:r w:rsidRPr="003B204C">
        <w:t xml:space="preserve">Observe the collection and preparation of </w:t>
      </w:r>
      <w:r w:rsidR="004D79D0">
        <w:t>2-4</w:t>
      </w:r>
      <w:r w:rsidR="003200F1" w:rsidRPr="003B204C">
        <w:t xml:space="preserve"> </w:t>
      </w:r>
      <w:r w:rsidRPr="003B204C">
        <w:t xml:space="preserve">environmental samples </w:t>
      </w:r>
      <w:r w:rsidR="003200F1" w:rsidRPr="003B204C">
        <w:t>fro</w:t>
      </w:r>
      <w:r w:rsidR="0076462C">
        <w:t>m different environmental media and v</w:t>
      </w:r>
      <w:r w:rsidRPr="003B204C">
        <w:t xml:space="preserve">erify that environmental sampling is representative of the release pathways as specified in the </w:t>
      </w:r>
      <w:r w:rsidR="006A731D" w:rsidRPr="003B204C">
        <w:t>ODCM</w:t>
      </w:r>
      <w:r w:rsidRPr="003B204C">
        <w:t xml:space="preserve"> and that sampling techniques are in accordance with procedures.</w:t>
      </w:r>
    </w:p>
    <w:p w14:paraId="183F43C7" w14:textId="329493B3" w:rsidR="008361D7" w:rsidRDefault="00EC1111" w:rsidP="00150590">
      <w:pPr>
        <w:pStyle w:val="pa"/>
        <w:numPr>
          <w:ilvl w:val="0"/>
          <w:numId w:val="7"/>
        </w:numPr>
      </w:pPr>
      <w:r>
        <w:lastRenderedPageBreak/>
        <w:t>Based on direct observation and review of records, v</w:t>
      </w:r>
      <w:r w:rsidR="006661E4" w:rsidRPr="003B204C">
        <w:t>erify that the meteorological instruments are operable, calibrated, and maintained in accordance with guidance contained in the</w:t>
      </w:r>
      <w:r w:rsidR="006A731D" w:rsidRPr="003B204C">
        <w:t xml:space="preserve"> FSAR</w:t>
      </w:r>
      <w:r w:rsidR="006F385D" w:rsidRPr="003B204C">
        <w:t>,</w:t>
      </w:r>
      <w:r w:rsidR="006661E4" w:rsidRPr="003B204C">
        <w:t xml:space="preserve"> and licensee procedures.</w:t>
      </w:r>
      <w:r>
        <w:t xml:space="preserve">  Verify that the meteorological data readout and recording instruments in the control room and, if applicable, at the tower are operable</w:t>
      </w:r>
      <w:r w:rsidR="006661E4" w:rsidRPr="003B204C">
        <w:t xml:space="preserve">  </w:t>
      </w:r>
    </w:p>
    <w:p w14:paraId="08F31106" w14:textId="77777777" w:rsidR="00150590" w:rsidRPr="003B204C" w:rsidRDefault="00150590" w:rsidP="00150590">
      <w:pPr>
        <w:pStyle w:val="pa"/>
        <w:numPr>
          <w:ilvl w:val="0"/>
          <w:numId w:val="0"/>
        </w:numPr>
        <w:ind w:left="806"/>
      </w:pPr>
    </w:p>
    <w:p w14:paraId="4E17FB0A" w14:textId="5754BA67" w:rsidR="00CA459A" w:rsidRPr="00284F2C" w:rsidRDefault="005E67AF" w:rsidP="00325EEA">
      <w:pPr>
        <w:pStyle w:val="pa"/>
        <w:numPr>
          <w:ilvl w:val="0"/>
          <w:numId w:val="7"/>
        </w:numPr>
      </w:pPr>
      <w:r w:rsidRPr="00284F2C">
        <w:t xml:space="preserve">As available, </w:t>
      </w:r>
      <w:r w:rsidR="00284F2C">
        <w:t xml:space="preserve">evaluate the licensee’s actions in response to </w:t>
      </w:r>
      <w:r w:rsidR="00A213A4" w:rsidRPr="00284F2C">
        <w:t>3-5</w:t>
      </w:r>
      <w:r w:rsidR="006661E4" w:rsidRPr="00284F2C">
        <w:t xml:space="preserve"> event</w:t>
      </w:r>
      <w:r w:rsidR="00DE130A" w:rsidRPr="00284F2C">
        <w:t>s</w:t>
      </w:r>
      <w:r w:rsidR="006661E4" w:rsidRPr="00284F2C">
        <w:t xml:space="preserve"> </w:t>
      </w:r>
      <w:r w:rsidR="0069783F" w:rsidRPr="00284F2C">
        <w:t xml:space="preserve">that </w:t>
      </w:r>
      <w:r w:rsidR="006661E4" w:rsidRPr="00284F2C">
        <w:t>involved a missed sample, inoperable sampler, lost TLD, or anomalous measurement</w:t>
      </w:r>
      <w:r w:rsidR="00BD2A3C" w:rsidRPr="00284F2C">
        <w:t>.</w:t>
      </w:r>
    </w:p>
    <w:p w14:paraId="03160950" w14:textId="77777777" w:rsidR="0004470E" w:rsidRDefault="0004470E" w:rsidP="00EC1111">
      <w:pPr>
        <w:pStyle w:val="ListParagraph"/>
      </w:pPr>
    </w:p>
    <w:p w14:paraId="761AF42B" w14:textId="129CBE83" w:rsidR="0004470E" w:rsidRDefault="0004470E" w:rsidP="00325EEA">
      <w:pPr>
        <w:pStyle w:val="pa"/>
        <w:numPr>
          <w:ilvl w:val="0"/>
          <w:numId w:val="7"/>
        </w:numPr>
      </w:pPr>
      <w:r>
        <w:t>Review the licensee’s assessment of any positive sample results (i.e., licensed radioactive material was detected above the lower limits of detection or LLDs).</w:t>
      </w:r>
    </w:p>
    <w:p w14:paraId="09068EFF" w14:textId="77777777" w:rsidR="009218B4" w:rsidRDefault="009218B4" w:rsidP="00730804">
      <w:pPr>
        <w:pStyle w:val="pa"/>
        <w:numPr>
          <w:ilvl w:val="0"/>
          <w:numId w:val="0"/>
        </w:numPr>
        <w:ind w:left="806" w:hanging="532"/>
      </w:pPr>
    </w:p>
    <w:p w14:paraId="67EC055D" w14:textId="1C885456" w:rsidR="00DC70DA" w:rsidRPr="003B204C" w:rsidRDefault="00DE130A" w:rsidP="00325EEA">
      <w:pPr>
        <w:pStyle w:val="pa"/>
        <w:numPr>
          <w:ilvl w:val="0"/>
          <w:numId w:val="7"/>
        </w:numPr>
      </w:pPr>
      <w:r w:rsidRPr="003B204C">
        <w:t xml:space="preserve">Select </w:t>
      </w:r>
      <w:r w:rsidR="00A213A4">
        <w:t>3-5</w:t>
      </w:r>
      <w:r w:rsidRPr="003B204C">
        <w:t xml:space="preserve"> structures, systems, or components (</w:t>
      </w:r>
      <w:r w:rsidR="00DC70DA" w:rsidRPr="003B204C">
        <w:t>SSCs</w:t>
      </w:r>
      <w:r w:rsidRPr="003B204C">
        <w:t>)</w:t>
      </w:r>
      <w:r w:rsidR="00DC70DA" w:rsidRPr="003B204C">
        <w:t xml:space="preserve"> that involve or could reasonably involve licensed material for which there is a credible mechanism for licensed material to reach ground water</w:t>
      </w:r>
      <w:r w:rsidRPr="003B204C">
        <w:t xml:space="preserve">, and verify </w:t>
      </w:r>
      <w:r w:rsidR="0069783F" w:rsidRPr="003B204C">
        <w:t xml:space="preserve">that </w:t>
      </w:r>
      <w:r w:rsidRPr="003B204C">
        <w:t>the licensee has implemented a sampling and monitoring program sufficient to detect leakage of these SSCs to ground water</w:t>
      </w:r>
      <w:r w:rsidR="00E328B4" w:rsidRPr="003B204C">
        <w:t>.</w:t>
      </w:r>
    </w:p>
    <w:p w14:paraId="6496AF9A" w14:textId="77777777" w:rsidR="00E328B4" w:rsidRPr="003B204C" w:rsidRDefault="00E328B4" w:rsidP="00BC623E">
      <w:pPr>
        <w:pStyle w:val="pa"/>
        <w:numPr>
          <w:ilvl w:val="0"/>
          <w:numId w:val="0"/>
        </w:numPr>
        <w:ind w:left="806"/>
      </w:pPr>
    </w:p>
    <w:p w14:paraId="03DB9997" w14:textId="1F7B3E76" w:rsidR="00DC70DA" w:rsidRPr="003B204C" w:rsidRDefault="00582DB2" w:rsidP="00A03D76">
      <w:pPr>
        <w:pStyle w:val="pa"/>
        <w:numPr>
          <w:ilvl w:val="0"/>
          <w:numId w:val="7"/>
        </w:numPr>
      </w:pPr>
      <w:r w:rsidRPr="003B204C">
        <w:t xml:space="preserve">Verify that </w:t>
      </w:r>
      <w:r w:rsidR="00E328B4" w:rsidRPr="003B204C">
        <w:t>records</w:t>
      </w:r>
      <w:r w:rsidR="0070160A">
        <w:t xml:space="preserve"> developed since the last inspection that are </w:t>
      </w:r>
      <w:r w:rsidR="0092726A">
        <w:t xml:space="preserve">important to decommissioning </w:t>
      </w:r>
      <w:r w:rsidRPr="003B204C">
        <w:t>are</w:t>
      </w:r>
      <w:r w:rsidR="00E328B4" w:rsidRPr="003B204C">
        <w:t xml:space="preserve"> retained </w:t>
      </w:r>
      <w:r w:rsidR="00BD2A3C">
        <w:t>as required</w:t>
      </w:r>
      <w:r w:rsidRPr="003B204C">
        <w:t>.</w:t>
      </w:r>
    </w:p>
    <w:p w14:paraId="1A9FE5E3" w14:textId="77777777" w:rsidR="00DC70DA" w:rsidRPr="003B204C" w:rsidRDefault="00DC70DA" w:rsidP="00BC623E">
      <w:pPr>
        <w:pStyle w:val="pa"/>
        <w:numPr>
          <w:ilvl w:val="0"/>
          <w:numId w:val="0"/>
        </w:numPr>
        <w:ind w:left="806"/>
      </w:pPr>
    </w:p>
    <w:p w14:paraId="0342F981" w14:textId="3CEA965B" w:rsidR="006661E4" w:rsidRPr="003B204C" w:rsidRDefault="006661E4" w:rsidP="00325EEA">
      <w:pPr>
        <w:pStyle w:val="pa"/>
        <w:numPr>
          <w:ilvl w:val="0"/>
          <w:numId w:val="7"/>
        </w:numPr>
      </w:pPr>
      <w:r w:rsidRPr="003B204C">
        <w:t>Review any significant changes ma</w:t>
      </w:r>
      <w:r w:rsidR="00BD2A3C">
        <w:t>de by the licensee to the ODCM and r</w:t>
      </w:r>
      <w:r w:rsidRPr="003B204C">
        <w:t>eview technical justifications for any changed sampling locations.  Verify that the licensee performed the reviews required to ensure that the changes did not affect its ability to monitor the impacts of radioactive effluent releases on the environment.</w:t>
      </w:r>
    </w:p>
    <w:p w14:paraId="3B6A7AA4" w14:textId="77777777" w:rsidR="00E02DB0" w:rsidRPr="003B204C" w:rsidRDefault="00E02DB0" w:rsidP="00BC623E">
      <w:pPr>
        <w:pStyle w:val="pa"/>
        <w:numPr>
          <w:ilvl w:val="0"/>
          <w:numId w:val="0"/>
        </w:numPr>
        <w:ind w:left="806"/>
      </w:pPr>
    </w:p>
    <w:p w14:paraId="1CFB7084" w14:textId="77777777" w:rsidR="0004470E" w:rsidRDefault="006661E4" w:rsidP="00325EEA">
      <w:pPr>
        <w:pStyle w:val="pa"/>
        <w:numPr>
          <w:ilvl w:val="0"/>
          <w:numId w:val="7"/>
        </w:numPr>
      </w:pPr>
      <w:r w:rsidRPr="003B204C">
        <w:t>Verify that the appropriate detectio</w:t>
      </w:r>
      <w:r w:rsidR="00BD2A3C">
        <w:t xml:space="preserve">n sensitivities </w:t>
      </w:r>
      <w:r w:rsidRPr="003B204C">
        <w:t xml:space="preserve">are </w:t>
      </w:r>
      <w:r w:rsidR="0069783F" w:rsidRPr="003B204C">
        <w:t xml:space="preserve">used </w:t>
      </w:r>
      <w:r w:rsidRPr="003B204C">
        <w:t xml:space="preserve">for counting samples </w:t>
      </w:r>
      <w:r w:rsidR="00BD2A3C">
        <w:t>to satisfy TS/ODCM required LLDs</w:t>
      </w:r>
      <w:r w:rsidRPr="003B204C">
        <w:t xml:space="preserve">.  </w:t>
      </w:r>
    </w:p>
    <w:p w14:paraId="3F4BFE56" w14:textId="77777777" w:rsidR="0004470E" w:rsidRDefault="0004470E" w:rsidP="00EC1111">
      <w:pPr>
        <w:pStyle w:val="ListParagraph"/>
      </w:pPr>
    </w:p>
    <w:p w14:paraId="7EEFC8EF" w14:textId="36668259" w:rsidR="00E02DB0" w:rsidRDefault="006661E4" w:rsidP="00325EEA">
      <w:pPr>
        <w:pStyle w:val="pa"/>
        <w:numPr>
          <w:ilvl w:val="0"/>
          <w:numId w:val="7"/>
        </w:numPr>
      </w:pPr>
      <w:r w:rsidRPr="003B204C">
        <w:t xml:space="preserve">Review quality control charts for maintaining radiation measurement instrument status and actions taken for </w:t>
      </w:r>
      <w:r w:rsidR="00BD2A3C">
        <w:t>degrading detector performance.</w:t>
      </w:r>
    </w:p>
    <w:p w14:paraId="11E4FD28" w14:textId="77777777" w:rsidR="0004470E" w:rsidRDefault="0004470E" w:rsidP="00EC1111">
      <w:pPr>
        <w:pStyle w:val="ListParagraph"/>
      </w:pPr>
    </w:p>
    <w:p w14:paraId="2C36339B" w14:textId="3A7C7D53" w:rsidR="0004470E" w:rsidRPr="003B204C" w:rsidRDefault="0004470E" w:rsidP="00325EEA">
      <w:pPr>
        <w:pStyle w:val="pa"/>
        <w:numPr>
          <w:ilvl w:val="0"/>
          <w:numId w:val="7"/>
        </w:numPr>
      </w:pPr>
      <w:r>
        <w:t>If the licensee uses a vendor laboratory to analyze REMP samples, verify that the vendor’s quality control program, including inter-laboratory comparison programs, is adequate.</w:t>
      </w:r>
    </w:p>
    <w:p w14:paraId="4FFC641F" w14:textId="77777777" w:rsidR="006F5B78" w:rsidRPr="003B204C" w:rsidRDefault="006F5B78" w:rsidP="00BC623E">
      <w:pPr>
        <w:pStyle w:val="pa"/>
        <w:numPr>
          <w:ilvl w:val="0"/>
          <w:numId w:val="0"/>
        </w:numPr>
        <w:ind w:left="806"/>
      </w:pPr>
    </w:p>
    <w:p w14:paraId="2099D74D" w14:textId="19C890E2" w:rsidR="006661E4" w:rsidRPr="003B204C" w:rsidRDefault="006661E4" w:rsidP="00325EEA">
      <w:pPr>
        <w:pStyle w:val="pa"/>
        <w:numPr>
          <w:ilvl w:val="0"/>
          <w:numId w:val="7"/>
        </w:numPr>
      </w:pPr>
      <w:r w:rsidRPr="003B204C">
        <w:t>Review the results of the licensees’ inter</w:t>
      </w:r>
      <w:r w:rsidR="006400AB">
        <w:t>-</w:t>
      </w:r>
      <w:r w:rsidRPr="003B204C">
        <w:t>laboratory comparison program to verify the adequacy of environmental sample analy</w:t>
      </w:r>
      <w:r w:rsidR="00EC1111">
        <w:t xml:space="preserve">ses performed by the licensee.  </w:t>
      </w:r>
      <w:r w:rsidRPr="003B204C">
        <w:t>If applicable, review the licensee’s determination of any bias to the data and the overall effect on the REMP.</w:t>
      </w:r>
    </w:p>
    <w:p w14:paraId="48E556E0" w14:textId="77777777" w:rsidR="006F5B78" w:rsidRPr="003B204C" w:rsidRDefault="006F5B78" w:rsidP="00BC623E">
      <w:pPr>
        <w:jc w:val="left"/>
      </w:pPr>
    </w:p>
    <w:p w14:paraId="2142A82B" w14:textId="36A0DC9D" w:rsidR="00DB5625" w:rsidRDefault="00D64B7D" w:rsidP="00BC623E">
      <w:pPr>
        <w:pStyle w:val="0201"/>
        <w:jc w:val="left"/>
      </w:pPr>
      <w:r>
        <w:t>02.02</w:t>
      </w:r>
      <w:r w:rsidR="00100EB5" w:rsidRPr="003B204C">
        <w:tab/>
      </w:r>
      <w:r w:rsidR="00100EB5" w:rsidRPr="003B204C">
        <w:rPr>
          <w:u w:val="single"/>
        </w:rPr>
        <w:t>GPI Implementatio</w:t>
      </w:r>
      <w:r>
        <w:rPr>
          <w:u w:val="single"/>
        </w:rPr>
        <w:t>n</w:t>
      </w:r>
      <w:r w:rsidR="00100EB5" w:rsidRPr="003B204C">
        <w:t xml:space="preserve"> </w:t>
      </w:r>
      <w:r w:rsidR="008778BD" w:rsidRPr="000442A4">
        <w:t>(1 Sample)</w:t>
      </w:r>
    </w:p>
    <w:p w14:paraId="153A3677" w14:textId="77777777" w:rsidR="00DB5625" w:rsidRDefault="00DB5625" w:rsidP="00BC623E">
      <w:pPr>
        <w:pStyle w:val="0201"/>
        <w:jc w:val="left"/>
      </w:pPr>
    </w:p>
    <w:p w14:paraId="75483996" w14:textId="77777777" w:rsidR="00100EB5" w:rsidRPr="003B204C" w:rsidRDefault="00100EB5" w:rsidP="00BC623E">
      <w:pPr>
        <w:pStyle w:val="pa"/>
        <w:numPr>
          <w:ilvl w:val="0"/>
          <w:numId w:val="0"/>
        </w:numPr>
        <w:ind w:left="274"/>
      </w:pPr>
      <w:r w:rsidRPr="003B204C">
        <w:t xml:space="preserve">Verify that the licensee is continuing to implement the voluntary NEI/Industry Ground Water Protection Initiative (GPI).  Since the last inspection: </w:t>
      </w:r>
    </w:p>
    <w:p w14:paraId="6ED61ED5" w14:textId="77777777" w:rsidR="00100EB5" w:rsidRPr="003B204C" w:rsidRDefault="00100EB5" w:rsidP="00BC623E">
      <w:pPr>
        <w:jc w:val="left"/>
      </w:pPr>
    </w:p>
    <w:p w14:paraId="37779895" w14:textId="77777777" w:rsidR="0090450E" w:rsidRDefault="00100EB5" w:rsidP="00453E92">
      <w:pPr>
        <w:pStyle w:val="pa"/>
        <w:numPr>
          <w:ilvl w:val="0"/>
          <w:numId w:val="3"/>
        </w:numPr>
        <w:sectPr w:rsidR="0090450E" w:rsidSect="00681A32">
          <w:footerReference w:type="default" r:id="rId13"/>
          <w:pgSz w:w="12240" w:h="15840" w:code="1"/>
          <w:pgMar w:top="1440" w:right="1440" w:bottom="1440" w:left="1440" w:header="720" w:footer="720" w:gutter="0"/>
          <w:cols w:space="720"/>
          <w:docGrid w:linePitch="299"/>
        </w:sectPr>
      </w:pPr>
      <w:bookmarkStart w:id="0" w:name="_GoBack"/>
      <w:bookmarkEnd w:id="0"/>
      <w:r w:rsidRPr="003B204C">
        <w:t>Review monitoring results of the GPI to determine if the licensee has implemented its program as intended, and to identify any anomalous results.  For anomalous results or missed samples, determine if the licensee has identified and addressed deficiencies through its corrective action program.</w:t>
      </w:r>
    </w:p>
    <w:p w14:paraId="6B239D4A" w14:textId="1D3CAA2C" w:rsidR="00100EB5" w:rsidRDefault="005C0A06" w:rsidP="00730804">
      <w:pPr>
        <w:pStyle w:val="pa"/>
        <w:numPr>
          <w:ilvl w:val="0"/>
          <w:numId w:val="3"/>
        </w:numPr>
      </w:pPr>
      <w:r>
        <w:lastRenderedPageBreak/>
        <w:t>If applicable, d</w:t>
      </w:r>
      <w:r w:rsidR="009B432D" w:rsidRPr="00741794">
        <w:t xml:space="preserve">ocument observations of incomplete or discontinued elements of the licensee’s implementation of the GPI in the inspection report in Section 4OA5. </w:t>
      </w:r>
      <w:r w:rsidR="009B432D" w:rsidRPr="0092726A">
        <w:rPr>
          <w:i/>
        </w:rPr>
        <w:t>[C1]</w:t>
      </w:r>
      <w:r w:rsidR="009B432D">
        <w:br/>
      </w:r>
      <w:r w:rsidR="009B432D" w:rsidRPr="00741794">
        <w:t>If the licensee is not implementing the minimization of contamination and survey aspects of the GPI, review licensee methods of meeting the Decommissioning Planning Rule requirements</w:t>
      </w:r>
      <w:r w:rsidR="009B432D">
        <w:t>.</w:t>
      </w:r>
    </w:p>
    <w:p w14:paraId="505605DC" w14:textId="77777777" w:rsidR="009B432D" w:rsidRPr="003B204C" w:rsidRDefault="009B432D" w:rsidP="009B432D">
      <w:pPr>
        <w:pStyle w:val="pa"/>
        <w:numPr>
          <w:ilvl w:val="0"/>
          <w:numId w:val="0"/>
        </w:numPr>
        <w:ind w:left="806"/>
      </w:pPr>
    </w:p>
    <w:p w14:paraId="0F2BAB02" w14:textId="77777777" w:rsidR="00100EB5" w:rsidRDefault="00100EB5" w:rsidP="00520CA9">
      <w:pPr>
        <w:pStyle w:val="pa"/>
        <w:numPr>
          <w:ilvl w:val="0"/>
          <w:numId w:val="3"/>
        </w:numPr>
      </w:pPr>
      <w:r w:rsidRPr="003B204C">
        <w:t>Review identified leakage or spill events and entries made into 10 CFR 50.75 (g) records.  Review evaluations of leaks or spills, and review any remediation actions taken for effectiveness. Review onsite contamination events involving contamination of ground water (L</w:t>
      </w:r>
      <w:r w:rsidR="0092726A">
        <w:t>essons Learned Task Force (L</w:t>
      </w:r>
      <w:r w:rsidRPr="003B204C">
        <w:t xml:space="preserve">LTF recommendation #17).  Assess whether the source of the leak or spill was identified and mitigated. </w:t>
      </w:r>
    </w:p>
    <w:p w14:paraId="2A0B6683" w14:textId="77777777" w:rsidR="00EC1111" w:rsidRDefault="00EC1111" w:rsidP="00EC1111">
      <w:pPr>
        <w:pStyle w:val="ListParagraph"/>
      </w:pPr>
    </w:p>
    <w:p w14:paraId="3E6B00D3" w14:textId="323D013B" w:rsidR="00EC1111" w:rsidRPr="003B204C" w:rsidRDefault="00EC1111" w:rsidP="00EC1111">
      <w:pPr>
        <w:pStyle w:val="pa"/>
        <w:numPr>
          <w:ilvl w:val="0"/>
          <w:numId w:val="0"/>
        </w:numPr>
        <w:ind w:left="806"/>
      </w:pPr>
      <w:r>
        <w:t>Note:  Limited, defined documentation of the review of abnormal or unplanned radioactive discharges (e.g., leaks and spills) should be provided in the inspection reports (see also IMC 0612) (LLTF recommendation #19)</w:t>
      </w:r>
    </w:p>
    <w:p w14:paraId="194C164A" w14:textId="77777777" w:rsidR="00100EB5" w:rsidRPr="003B204C" w:rsidRDefault="00100EB5" w:rsidP="00BC623E">
      <w:pPr>
        <w:jc w:val="left"/>
      </w:pPr>
    </w:p>
    <w:p w14:paraId="6C6D2F7C" w14:textId="77777777" w:rsidR="008010C3" w:rsidRDefault="00100EB5" w:rsidP="00325EEA">
      <w:pPr>
        <w:pStyle w:val="pa"/>
        <w:numPr>
          <w:ilvl w:val="0"/>
          <w:numId w:val="3"/>
        </w:numPr>
      </w:pPr>
      <w:r w:rsidRPr="003B204C">
        <w:t>For unmonitored spills, leaks, or unexpected liquid or gaseous discharges, ensure that an evaluation was performed to determine the type and amount of radioactive material that was discharged.</w:t>
      </w:r>
    </w:p>
    <w:p w14:paraId="159783F7" w14:textId="77777777" w:rsidR="00EC1111" w:rsidRDefault="00EC1111" w:rsidP="00EC1111">
      <w:pPr>
        <w:pStyle w:val="pa"/>
        <w:numPr>
          <w:ilvl w:val="0"/>
          <w:numId w:val="0"/>
        </w:numPr>
        <w:ind w:left="806"/>
      </w:pPr>
    </w:p>
    <w:p w14:paraId="33C39751" w14:textId="75F1D30E" w:rsidR="00100EB5" w:rsidRDefault="00EC1111" w:rsidP="00CF4DE8">
      <w:pPr>
        <w:pStyle w:val="pa"/>
        <w:numPr>
          <w:ilvl w:val="1"/>
          <w:numId w:val="3"/>
        </w:numPr>
      </w:pPr>
      <w:r>
        <w:t xml:space="preserve">Assess whether sufficient radiological surveys </w:t>
      </w:r>
      <w:r w:rsidR="00CF4DE8">
        <w:t>were performed to evaluate</w:t>
      </w:r>
      <w:r>
        <w:t xml:space="preserve"> the extent of the contamination and the radiological source term.  Verify that a survey/evaluation has been performed to include consideration of hard-to-detect radionuclides.  </w:t>
      </w:r>
    </w:p>
    <w:p w14:paraId="5829EEED" w14:textId="77777777" w:rsidR="00CF4DE8" w:rsidRDefault="00CF4DE8" w:rsidP="00CF4DE8">
      <w:pPr>
        <w:pStyle w:val="pa"/>
        <w:numPr>
          <w:ilvl w:val="0"/>
          <w:numId w:val="0"/>
        </w:numPr>
        <w:ind w:left="1440"/>
      </w:pPr>
    </w:p>
    <w:p w14:paraId="5B444BB4" w14:textId="36C55948" w:rsidR="009218B4" w:rsidRPr="003B204C" w:rsidRDefault="008010C3">
      <w:pPr>
        <w:pStyle w:val="pa"/>
        <w:numPr>
          <w:ilvl w:val="0"/>
          <w:numId w:val="3"/>
        </w:numPr>
      </w:pPr>
      <w:r>
        <w:t>Determine whether the licensee completed offsite notifications; as provided in its GPI implementing procedures</w:t>
      </w:r>
    </w:p>
    <w:p w14:paraId="1129B210" w14:textId="11580B1B" w:rsidR="00100EB5" w:rsidRPr="003B204C" w:rsidRDefault="00100EB5" w:rsidP="00730804">
      <w:pPr>
        <w:pStyle w:val="pa1"/>
        <w:ind w:left="0" w:firstLine="0"/>
      </w:pPr>
    </w:p>
    <w:p w14:paraId="07A0CD2F" w14:textId="5451613E" w:rsidR="00100EB5" w:rsidRPr="003B204C" w:rsidRDefault="00100EB5" w:rsidP="00325EEA">
      <w:pPr>
        <w:pStyle w:val="pa"/>
        <w:numPr>
          <w:ilvl w:val="0"/>
          <w:numId w:val="3"/>
        </w:numPr>
      </w:pPr>
      <w:r w:rsidRPr="003B204C">
        <w:t xml:space="preserve">Review the evaluation of discharges from onsite surface water bodies that contain or potentially contain radioactivity, and the potential for ground water leakage from these onsite surface water bodies.  Determine if </w:t>
      </w:r>
      <w:r w:rsidR="0063628B">
        <w:t xml:space="preserve">the </w:t>
      </w:r>
      <w:r w:rsidRPr="003B204C">
        <w:t xml:space="preserve">licensee </w:t>
      </w:r>
      <w:r w:rsidR="0063628B">
        <w:t>is</w:t>
      </w:r>
      <w:r w:rsidRPr="003B204C">
        <w:t xml:space="preserve"> properly accounting for discharges from these surface water bodies as part of </w:t>
      </w:r>
      <w:r w:rsidR="0063628B">
        <w:t>its</w:t>
      </w:r>
      <w:r w:rsidRPr="003B204C">
        <w:t xml:space="preserve"> effluent release reports.</w:t>
      </w:r>
    </w:p>
    <w:p w14:paraId="3EEC2E7C" w14:textId="77777777" w:rsidR="00100EB5" w:rsidRPr="003B204C" w:rsidRDefault="00100EB5" w:rsidP="00BC623E">
      <w:pPr>
        <w:jc w:val="left"/>
      </w:pPr>
    </w:p>
    <w:p w14:paraId="05C01D8C" w14:textId="77777777" w:rsidR="00100EB5" w:rsidRPr="003B204C" w:rsidRDefault="00100EB5" w:rsidP="00325EEA">
      <w:pPr>
        <w:pStyle w:val="pa"/>
        <w:numPr>
          <w:ilvl w:val="0"/>
          <w:numId w:val="3"/>
        </w:numPr>
      </w:pPr>
      <w:r w:rsidRPr="003B204C">
        <w:t>Verify that on-site ground water sample results and a description of any significant on-site leaks/spills into ground water for each calendar year are documented in the Annual Radiological Environmental Operating Report (AREOR) for REMP or the Annual Radiological Effluent Release Report (ARERR)</w:t>
      </w:r>
      <w:r w:rsidR="0063628B">
        <w:t>.</w:t>
      </w:r>
    </w:p>
    <w:p w14:paraId="363A36D0" w14:textId="77777777" w:rsidR="00100EB5" w:rsidRPr="003B204C" w:rsidRDefault="00100EB5" w:rsidP="00BC623E">
      <w:pPr>
        <w:pStyle w:val="Level1"/>
        <w:jc w:val="left"/>
      </w:pPr>
    </w:p>
    <w:p w14:paraId="725590D1" w14:textId="77777777" w:rsidR="00100EB5" w:rsidRDefault="00100EB5" w:rsidP="00325EEA">
      <w:pPr>
        <w:pStyle w:val="pa"/>
        <w:numPr>
          <w:ilvl w:val="0"/>
          <w:numId w:val="3"/>
        </w:numPr>
      </w:pPr>
      <w:r w:rsidRPr="003B204C">
        <w:t>For significant, new effluent discharge points (such as significant or continuing leakage to ground water that continues to impact the environment if not remediated), determine if the ODCM was updated to include the new release point</w:t>
      </w:r>
      <w:r w:rsidR="00715CF4">
        <w:t xml:space="preserve"> and includes the bases for all new assumptions and parameters used in dose calculations</w:t>
      </w:r>
      <w:r w:rsidRPr="003B204C">
        <w:t>.</w:t>
      </w:r>
    </w:p>
    <w:p w14:paraId="57A19829" w14:textId="77777777" w:rsidR="00B16236" w:rsidRDefault="00B16236" w:rsidP="00B16236">
      <w:pPr>
        <w:pStyle w:val="ListParagraph"/>
      </w:pPr>
    </w:p>
    <w:p w14:paraId="6D574F02" w14:textId="4D4CA7CE" w:rsidR="00100EB5" w:rsidRPr="003B204C" w:rsidRDefault="006661E4" w:rsidP="00BC623E">
      <w:pPr>
        <w:pStyle w:val="0201"/>
        <w:jc w:val="left"/>
      </w:pPr>
      <w:r w:rsidRPr="003B204C">
        <w:t>02.0</w:t>
      </w:r>
      <w:r w:rsidR="00D64B7D">
        <w:t>3</w:t>
      </w:r>
      <w:r w:rsidR="0069783F" w:rsidRPr="003B204C">
        <w:tab/>
      </w:r>
      <w:r w:rsidR="00100EB5" w:rsidRPr="00910537">
        <w:rPr>
          <w:u w:val="single"/>
        </w:rPr>
        <w:t xml:space="preserve">Problem </w:t>
      </w:r>
      <w:r w:rsidRPr="00910537">
        <w:rPr>
          <w:u w:val="single"/>
        </w:rPr>
        <w:t>Identification and Resolutio</w:t>
      </w:r>
      <w:r w:rsidR="00D64B7D">
        <w:rPr>
          <w:u w:val="single"/>
        </w:rPr>
        <w:t>n</w:t>
      </w:r>
      <w:r w:rsidR="0069783F" w:rsidRPr="003B204C">
        <w:t xml:space="preserve"> </w:t>
      </w:r>
      <w:r w:rsidR="00881320" w:rsidRPr="003B204C">
        <w:t xml:space="preserve"> </w:t>
      </w:r>
    </w:p>
    <w:p w14:paraId="497EF211" w14:textId="77777777" w:rsidR="00100EB5" w:rsidRPr="003B204C" w:rsidRDefault="00100EB5" w:rsidP="00BC623E">
      <w:pPr>
        <w:jc w:val="left"/>
      </w:pPr>
    </w:p>
    <w:p w14:paraId="70978352" w14:textId="77777777" w:rsidR="0090450E" w:rsidRDefault="008778BD" w:rsidP="00730804">
      <w:pPr>
        <w:ind w:firstLine="0"/>
        <w:jc w:val="left"/>
        <w:sectPr w:rsidR="0090450E" w:rsidSect="00681A32">
          <w:footerReference w:type="default" r:id="rId14"/>
          <w:pgSz w:w="12240" w:h="15840" w:code="1"/>
          <w:pgMar w:top="1440" w:right="1440" w:bottom="1440" w:left="1440" w:header="720" w:footer="720" w:gutter="0"/>
          <w:cols w:space="720"/>
          <w:docGrid w:linePitch="299"/>
        </w:sectPr>
      </w:pPr>
      <w:r w:rsidRPr="000442A4">
        <w:t xml:space="preserve">For each sample, conduct a routine review of problem identification and resolution activities using Inspection Procedure (IP) 71152, “Problem Identification and Resolution. </w:t>
      </w:r>
    </w:p>
    <w:p w14:paraId="49010163" w14:textId="77777777" w:rsidR="002D6147" w:rsidRDefault="002D6147" w:rsidP="00BC623E">
      <w:pPr>
        <w:pStyle w:val="7112307-01"/>
        <w:jc w:val="left"/>
      </w:pPr>
      <w:r w:rsidRPr="003B204C">
        <w:lastRenderedPageBreak/>
        <w:t>71124.07-03</w:t>
      </w:r>
      <w:r w:rsidRPr="003B204C">
        <w:tab/>
        <w:t>INSPECTION GUIDANCE</w:t>
      </w:r>
    </w:p>
    <w:p w14:paraId="633B54EF" w14:textId="77777777" w:rsidR="00681A32" w:rsidRPr="003B204C" w:rsidRDefault="00681A32" w:rsidP="00BC623E">
      <w:pPr>
        <w:pStyle w:val="7112307-01"/>
        <w:jc w:val="left"/>
      </w:pPr>
    </w:p>
    <w:p w14:paraId="5F2B2776" w14:textId="10CE5957" w:rsidR="002D6147" w:rsidRPr="003B204C" w:rsidRDefault="002D6147" w:rsidP="00D64B7D">
      <w:pPr>
        <w:ind w:left="1080"/>
        <w:jc w:val="left"/>
      </w:pPr>
      <w:r w:rsidRPr="00910537">
        <w:rPr>
          <w:u w:val="single"/>
        </w:rPr>
        <w:t>In</w:t>
      </w:r>
      <w:r w:rsidRPr="00910537">
        <w:rPr>
          <w:rStyle w:val="0201Char"/>
          <w:u w:val="single"/>
        </w:rPr>
        <w:t>s</w:t>
      </w:r>
      <w:r w:rsidRPr="00910537">
        <w:rPr>
          <w:u w:val="single"/>
        </w:rPr>
        <w:t>pection Planning</w:t>
      </w:r>
    </w:p>
    <w:p w14:paraId="1595D25B" w14:textId="77777777" w:rsidR="002D6147" w:rsidRPr="003B204C" w:rsidRDefault="002D6147" w:rsidP="00BC623E">
      <w:pPr>
        <w:jc w:val="left"/>
      </w:pPr>
    </w:p>
    <w:p w14:paraId="2FB3A388" w14:textId="01B82272" w:rsidR="00537D38" w:rsidRPr="003B204C" w:rsidRDefault="0076462C" w:rsidP="00CC6B6D">
      <w:pPr>
        <w:pStyle w:val="pa"/>
        <w:numPr>
          <w:ilvl w:val="0"/>
          <w:numId w:val="4"/>
        </w:numPr>
      </w:pPr>
      <w:r w:rsidRPr="00675B43">
        <w:t>Review</w:t>
      </w:r>
      <w:r w:rsidR="003A692E" w:rsidRPr="00675B43">
        <w:t xml:space="preserve"> the annual radiological environmental operating reports and the results of any licensee assessments since the last inspection</w:t>
      </w:r>
      <w:r w:rsidR="00835F92">
        <w:t xml:space="preserve"> enable</w:t>
      </w:r>
      <w:r w:rsidR="003A692E" w:rsidRPr="00675B43">
        <w:t xml:space="preserve"> to verify</w:t>
      </w:r>
      <w:r w:rsidR="00835F92">
        <w:t>ing</w:t>
      </w:r>
      <w:r w:rsidR="003A692E" w:rsidRPr="00675B43">
        <w:t xml:space="preserve"> that the REMP was implemented in accordance with the TS and ODCM.  </w:t>
      </w:r>
      <w:r w:rsidR="003A692E">
        <w:t xml:space="preserve">Review </w:t>
      </w:r>
      <w:r w:rsidRPr="00675B43">
        <w:t>the report for changes to the ODCM with respect to environmental monitoring, commitments in terms of sampling locations, monitoring and measurement frequencies, land use census, inter</w:t>
      </w:r>
      <w:r>
        <w:t>-</w:t>
      </w:r>
      <w:r w:rsidRPr="00675B43">
        <w:t>laboratory comparison program, and analysis of data.</w:t>
      </w:r>
      <w:r>
        <w:t xml:space="preserve">  </w:t>
      </w:r>
      <w:r w:rsidR="002E4157" w:rsidRPr="003B204C">
        <w:t>Guidance on the proper location of environmental monitoring stations is in NUREG</w:t>
      </w:r>
      <w:r w:rsidR="00BF2981" w:rsidRPr="003B204C">
        <w:noBreakHyphen/>
      </w:r>
      <w:r w:rsidR="002E4157" w:rsidRPr="003B204C">
        <w:t>1301</w:t>
      </w:r>
      <w:r w:rsidR="00BF2981" w:rsidRPr="003B204C">
        <w:t>, “Offsite Dose Calculation Guidance:  Standard Radiological Effluent Controls for Pressurized Water Reactors,” issued April 1991</w:t>
      </w:r>
      <w:r w:rsidR="002E4157" w:rsidRPr="003B204C">
        <w:t>.</w:t>
      </w:r>
      <w:r w:rsidR="007373FB" w:rsidRPr="003B204C">
        <w:t xml:space="preserve"> </w:t>
      </w:r>
      <w:r w:rsidR="00BF2981" w:rsidRPr="003B204C">
        <w:t xml:space="preserve"> </w:t>
      </w:r>
      <w:r w:rsidR="007373FB" w:rsidRPr="003B204C">
        <w:t>Also, refer to the NRC Branch Technical Position, Revision</w:t>
      </w:r>
      <w:r w:rsidR="00BF2981" w:rsidRPr="003B204C">
        <w:t> </w:t>
      </w:r>
      <w:r w:rsidR="007373FB" w:rsidRPr="003B204C">
        <w:t>1, “An Acceptable Radiological Environmental Monitoring Program</w:t>
      </w:r>
      <w:r w:rsidR="00CC6B6D">
        <w:t xml:space="preserve"> (ADAMS Accession No. </w:t>
      </w:r>
      <w:r w:rsidR="00CC6B6D" w:rsidRPr="00CC6B6D">
        <w:t>ML010710060</w:t>
      </w:r>
      <w:r w:rsidR="00CC6B6D">
        <w:t>)</w:t>
      </w:r>
      <w:r w:rsidR="007373FB" w:rsidRPr="003B204C">
        <w:t>,” for additional information.</w:t>
      </w:r>
      <w:r w:rsidR="00BF2981" w:rsidRPr="003B204C">
        <w:t xml:space="preserve"> </w:t>
      </w:r>
    </w:p>
    <w:p w14:paraId="19957445" w14:textId="77777777" w:rsidR="009049AA" w:rsidRPr="003B204C" w:rsidRDefault="009049AA" w:rsidP="00BC623E">
      <w:pPr>
        <w:jc w:val="left"/>
      </w:pPr>
    </w:p>
    <w:p w14:paraId="159A4912" w14:textId="6441503E" w:rsidR="00DE130A" w:rsidRDefault="003A692E" w:rsidP="00325EEA">
      <w:pPr>
        <w:pStyle w:val="pa"/>
        <w:numPr>
          <w:ilvl w:val="0"/>
          <w:numId w:val="4"/>
        </w:numPr>
      </w:pPr>
      <w:r>
        <w:t xml:space="preserve">Review </w:t>
      </w:r>
      <w:r w:rsidRPr="003B204C">
        <w:t>the ODCM to identify locations of environmental monitoring stations.</w:t>
      </w:r>
    </w:p>
    <w:p w14:paraId="5AF1EE63" w14:textId="77777777" w:rsidR="00910537" w:rsidRDefault="00910537" w:rsidP="00BC623E">
      <w:pPr>
        <w:pStyle w:val="pa"/>
        <w:numPr>
          <w:ilvl w:val="0"/>
          <w:numId w:val="0"/>
        </w:numPr>
        <w:ind w:left="806"/>
      </w:pPr>
    </w:p>
    <w:p w14:paraId="0E53244F" w14:textId="332F1C2D" w:rsidR="00910537" w:rsidRDefault="003A692E" w:rsidP="00325EEA">
      <w:pPr>
        <w:pStyle w:val="pa"/>
        <w:numPr>
          <w:ilvl w:val="0"/>
          <w:numId w:val="4"/>
        </w:numPr>
      </w:pPr>
      <w:r>
        <w:t>Review</w:t>
      </w:r>
      <w:r w:rsidRPr="003A692E">
        <w:t xml:space="preserve"> </w:t>
      </w:r>
      <w:r w:rsidRPr="003B204C">
        <w:t>the final safety analysis report (FSAR) for information regarding the environmental monitoring program and meteorological monitoring instrumentation.</w:t>
      </w:r>
    </w:p>
    <w:p w14:paraId="26A4A419" w14:textId="77777777" w:rsidR="00910537" w:rsidRDefault="00910537" w:rsidP="00BC623E">
      <w:pPr>
        <w:pStyle w:val="pa"/>
        <w:numPr>
          <w:ilvl w:val="0"/>
          <w:numId w:val="0"/>
        </w:numPr>
        <w:ind w:left="806"/>
      </w:pPr>
    </w:p>
    <w:p w14:paraId="15380BCE" w14:textId="345C5FD9" w:rsidR="00910537" w:rsidRDefault="003A692E" w:rsidP="00325EEA">
      <w:pPr>
        <w:pStyle w:val="pa"/>
        <w:numPr>
          <w:ilvl w:val="0"/>
          <w:numId w:val="4"/>
        </w:numPr>
      </w:pPr>
      <w:r>
        <w:t>Review</w:t>
      </w:r>
      <w:r w:rsidRPr="003A692E">
        <w:t xml:space="preserve"> </w:t>
      </w:r>
      <w:r w:rsidRPr="003B204C">
        <w:t>quality assurance audit results of the program to assist in choosing inspection “smart samples.”  If the licensee uses a vendor laboratory to analyze the REMP samples, review any audits and technical evaluations performed on the vendor’s program.</w:t>
      </w:r>
    </w:p>
    <w:p w14:paraId="2229A492" w14:textId="77777777" w:rsidR="00910537" w:rsidRDefault="00910537" w:rsidP="00BC623E">
      <w:pPr>
        <w:pStyle w:val="pa"/>
        <w:numPr>
          <w:ilvl w:val="0"/>
          <w:numId w:val="0"/>
        </w:numPr>
        <w:ind w:left="806"/>
      </w:pPr>
    </w:p>
    <w:p w14:paraId="329B3A80" w14:textId="100E12A2" w:rsidR="00991BED" w:rsidRDefault="003A692E" w:rsidP="00E5236A">
      <w:pPr>
        <w:pStyle w:val="pa"/>
        <w:numPr>
          <w:ilvl w:val="0"/>
          <w:numId w:val="4"/>
        </w:numPr>
      </w:pPr>
      <w:r>
        <w:t>Review the annual effluent release report and the 10 CFR Par</w:t>
      </w:r>
      <w:r w:rsidR="00CC6B6D">
        <w:t>t</w:t>
      </w:r>
      <w:r>
        <w:t xml:space="preserve"> 61, “Licensing Requirements for Land Disposal of Radioactive Waste,” report, to determine if the licensee is sampling, as appropriate, for the predominant and dose-causing radionuclides likely to be released in effluents.</w:t>
      </w:r>
    </w:p>
    <w:p w14:paraId="08200297" w14:textId="77777777" w:rsidR="005C0A06" w:rsidRDefault="005C0A06" w:rsidP="005C0A06">
      <w:pPr>
        <w:pStyle w:val="ListParagraph"/>
      </w:pPr>
    </w:p>
    <w:p w14:paraId="4F101646" w14:textId="6B528134" w:rsidR="005C0A06" w:rsidRPr="00CC6B6D" w:rsidRDefault="003A692E" w:rsidP="00E5236A">
      <w:pPr>
        <w:pStyle w:val="pa"/>
        <w:numPr>
          <w:ilvl w:val="0"/>
          <w:numId w:val="4"/>
        </w:numPr>
      </w:pPr>
      <w:r>
        <w:t xml:space="preserve">Review </w:t>
      </w:r>
      <w:r w:rsidRPr="003B204C">
        <w:t>reported groundwater monitoring results, and changes to the licensee’s written program for identifying and controlling contaminated spills/leaks to ground</w:t>
      </w:r>
      <w:r>
        <w:t xml:space="preserve"> </w:t>
      </w:r>
      <w:r w:rsidRPr="003B204C">
        <w:t>water.</w:t>
      </w:r>
      <w:r>
        <w:t xml:space="preserve">  </w:t>
      </w:r>
      <w:r w:rsidRPr="00406997">
        <w:t>R</w:t>
      </w:r>
      <w:r w:rsidRPr="00715CF4">
        <w:rPr>
          <w:rFonts w:eastAsia="Calibri"/>
        </w:rPr>
        <w:t>eview changes to the plan and program since last inspection to identify changes that have decreased effectiveness and scope.</w:t>
      </w:r>
    </w:p>
    <w:p w14:paraId="631C9A9E" w14:textId="77777777" w:rsidR="00CC6B6D" w:rsidRDefault="00CC6B6D" w:rsidP="00CC6B6D">
      <w:pPr>
        <w:pStyle w:val="ListParagraph"/>
      </w:pPr>
    </w:p>
    <w:p w14:paraId="06ED9292" w14:textId="77777777" w:rsidR="00CC6B6D" w:rsidRDefault="00CC6B6D" w:rsidP="00CC6B6D">
      <w:pPr>
        <w:pStyle w:val="pa"/>
        <w:numPr>
          <w:ilvl w:val="0"/>
          <w:numId w:val="0"/>
        </w:numPr>
        <w:ind w:left="806"/>
      </w:pPr>
    </w:p>
    <w:p w14:paraId="47976706" w14:textId="00AD8637" w:rsidR="002D6147" w:rsidRPr="003B204C" w:rsidRDefault="003A692E" w:rsidP="00BC623E">
      <w:pPr>
        <w:pStyle w:val="0201"/>
        <w:jc w:val="left"/>
      </w:pPr>
      <w:r>
        <w:t>03.01</w:t>
      </w:r>
      <w:r w:rsidR="002D6147" w:rsidRPr="003B204C">
        <w:tab/>
      </w:r>
      <w:r w:rsidR="00F90577" w:rsidRPr="00910537">
        <w:rPr>
          <w:u w:val="single"/>
        </w:rPr>
        <w:t>S</w:t>
      </w:r>
      <w:r w:rsidR="002D6147" w:rsidRPr="00910537">
        <w:rPr>
          <w:u w:val="single"/>
        </w:rPr>
        <w:t>ite Inspectio</w:t>
      </w:r>
      <w:r>
        <w:rPr>
          <w:u w:val="single"/>
        </w:rPr>
        <w:t>n</w:t>
      </w:r>
    </w:p>
    <w:p w14:paraId="165820C2" w14:textId="77777777" w:rsidR="002D6147" w:rsidRPr="003B204C" w:rsidRDefault="002D6147" w:rsidP="00BC623E">
      <w:pPr>
        <w:jc w:val="left"/>
      </w:pPr>
    </w:p>
    <w:p w14:paraId="4DED6235" w14:textId="5B648659" w:rsidR="002E4157" w:rsidRPr="003B204C" w:rsidRDefault="004D79D0" w:rsidP="00325EEA">
      <w:pPr>
        <w:pStyle w:val="pa"/>
        <w:numPr>
          <w:ilvl w:val="0"/>
          <w:numId w:val="5"/>
        </w:numPr>
      </w:pPr>
      <w:r w:rsidRPr="003B204C">
        <w:t xml:space="preserve">Consistent with smart sampling, the air sampling stations should be selected based on the locations </w:t>
      </w:r>
      <w:r>
        <w:t xml:space="preserve">in the downwind sectors </w:t>
      </w:r>
      <w:r w:rsidRPr="003B204C">
        <w:t xml:space="preserve">with the highest </w:t>
      </w:r>
      <w:r>
        <w:t>concentration per unit release rate (</w:t>
      </w:r>
      <w:r w:rsidRPr="003B204C">
        <w:t>X/Q</w:t>
      </w:r>
      <w:r>
        <w:t>)</w:t>
      </w:r>
      <w:r w:rsidRPr="003B204C">
        <w:t>,</w:t>
      </w:r>
      <w:r>
        <w:t xml:space="preserve"> and highest deposition per unit release rate</w:t>
      </w:r>
      <w:r w:rsidRPr="003B204C">
        <w:t xml:space="preserve"> </w:t>
      </w:r>
      <w:r>
        <w:t>(</w:t>
      </w:r>
      <w:r w:rsidRPr="003B204C">
        <w:t>D/Q</w:t>
      </w:r>
      <w:r>
        <w:t>)</w:t>
      </w:r>
      <w:r w:rsidRPr="003B204C">
        <w:t xml:space="preserve">, and </w:t>
      </w:r>
      <w:proofErr w:type="spellStart"/>
      <w:r>
        <w:t>t</w:t>
      </w:r>
      <w:r w:rsidRPr="00A03D76">
        <w:t>hermoluminescence</w:t>
      </w:r>
      <w:proofErr w:type="spellEnd"/>
      <w:r w:rsidRPr="00A03D76">
        <w:t xml:space="preserve"> </w:t>
      </w:r>
      <w:r>
        <w:t>dosimeters (T</w:t>
      </w:r>
      <w:r w:rsidRPr="003B204C">
        <w:t>LDs</w:t>
      </w:r>
      <w:r>
        <w:t>)</w:t>
      </w:r>
      <w:r w:rsidRPr="003B204C">
        <w:t xml:space="preserve"> should be selected based on the most risk-significant locations (e.g., those that have the highest potential for public dose impact).</w:t>
      </w:r>
      <w:r w:rsidR="00CC6B6D">
        <w:t xml:space="preserve">  </w:t>
      </w:r>
      <w:r w:rsidR="002E4157" w:rsidRPr="003B204C">
        <w:t>Shifts in wind sectors with the highest X/Q and D/Q may be detected by comparing several years of</w:t>
      </w:r>
      <w:r w:rsidR="00DF4B4B" w:rsidRPr="003B204C">
        <w:t xml:space="preserve"> the</w:t>
      </w:r>
      <w:r w:rsidR="002E4157" w:rsidRPr="003B204C">
        <w:t xml:space="preserve"> licensee</w:t>
      </w:r>
      <w:r w:rsidR="00DF4B4B" w:rsidRPr="003B204C">
        <w:t>’s</w:t>
      </w:r>
      <w:r w:rsidR="002E4157" w:rsidRPr="003B204C">
        <w:t xml:space="preserve"> meteorological data.</w:t>
      </w:r>
    </w:p>
    <w:p w14:paraId="26DD59C8" w14:textId="77777777" w:rsidR="00910B82" w:rsidRPr="003B204C" w:rsidRDefault="00910B82" w:rsidP="00BC623E">
      <w:pPr>
        <w:jc w:val="left"/>
      </w:pPr>
    </w:p>
    <w:p w14:paraId="14CA0EEC" w14:textId="77777777" w:rsidR="00906302" w:rsidRPr="003B204C" w:rsidRDefault="000A4962" w:rsidP="00325EEA">
      <w:pPr>
        <w:pStyle w:val="pa"/>
        <w:numPr>
          <w:ilvl w:val="0"/>
          <w:numId w:val="5"/>
        </w:numPr>
      </w:pPr>
      <w:r>
        <w:t>No inspection guidance.</w:t>
      </w:r>
    </w:p>
    <w:p w14:paraId="26AB2F3B" w14:textId="77777777" w:rsidR="002E4157" w:rsidRPr="003B204C" w:rsidRDefault="002E4157" w:rsidP="00BC623E">
      <w:pPr>
        <w:jc w:val="left"/>
      </w:pPr>
    </w:p>
    <w:p w14:paraId="34BCEF53" w14:textId="77777777" w:rsidR="0090450E" w:rsidRDefault="00150590" w:rsidP="00325EEA">
      <w:pPr>
        <w:pStyle w:val="pa"/>
        <w:numPr>
          <w:ilvl w:val="0"/>
          <w:numId w:val="5"/>
        </w:numPr>
        <w:sectPr w:rsidR="0090450E" w:rsidSect="00681A32">
          <w:footerReference w:type="default" r:id="rId15"/>
          <w:pgSz w:w="12240" w:h="15840" w:code="1"/>
          <w:pgMar w:top="1440" w:right="1440" w:bottom="1440" w:left="1440" w:header="720" w:footer="720" w:gutter="0"/>
          <w:cols w:space="720"/>
          <w:docGrid w:linePitch="299"/>
        </w:sectPr>
      </w:pPr>
      <w:r>
        <w:t>No inspection guidance</w:t>
      </w:r>
      <w:r w:rsidR="00906302" w:rsidRPr="003B204C">
        <w:t>.</w:t>
      </w:r>
    </w:p>
    <w:p w14:paraId="088EB55B" w14:textId="552DDBE4" w:rsidR="002E4157" w:rsidRDefault="0076462C" w:rsidP="00325EEA">
      <w:pPr>
        <w:pStyle w:val="pa"/>
        <w:numPr>
          <w:ilvl w:val="0"/>
          <w:numId w:val="5"/>
        </w:numPr>
      </w:pPr>
      <w:r>
        <w:lastRenderedPageBreak/>
        <w:t>Consider the following media</w:t>
      </w:r>
      <w:r w:rsidRPr="003B204C">
        <w:t xml:space="preserve"> ground and surface water, milk,</w:t>
      </w:r>
      <w:r>
        <w:t xml:space="preserve"> vegetation, sediment, and soil.</w:t>
      </w:r>
      <w:r w:rsidR="00150590">
        <w:t xml:space="preserve">  </w:t>
      </w:r>
      <w:r w:rsidR="00150590" w:rsidRPr="003B204C">
        <w:t>Guidance on sample collection and preservation is provided in NUREG</w:t>
      </w:r>
      <w:r w:rsidR="00150590" w:rsidRPr="003B204C">
        <w:noBreakHyphen/>
        <w:t>1576, “Multi-Agency Radiological Laboratory Analytical Protocols Manual” (MARLAP), issued July 2004.  Also, refer to the NRC Branch Technical Position, Revision 1, “An Acceptable Radiological Environmental Monitoring Program,” for guidance on sampling other appropriate media upon loss of a required sample location</w:t>
      </w:r>
      <w:r w:rsidR="00150590">
        <w:t>.</w:t>
      </w:r>
    </w:p>
    <w:p w14:paraId="1696F7E4" w14:textId="77777777" w:rsidR="00150590" w:rsidRDefault="00150590" w:rsidP="00150590">
      <w:pPr>
        <w:pStyle w:val="ListParagraph"/>
      </w:pPr>
    </w:p>
    <w:p w14:paraId="5B599431" w14:textId="38B0A25F" w:rsidR="00150590" w:rsidRPr="003B204C" w:rsidRDefault="00150590" w:rsidP="00325EEA">
      <w:pPr>
        <w:pStyle w:val="pa"/>
        <w:numPr>
          <w:ilvl w:val="0"/>
          <w:numId w:val="5"/>
        </w:numPr>
      </w:pPr>
      <w:r>
        <w:t>No inspection guidance.</w:t>
      </w:r>
    </w:p>
    <w:p w14:paraId="65D01057" w14:textId="77777777" w:rsidR="00906302" w:rsidRPr="003B204C" w:rsidRDefault="00906302" w:rsidP="00BC623E">
      <w:pPr>
        <w:jc w:val="left"/>
      </w:pPr>
    </w:p>
    <w:p w14:paraId="7A0FC0DA" w14:textId="77777777" w:rsidR="002E4157" w:rsidRPr="003B204C" w:rsidRDefault="00BF2981" w:rsidP="00325EEA">
      <w:pPr>
        <w:pStyle w:val="pa"/>
        <w:numPr>
          <w:ilvl w:val="0"/>
          <w:numId w:val="5"/>
        </w:numPr>
      </w:pPr>
      <w:r w:rsidRPr="003B204C">
        <w:t>Compare r</w:t>
      </w:r>
      <w:r w:rsidR="002E4157" w:rsidRPr="003B204C">
        <w:t>eadout data (i.e., wind</w:t>
      </w:r>
      <w:r w:rsidR="009B19D6" w:rsidRPr="003B204C">
        <w:t xml:space="preserve"> </w:t>
      </w:r>
      <w:r w:rsidR="002E4157" w:rsidRPr="003B204C">
        <w:t>speed, wind direction, and delta temperature) in the control room and at the meteorological tower to identify any differences that would indicate</w:t>
      </w:r>
      <w:r w:rsidRPr="003B204C">
        <w:t xml:space="preserve"> that</w:t>
      </w:r>
      <w:r w:rsidR="002E4157" w:rsidRPr="003B204C">
        <w:t xml:space="preserve"> inaccurate data </w:t>
      </w:r>
      <w:r w:rsidRPr="003B204C">
        <w:t xml:space="preserve">are </w:t>
      </w:r>
      <w:r w:rsidR="002E4157" w:rsidRPr="003B204C">
        <w:t>being used for dose determination.</w:t>
      </w:r>
    </w:p>
    <w:p w14:paraId="496676F0" w14:textId="77777777" w:rsidR="005E67AF" w:rsidRPr="003B204C" w:rsidRDefault="005E67AF" w:rsidP="00BC623E">
      <w:pPr>
        <w:jc w:val="left"/>
      </w:pPr>
    </w:p>
    <w:p w14:paraId="7AEDA5E2" w14:textId="77777777" w:rsidR="00CA459A" w:rsidRDefault="005E67AF" w:rsidP="008375BF">
      <w:pPr>
        <w:jc w:val="left"/>
      </w:pPr>
      <w:r w:rsidRPr="003B204C">
        <w:tab/>
      </w:r>
      <w:r w:rsidR="00910537">
        <w:tab/>
      </w:r>
      <w:r w:rsidRPr="003B204C">
        <w:t xml:space="preserve">Note that most </w:t>
      </w:r>
      <w:r w:rsidR="00BF2981" w:rsidRPr="003B204C">
        <w:t>10 CFR </w:t>
      </w:r>
      <w:r w:rsidRPr="003B204C">
        <w:t>Part</w:t>
      </w:r>
      <w:r w:rsidR="00BF2981" w:rsidRPr="003B204C">
        <w:t> </w:t>
      </w:r>
      <w:r w:rsidRPr="003B204C">
        <w:t xml:space="preserve">50 licensees will not be committed to </w:t>
      </w:r>
      <w:r w:rsidR="00BF2981" w:rsidRPr="003B204C">
        <w:t>Regulatory Guide </w:t>
      </w:r>
      <w:r w:rsidRPr="003B204C">
        <w:t>1.23</w:t>
      </w:r>
      <w:r w:rsidR="0063628B">
        <w:t>, “</w:t>
      </w:r>
      <w:r w:rsidR="0063628B" w:rsidRPr="0063628B">
        <w:t>Meteorological Monitoring Programs for Nuclear Power Plants</w:t>
      </w:r>
      <w:r w:rsidR="0063628B">
        <w:t>,”</w:t>
      </w:r>
      <w:r w:rsidRPr="003B204C">
        <w:t xml:space="preserve"> but may be committed to Safety Guide</w:t>
      </w:r>
      <w:r w:rsidR="001C54EC" w:rsidRPr="003B204C">
        <w:t> </w:t>
      </w:r>
      <w:r w:rsidRPr="003B204C">
        <w:t>23</w:t>
      </w:r>
      <w:r w:rsidR="0063628B">
        <w:t>,</w:t>
      </w:r>
      <w:r w:rsidR="008375BF">
        <w:t xml:space="preserve"> “Onsite Meteorological Programs,”</w:t>
      </w:r>
      <w:r w:rsidRPr="003B204C">
        <w:t xml:space="preserve"> (1972).</w:t>
      </w:r>
      <w:r w:rsidR="00BF2981" w:rsidRPr="003B204C">
        <w:t xml:space="preserve"> </w:t>
      </w:r>
    </w:p>
    <w:p w14:paraId="0A01C0FF" w14:textId="77777777" w:rsidR="009218B4" w:rsidRDefault="009218B4" w:rsidP="008375BF">
      <w:pPr>
        <w:jc w:val="left"/>
      </w:pPr>
    </w:p>
    <w:p w14:paraId="71F5E5FF" w14:textId="1951A1B3" w:rsidR="002E4157" w:rsidRDefault="00BD2A3C" w:rsidP="00325EEA">
      <w:pPr>
        <w:pStyle w:val="pa"/>
        <w:numPr>
          <w:ilvl w:val="0"/>
          <w:numId w:val="5"/>
        </w:numPr>
      </w:pPr>
      <w:r>
        <w:t>Review</w:t>
      </w:r>
      <w:r w:rsidRPr="003B204C">
        <w:t xml:space="preserve"> missed and or ano</w:t>
      </w:r>
      <w:r>
        <w:t xml:space="preserve">malous environmental samples to identify if they should be </w:t>
      </w:r>
      <w:r w:rsidRPr="003B204C">
        <w:t>reported in the annual environmental monitoring report.</w:t>
      </w:r>
      <w:r w:rsidRPr="00BD2A3C">
        <w:t xml:space="preserve"> </w:t>
      </w:r>
      <w:r>
        <w:t xml:space="preserve"> </w:t>
      </w:r>
      <w:r w:rsidRPr="003B204C">
        <w:t xml:space="preserve">Review the licensee’s assessment of any positive sample results (i.e., licensed radioactive material detected above the lower limits of detection (LLDs).  Review the associated radioactive effluent release data that was the source of the released material. </w:t>
      </w:r>
      <w:r>
        <w:t xml:space="preserve"> </w:t>
      </w:r>
      <w:r w:rsidR="00BF2981" w:rsidRPr="003B204C">
        <w:t xml:space="preserve">Ensure </w:t>
      </w:r>
      <w:r w:rsidR="007F34CB" w:rsidRPr="003B204C">
        <w:t xml:space="preserve">that the licensee has </w:t>
      </w:r>
      <w:r w:rsidR="00BF2981" w:rsidRPr="003B204C">
        <w:t xml:space="preserve">addressed </w:t>
      </w:r>
      <w:r w:rsidR="007F34CB" w:rsidRPr="003B204C">
        <w:t>any positive indications in the environment</w:t>
      </w:r>
      <w:r w:rsidR="00BF2981" w:rsidRPr="003B204C">
        <w:t>al</w:t>
      </w:r>
      <w:r w:rsidR="007F34CB" w:rsidRPr="003B204C">
        <w:t xml:space="preserve"> monitoring samples and </w:t>
      </w:r>
      <w:r w:rsidR="00BF2981" w:rsidRPr="003B204C">
        <w:t xml:space="preserve">has </w:t>
      </w:r>
      <w:r w:rsidR="007F34CB" w:rsidRPr="003B204C">
        <w:t xml:space="preserve">adjusted the effluent monitoring program and dose modeling, as appropriate to </w:t>
      </w:r>
      <w:r w:rsidR="00BF2981" w:rsidRPr="003B204C">
        <w:t>e</w:t>
      </w:r>
      <w:r w:rsidR="007F34CB" w:rsidRPr="003B204C">
        <w:t>nsure the accuracy of the models</w:t>
      </w:r>
      <w:r w:rsidR="00BF2981" w:rsidRPr="003B204C">
        <w:t xml:space="preserve">. </w:t>
      </w:r>
      <w:r w:rsidR="007F34CB" w:rsidRPr="003B204C">
        <w:t xml:space="preserve"> (See </w:t>
      </w:r>
      <w:r w:rsidR="00BF2981" w:rsidRPr="003B204C">
        <w:t xml:space="preserve">Section 6.8 </w:t>
      </w:r>
      <w:r w:rsidR="001C54EC" w:rsidRPr="003B204C">
        <w:t>in</w:t>
      </w:r>
      <w:r w:rsidR="00BF2981" w:rsidRPr="003B204C">
        <w:t xml:space="preserve"> </w:t>
      </w:r>
      <w:r w:rsidR="007F34CB" w:rsidRPr="003B204C">
        <w:t>NUREG</w:t>
      </w:r>
      <w:r w:rsidR="00BF2981" w:rsidRPr="003B204C">
        <w:noBreakHyphen/>
      </w:r>
      <w:r w:rsidR="007F34CB" w:rsidRPr="003B204C">
        <w:t>1301</w:t>
      </w:r>
      <w:r w:rsidR="008375BF">
        <w:t>, “</w:t>
      </w:r>
      <w:r w:rsidR="008375BF" w:rsidRPr="004D550A">
        <w:t>Offsite Dose Calculation Manual Guidance: Standard Radiological Effluent Controls for Pressurized Water Reactors</w:t>
      </w:r>
      <w:r w:rsidR="008375BF">
        <w:t>,”</w:t>
      </w:r>
      <w:r w:rsidR="00BF2981" w:rsidRPr="003B204C">
        <w:t xml:space="preserve"> and </w:t>
      </w:r>
      <w:r w:rsidR="001C54EC" w:rsidRPr="003B204C">
        <w:t xml:space="preserve">in </w:t>
      </w:r>
      <w:r w:rsidR="00BF2981" w:rsidRPr="003B204C">
        <w:t>NUREG</w:t>
      </w:r>
      <w:r w:rsidR="00BF2981" w:rsidRPr="003B204C">
        <w:noBreakHyphen/>
      </w:r>
      <w:r w:rsidR="007F34CB" w:rsidRPr="003B204C">
        <w:t>1302</w:t>
      </w:r>
      <w:r w:rsidR="00BF2981" w:rsidRPr="003B204C">
        <w:t>, “Offsite Dose Calculation Guidance:  Standard Radiological Effluent Controls for Boiling Water Reactors,” issued April 1991.</w:t>
      </w:r>
      <w:r w:rsidR="007F34CB" w:rsidRPr="003B204C">
        <w:t>)</w:t>
      </w:r>
    </w:p>
    <w:p w14:paraId="3EA492E3" w14:textId="77777777" w:rsidR="00284F2C" w:rsidRDefault="00284F2C" w:rsidP="00284F2C">
      <w:pPr>
        <w:pStyle w:val="pa"/>
        <w:numPr>
          <w:ilvl w:val="0"/>
          <w:numId w:val="0"/>
        </w:numPr>
        <w:ind w:left="806"/>
      </w:pPr>
    </w:p>
    <w:p w14:paraId="687FE824" w14:textId="0DF9AE68" w:rsidR="00284F2C" w:rsidRPr="003B204C" w:rsidRDefault="00284F2C" w:rsidP="00325EEA">
      <w:pPr>
        <w:pStyle w:val="pa"/>
        <w:numPr>
          <w:ilvl w:val="0"/>
          <w:numId w:val="5"/>
        </w:numPr>
      </w:pPr>
      <w:r>
        <w:t>No inspection guidance.</w:t>
      </w:r>
    </w:p>
    <w:p w14:paraId="01856167" w14:textId="77777777" w:rsidR="00242419" w:rsidRPr="003B204C" w:rsidRDefault="00242419" w:rsidP="00BC623E">
      <w:pPr>
        <w:jc w:val="left"/>
      </w:pPr>
    </w:p>
    <w:p w14:paraId="74F64E5C" w14:textId="547F9E00" w:rsidR="002E4157" w:rsidRPr="003B204C" w:rsidRDefault="002E4157" w:rsidP="00325EEA">
      <w:pPr>
        <w:pStyle w:val="pa"/>
        <w:numPr>
          <w:ilvl w:val="0"/>
          <w:numId w:val="5"/>
        </w:numPr>
      </w:pPr>
      <w:r w:rsidRPr="003B204C">
        <w:t xml:space="preserve">Some examples of SSCs are outdoor refueling water storage tanks, spent fuel pools, spent fuel pool leak detection systems, outdoor tanks, outdoor storage of contaminated equipment, buried piping, retention ponds, basins, or reservoirs, and steam lines.  Some examples of leak detection methods for the SSCs are ground water monitoring, operator rounds, engineering </w:t>
      </w:r>
      <w:r w:rsidR="00551784" w:rsidRPr="003B204C">
        <w:t>walk downs</w:t>
      </w:r>
      <w:r w:rsidRPr="003B204C">
        <w:t xml:space="preserve"> or inspections, leak detection systems, or periodic integrity testing</w:t>
      </w:r>
      <w:r w:rsidR="00242419" w:rsidRPr="003B204C">
        <w:t>.</w:t>
      </w:r>
    </w:p>
    <w:p w14:paraId="28290421" w14:textId="77777777" w:rsidR="009B19D6" w:rsidRPr="003B204C" w:rsidRDefault="009B19D6" w:rsidP="00BC623E">
      <w:pPr>
        <w:jc w:val="left"/>
      </w:pPr>
    </w:p>
    <w:p w14:paraId="489029CC" w14:textId="06EC7522" w:rsidR="00910537" w:rsidRDefault="00A213A4" w:rsidP="00325EEA">
      <w:pPr>
        <w:pStyle w:val="pa"/>
        <w:numPr>
          <w:ilvl w:val="0"/>
          <w:numId w:val="5"/>
        </w:numPr>
      </w:pPr>
      <w:r>
        <w:t xml:space="preserve">Licensees should document significant contamination resulting from </w:t>
      </w:r>
      <w:r w:rsidRPr="003B204C">
        <w:t>leaks</w:t>
      </w:r>
      <w:r>
        <w:t xml:space="preserve"> and</w:t>
      </w:r>
      <w:r w:rsidRPr="003B204C">
        <w:t xml:space="preserve"> spills, as required by 10 CFR 50.75</w:t>
      </w:r>
      <w:r>
        <w:t>, “</w:t>
      </w:r>
      <w:r w:rsidRPr="00A03D76">
        <w:t>Reporting and recordkeeping for decommissioning planning</w:t>
      </w:r>
      <w:r>
        <w:t>,” paragraph</w:t>
      </w:r>
      <w:r w:rsidRPr="00A03D76">
        <w:t xml:space="preserve"> </w:t>
      </w:r>
      <w:r w:rsidRPr="003B204C">
        <w:t>(g)</w:t>
      </w:r>
      <w:r w:rsidR="000A4962">
        <w:t>.</w:t>
      </w:r>
    </w:p>
    <w:p w14:paraId="5DA05FB5" w14:textId="4AA3F6C4" w:rsidR="00242419" w:rsidRDefault="00242419" w:rsidP="00BC623E">
      <w:pPr>
        <w:pStyle w:val="pa"/>
        <w:numPr>
          <w:ilvl w:val="0"/>
          <w:numId w:val="0"/>
        </w:numPr>
        <w:ind w:left="806"/>
      </w:pPr>
    </w:p>
    <w:p w14:paraId="6C849278" w14:textId="392DEB2A" w:rsidR="00910537" w:rsidRDefault="00BD2A3C" w:rsidP="00325EEA">
      <w:pPr>
        <w:pStyle w:val="pa"/>
        <w:numPr>
          <w:ilvl w:val="0"/>
          <w:numId w:val="5"/>
        </w:numPr>
      </w:pPr>
      <w:r>
        <w:t>Changes may be made in response to</w:t>
      </w:r>
      <w:r w:rsidR="0070160A" w:rsidRPr="003B204C">
        <w:t xml:space="preserve"> changes to the land census, </w:t>
      </w:r>
      <w:r w:rsidR="0070160A" w:rsidRPr="00787DEC">
        <w:t>long-term meteorological conditions (3</w:t>
      </w:r>
      <w:r w:rsidR="0070160A" w:rsidRPr="00787DEC">
        <w:noBreakHyphen/>
        <w:t>year average)</w:t>
      </w:r>
      <w:r w:rsidR="0070160A" w:rsidRPr="003B204C">
        <w:t>, or modifications to the sampler stations since the last inspection.</w:t>
      </w:r>
    </w:p>
    <w:p w14:paraId="34F3FF21" w14:textId="77777777" w:rsidR="00910537" w:rsidRDefault="00910537" w:rsidP="00BC623E">
      <w:pPr>
        <w:pStyle w:val="pa"/>
        <w:numPr>
          <w:ilvl w:val="0"/>
          <w:numId w:val="0"/>
        </w:numPr>
        <w:ind w:left="806"/>
      </w:pPr>
    </w:p>
    <w:p w14:paraId="0F8F6072" w14:textId="76477C4F" w:rsidR="00910537" w:rsidRDefault="00BD2A3C" w:rsidP="00325EEA">
      <w:pPr>
        <w:pStyle w:val="pa"/>
        <w:numPr>
          <w:ilvl w:val="0"/>
          <w:numId w:val="5"/>
        </w:numPr>
      </w:pPr>
      <w:r>
        <w:t>No inspection guidance.</w:t>
      </w:r>
    </w:p>
    <w:p w14:paraId="0A73A586" w14:textId="77777777" w:rsidR="005D5A05" w:rsidRDefault="005D5A05" w:rsidP="00BC623E">
      <w:pPr>
        <w:pStyle w:val="pa"/>
        <w:numPr>
          <w:ilvl w:val="0"/>
          <w:numId w:val="0"/>
        </w:numPr>
        <w:ind w:left="806"/>
      </w:pPr>
    </w:p>
    <w:p w14:paraId="6950D5F6" w14:textId="77777777" w:rsidR="0090450E" w:rsidRDefault="00BD2A3C" w:rsidP="00325EEA">
      <w:pPr>
        <w:pStyle w:val="pa"/>
        <w:numPr>
          <w:ilvl w:val="0"/>
          <w:numId w:val="5"/>
        </w:numPr>
        <w:sectPr w:rsidR="0090450E" w:rsidSect="00681A32">
          <w:footerReference w:type="default" r:id="rId16"/>
          <w:pgSz w:w="12240" w:h="15840" w:code="1"/>
          <w:pgMar w:top="1440" w:right="1440" w:bottom="1440" w:left="1440" w:header="720" w:footer="720" w:gutter="0"/>
          <w:cols w:space="720"/>
          <w:docGrid w:linePitch="299"/>
        </w:sectPr>
      </w:pPr>
      <w:r w:rsidRPr="003B204C">
        <w:t>If the licensee uses a vendor laboratory to analyze the REMP samples, review the results of the vendor’s quality control program, including the inter</w:t>
      </w:r>
      <w:r>
        <w:t>-</w:t>
      </w:r>
      <w:r w:rsidRPr="003B204C">
        <w:t>laboratory comparison program, to verify the a</w:t>
      </w:r>
      <w:r>
        <w:t>dequacy of the vendor’s program</w:t>
      </w:r>
      <w:r w:rsidR="000A4962">
        <w:t>.</w:t>
      </w:r>
    </w:p>
    <w:p w14:paraId="599E5AEE" w14:textId="1C44CC11" w:rsidR="003053C0" w:rsidRDefault="003053C0" w:rsidP="00325EEA">
      <w:pPr>
        <w:pStyle w:val="pa"/>
        <w:numPr>
          <w:ilvl w:val="0"/>
          <w:numId w:val="5"/>
        </w:numPr>
      </w:pPr>
      <w:r>
        <w:lastRenderedPageBreak/>
        <w:t>No inspection guidance.</w:t>
      </w:r>
    </w:p>
    <w:p w14:paraId="020FDED0" w14:textId="77777777" w:rsidR="005D5A05" w:rsidRDefault="005D5A05" w:rsidP="00BC623E">
      <w:pPr>
        <w:pStyle w:val="pa"/>
        <w:numPr>
          <w:ilvl w:val="0"/>
          <w:numId w:val="0"/>
        </w:numPr>
        <w:ind w:left="806"/>
      </w:pPr>
    </w:p>
    <w:p w14:paraId="35E38EEE" w14:textId="4CF7CDC8" w:rsidR="005D5A05" w:rsidRDefault="003053C0" w:rsidP="00325EEA">
      <w:pPr>
        <w:pStyle w:val="pa"/>
        <w:numPr>
          <w:ilvl w:val="0"/>
          <w:numId w:val="5"/>
        </w:numPr>
      </w:pPr>
      <w:r>
        <w:t>RG 1.33, 1.21 and 4.15 provide guidance for licensees participating in an intra-laboratory and inter-laboratory comparison program to verify the quality of analyses.</w:t>
      </w:r>
    </w:p>
    <w:p w14:paraId="75EF113C" w14:textId="77777777" w:rsidR="00493786" w:rsidRDefault="00493786" w:rsidP="003053C0">
      <w:pPr>
        <w:pStyle w:val="0201"/>
        <w:ind w:left="0" w:firstLine="0"/>
        <w:jc w:val="left"/>
      </w:pPr>
    </w:p>
    <w:p w14:paraId="6F75144B" w14:textId="54D0F104" w:rsidR="00100EB5" w:rsidRPr="003B204C" w:rsidRDefault="00D64B7D" w:rsidP="00BC623E">
      <w:pPr>
        <w:pStyle w:val="0201"/>
        <w:jc w:val="left"/>
      </w:pPr>
      <w:r>
        <w:t>03.02</w:t>
      </w:r>
      <w:r w:rsidR="00910537">
        <w:tab/>
      </w:r>
      <w:r w:rsidR="00100EB5" w:rsidRPr="00910537">
        <w:rPr>
          <w:u w:val="single"/>
        </w:rPr>
        <w:t>GPI Implementatio</w:t>
      </w:r>
      <w:r>
        <w:rPr>
          <w:u w:val="single"/>
        </w:rPr>
        <w:t>n</w:t>
      </w:r>
    </w:p>
    <w:p w14:paraId="3933CAA7" w14:textId="77777777" w:rsidR="00100EB5" w:rsidRPr="003B204C" w:rsidRDefault="00100EB5" w:rsidP="00BC623E">
      <w:pPr>
        <w:jc w:val="left"/>
      </w:pPr>
    </w:p>
    <w:p w14:paraId="22717591" w14:textId="0143C2D5" w:rsidR="0044249E" w:rsidRDefault="00D65261" w:rsidP="00F25B8F">
      <w:pPr>
        <w:pStyle w:val="pa"/>
        <w:numPr>
          <w:ilvl w:val="0"/>
          <w:numId w:val="6"/>
        </w:numPr>
      </w:pPr>
      <w:r>
        <w:t>Monitoring results are provided in the licensee’s Annual Radiological Efflu</w:t>
      </w:r>
      <w:r w:rsidR="00F25B8F">
        <w:t>e</w:t>
      </w:r>
      <w:r>
        <w:t>nt Release Report o</w:t>
      </w:r>
      <w:r w:rsidR="00F25B8F">
        <w:t>r</w:t>
      </w:r>
      <w:r w:rsidR="0044249E">
        <w:t xml:space="preserve"> the Annual Radiological</w:t>
      </w:r>
      <w:r>
        <w:t xml:space="preserve"> </w:t>
      </w:r>
      <w:r w:rsidR="00F25B8F">
        <w:t xml:space="preserve">Environmental Operating Report. </w:t>
      </w:r>
    </w:p>
    <w:p w14:paraId="2FF37396" w14:textId="77777777" w:rsidR="0044249E" w:rsidRDefault="0044249E" w:rsidP="0044249E">
      <w:pPr>
        <w:pStyle w:val="pa"/>
        <w:numPr>
          <w:ilvl w:val="0"/>
          <w:numId w:val="0"/>
        </w:numPr>
        <w:ind w:left="806"/>
      </w:pPr>
    </w:p>
    <w:p w14:paraId="1528809B" w14:textId="49F5209F" w:rsidR="0044249E" w:rsidRDefault="0044249E" w:rsidP="0044249E">
      <w:pPr>
        <w:pStyle w:val="pa"/>
        <w:numPr>
          <w:ilvl w:val="0"/>
          <w:numId w:val="0"/>
        </w:numPr>
        <w:ind w:left="806"/>
      </w:pPr>
      <w:r w:rsidRPr="00406997">
        <w:t>For Part 50 licensees, adequate implementation of the NEI-GPI provides one acceptable method of implementing the Decommissioning Planning Rule requirements in 10 CFR 20.1406 and 10 CFR 20.1501</w:t>
      </w:r>
      <w:r>
        <w:t xml:space="preserve"> in accordance with RG 4.22,</w:t>
      </w:r>
      <w:r w:rsidRPr="00D65261">
        <w:t xml:space="preserve"> </w:t>
      </w:r>
      <w:r>
        <w:t>“</w:t>
      </w:r>
      <w:r w:rsidRPr="00D65261">
        <w:t xml:space="preserve">Decommissioning Planning </w:t>
      </w:r>
      <w:r w:rsidR="00551784" w:rsidRPr="00D65261">
        <w:t>during</w:t>
      </w:r>
      <w:r w:rsidRPr="00D65261">
        <w:t xml:space="preserve"> Operations</w:t>
      </w:r>
      <w:r>
        <w:t>.”</w:t>
      </w:r>
      <w:r w:rsidRPr="00406997">
        <w:t xml:space="preserve">  If the licensee chooses other methods of implementing these requirements, review those methods of implementation.  </w:t>
      </w:r>
    </w:p>
    <w:p w14:paraId="50566252" w14:textId="77777777" w:rsidR="0044249E" w:rsidRDefault="0044249E" w:rsidP="0044249E">
      <w:pPr>
        <w:pStyle w:val="pa"/>
        <w:numPr>
          <w:ilvl w:val="0"/>
          <w:numId w:val="0"/>
        </w:numPr>
        <w:ind w:left="806"/>
      </w:pPr>
    </w:p>
    <w:p w14:paraId="12F24D73" w14:textId="4DDA720E" w:rsidR="00252320" w:rsidRDefault="0044249E" w:rsidP="0044249E">
      <w:pPr>
        <w:pStyle w:val="pa"/>
        <w:numPr>
          <w:ilvl w:val="0"/>
          <w:numId w:val="0"/>
        </w:numPr>
        <w:ind w:left="806"/>
      </w:pPr>
      <w:r w:rsidRPr="00585C56">
        <w:rPr>
          <w:iCs/>
        </w:rPr>
        <w:t>For 10 CFR Part 52 license</w:t>
      </w:r>
      <w:r>
        <w:rPr>
          <w:iCs/>
        </w:rPr>
        <w:t>es</w:t>
      </w:r>
      <w:r w:rsidRPr="00585C56">
        <w:rPr>
          <w:iCs/>
        </w:rPr>
        <w:t>, in addition to complying with 10 CFR 20.1406, licensees are committed to implement</w:t>
      </w:r>
      <w:r>
        <w:rPr>
          <w:iCs/>
        </w:rPr>
        <w:t>ing</w:t>
      </w:r>
      <w:r w:rsidRPr="00585C56">
        <w:rPr>
          <w:iCs/>
        </w:rPr>
        <w:t xml:space="preserve"> the GPI as part of their licensing basis, including use of the NEI 08-08A, “Generic FSAR Template Guidance for Life-Cycle Minimization of Contamination” as implemented in design features and operational programs.</w:t>
      </w:r>
    </w:p>
    <w:p w14:paraId="7491F404" w14:textId="77777777" w:rsidR="00F25B8F" w:rsidRPr="003B204C" w:rsidRDefault="00F25B8F" w:rsidP="00F25B8F">
      <w:pPr>
        <w:pStyle w:val="pa"/>
        <w:numPr>
          <w:ilvl w:val="0"/>
          <w:numId w:val="0"/>
        </w:numPr>
        <w:ind w:left="806"/>
      </w:pPr>
    </w:p>
    <w:p w14:paraId="36A06B49" w14:textId="5299E5DC" w:rsidR="0057713F" w:rsidRDefault="0070160A" w:rsidP="008010C3">
      <w:pPr>
        <w:pStyle w:val="pa"/>
        <w:numPr>
          <w:ilvl w:val="0"/>
          <w:numId w:val="6"/>
        </w:numPr>
      </w:pPr>
      <w:r>
        <w:t xml:space="preserve">Decommissioning planning rule requirements are found </w:t>
      </w:r>
      <w:r w:rsidRPr="00741794">
        <w:t>in 10 CFR 20.1406 (minimization of contamination) (see Regulatory</w:t>
      </w:r>
      <w:r w:rsidR="008010C3">
        <w:t xml:space="preserve"> </w:t>
      </w:r>
      <w:r w:rsidRPr="00741794">
        <w:t>Guide 4.22</w:t>
      </w:r>
      <w:r>
        <w:t>, “</w:t>
      </w:r>
      <w:r w:rsidRPr="0092726A">
        <w:t xml:space="preserve">Decommissioning Planning </w:t>
      </w:r>
      <w:r w:rsidR="00551784" w:rsidRPr="0092726A">
        <w:t>during</w:t>
      </w:r>
      <w:r w:rsidRPr="0092726A">
        <w:t xml:space="preserve"> Operations</w:t>
      </w:r>
      <w:r>
        <w:t>”</w:t>
      </w:r>
      <w:r w:rsidRPr="00741794">
        <w:t>) and 10 CFR 20.1501</w:t>
      </w:r>
      <w:r>
        <w:t>, “General”</w:t>
      </w:r>
      <w:r w:rsidRPr="00741794">
        <w:t xml:space="preserve"> </w:t>
      </w:r>
      <w:r>
        <w:t xml:space="preserve">for requirements on </w:t>
      </w:r>
      <w:r w:rsidRPr="00741794">
        <w:t>subsurface surveys</w:t>
      </w:r>
      <w:r w:rsidR="0057713F">
        <w:t>.</w:t>
      </w:r>
    </w:p>
    <w:p w14:paraId="52EB71E9" w14:textId="77777777" w:rsidR="0057713F" w:rsidRDefault="0057713F" w:rsidP="0057713F">
      <w:pPr>
        <w:pStyle w:val="pa"/>
        <w:numPr>
          <w:ilvl w:val="0"/>
          <w:numId w:val="0"/>
        </w:numPr>
        <w:ind w:left="274"/>
      </w:pPr>
    </w:p>
    <w:p w14:paraId="107D0ADC" w14:textId="50D71CD4" w:rsidR="0057713F" w:rsidRDefault="0057713F" w:rsidP="0057713F">
      <w:pPr>
        <w:pStyle w:val="pa"/>
        <w:numPr>
          <w:ilvl w:val="0"/>
          <w:numId w:val="6"/>
        </w:numPr>
      </w:pPr>
      <w:r w:rsidRPr="003B204C">
        <w:t>Assess whether sufficient radiological surveys were performed to evaluate the extent of the contaminati</w:t>
      </w:r>
      <w:r w:rsidRPr="00915E95">
        <w:t>o</w:t>
      </w:r>
      <w:r w:rsidRPr="003B204C">
        <w:t>n and the radiological source term.  Verify that a survey/evaluation has been performed to include consideration of hard</w:t>
      </w:r>
      <w:r w:rsidRPr="003B204C">
        <w:noBreakHyphen/>
        <w:t>to</w:t>
      </w:r>
      <w:r w:rsidRPr="003B204C">
        <w:noBreakHyphen/>
        <w:t>detect radionuclides.  Note that the use of scaling factors can be used in bounding calculations.</w:t>
      </w:r>
      <w:r>
        <w:t xml:space="preserve">  </w:t>
      </w:r>
      <w:r w:rsidRPr="003B204C">
        <w:t>10 CFR 50.75(g) files (or corrective action program files referencing 50.75(g) files) should contain a description of the leak or spill (isotopes and quantities), location and size of the impacted area, cross reference to survey results, and results of any remediation performed if undetected leakage has occurred or is suspected and insufficient monitoring/remediation actions have been taken by the licensee, discuss this issue with your supervisor.  If assistance in assessing the adequacy of the licensee</w:t>
      </w:r>
      <w:r>
        <w:t>’</w:t>
      </w:r>
      <w:r w:rsidRPr="003B204C">
        <w:t>s onsite/offsite monitoring activities is needed and/or site hydrologic characteristics are not clearly defined, the program office should be consulted.</w:t>
      </w:r>
    </w:p>
    <w:p w14:paraId="4B179992" w14:textId="77777777" w:rsidR="00A66E23" w:rsidRDefault="00A66E23" w:rsidP="00BC623E">
      <w:pPr>
        <w:pStyle w:val="pa"/>
        <w:numPr>
          <w:ilvl w:val="0"/>
          <w:numId w:val="0"/>
        </w:numPr>
        <w:ind w:left="806"/>
      </w:pPr>
    </w:p>
    <w:p w14:paraId="636B5BB7" w14:textId="77777777" w:rsidR="00A66E23" w:rsidRDefault="000A4962" w:rsidP="00325EEA">
      <w:pPr>
        <w:pStyle w:val="pa"/>
        <w:numPr>
          <w:ilvl w:val="0"/>
          <w:numId w:val="6"/>
        </w:numPr>
      </w:pPr>
      <w:r>
        <w:t>No inspection guidance.</w:t>
      </w:r>
    </w:p>
    <w:p w14:paraId="28AA67FA" w14:textId="77777777" w:rsidR="00A66E23" w:rsidRDefault="00A66E23" w:rsidP="00BC623E">
      <w:pPr>
        <w:pStyle w:val="pa"/>
        <w:numPr>
          <w:ilvl w:val="0"/>
          <w:numId w:val="0"/>
        </w:numPr>
        <w:ind w:left="806"/>
      </w:pPr>
    </w:p>
    <w:p w14:paraId="2C63BC43" w14:textId="77777777" w:rsidR="00A66E23" w:rsidRDefault="000A4962" w:rsidP="00325EEA">
      <w:pPr>
        <w:pStyle w:val="pa"/>
        <w:numPr>
          <w:ilvl w:val="0"/>
          <w:numId w:val="6"/>
        </w:numPr>
      </w:pPr>
      <w:r>
        <w:t>No inspection guidance.</w:t>
      </w:r>
    </w:p>
    <w:p w14:paraId="093A1309" w14:textId="77777777" w:rsidR="00A66E23" w:rsidRDefault="00A66E23" w:rsidP="00BC623E">
      <w:pPr>
        <w:pStyle w:val="pa"/>
        <w:numPr>
          <w:ilvl w:val="0"/>
          <w:numId w:val="0"/>
        </w:numPr>
        <w:ind w:left="806"/>
      </w:pPr>
    </w:p>
    <w:p w14:paraId="13F8F8B2" w14:textId="4FB7AC14" w:rsidR="00A66E23" w:rsidRDefault="0044249E" w:rsidP="00325EEA">
      <w:pPr>
        <w:pStyle w:val="pa"/>
        <w:numPr>
          <w:ilvl w:val="0"/>
          <w:numId w:val="6"/>
        </w:numPr>
      </w:pPr>
      <w:r>
        <w:t>Surface water bodies include:  ponds, retention basins and lakes</w:t>
      </w:r>
      <w:r w:rsidR="000A4962">
        <w:t>.</w:t>
      </w:r>
    </w:p>
    <w:p w14:paraId="6343059F" w14:textId="77777777" w:rsidR="0057713F" w:rsidRDefault="0057713F" w:rsidP="0057713F">
      <w:pPr>
        <w:pStyle w:val="ListParagraph"/>
      </w:pPr>
    </w:p>
    <w:p w14:paraId="68BE2FF7" w14:textId="5188076E" w:rsidR="0057713F" w:rsidRDefault="0057713F" w:rsidP="00325EEA">
      <w:pPr>
        <w:pStyle w:val="pa"/>
        <w:numPr>
          <w:ilvl w:val="0"/>
          <w:numId w:val="6"/>
        </w:numPr>
      </w:pPr>
      <w:r>
        <w:t>No inspection guidance.</w:t>
      </w:r>
    </w:p>
    <w:p w14:paraId="51696F86" w14:textId="77777777" w:rsidR="005C0A06" w:rsidRDefault="005C0A06" w:rsidP="005C0A06">
      <w:pPr>
        <w:pStyle w:val="ListParagraph"/>
      </w:pPr>
    </w:p>
    <w:p w14:paraId="29C0CFFE" w14:textId="77777777" w:rsidR="0090450E" w:rsidRDefault="00F25B8F" w:rsidP="00F25B8F">
      <w:pPr>
        <w:pStyle w:val="pa"/>
        <w:numPr>
          <w:ilvl w:val="0"/>
          <w:numId w:val="6"/>
        </w:numPr>
        <w:sectPr w:rsidR="0090450E" w:rsidSect="00681A32">
          <w:footerReference w:type="default" r:id="rId17"/>
          <w:pgSz w:w="12240" w:h="15840" w:code="1"/>
          <w:pgMar w:top="1440" w:right="1440" w:bottom="1440" w:left="1440" w:header="720" w:footer="720" w:gutter="0"/>
          <w:cols w:space="720"/>
          <w:docGrid w:linePitch="299"/>
        </w:sectPr>
      </w:pPr>
      <w:r w:rsidRPr="003B204C">
        <w:t xml:space="preserve">Guidance on new release points is </w:t>
      </w:r>
      <w:r>
        <w:t xml:space="preserve">provided </w:t>
      </w:r>
      <w:r w:rsidRPr="003B204C">
        <w:t xml:space="preserve">in </w:t>
      </w:r>
      <w:r>
        <w:t xml:space="preserve">Regulatory Guide 1.21 and </w:t>
      </w:r>
      <w:r w:rsidRPr="003B204C">
        <w:t xml:space="preserve">Lessons Learned Task Force (LLTF) recommendation #17.  </w:t>
      </w:r>
    </w:p>
    <w:p w14:paraId="0D7CACFD" w14:textId="77777777" w:rsidR="00F25B8F" w:rsidRPr="003B204C" w:rsidRDefault="00F25B8F" w:rsidP="00F25B8F">
      <w:pPr>
        <w:jc w:val="left"/>
      </w:pPr>
      <w:r w:rsidRPr="003B204C">
        <w:lastRenderedPageBreak/>
        <w:tab/>
      </w:r>
      <w:r>
        <w:tab/>
      </w:r>
      <w:r w:rsidRPr="003B204C">
        <w:t>Note:  In accordance with Regulatory Guide 1.109, a significant new exposure pathway exists if a conservative evaluation yields an additional dose increment equal to or more than 10 percent of the total from all exposure pathways considered in Regulatory Guide 1.109.</w:t>
      </w:r>
    </w:p>
    <w:p w14:paraId="030520BC" w14:textId="77777777" w:rsidR="00B16236" w:rsidRDefault="00B16236" w:rsidP="00B16236">
      <w:pPr>
        <w:pStyle w:val="ListParagraph"/>
      </w:pPr>
    </w:p>
    <w:p w14:paraId="76C56FF6" w14:textId="2A29C842" w:rsidR="00100EB5" w:rsidRPr="003B204C" w:rsidRDefault="00D64B7D" w:rsidP="00BC623E">
      <w:pPr>
        <w:pStyle w:val="0201"/>
        <w:jc w:val="left"/>
      </w:pPr>
      <w:r>
        <w:t>03.03</w:t>
      </w:r>
      <w:r w:rsidR="00A66E23">
        <w:tab/>
      </w:r>
      <w:r w:rsidR="00100EB5" w:rsidRPr="00A66E23">
        <w:rPr>
          <w:u w:val="single"/>
        </w:rPr>
        <w:t xml:space="preserve">Problem </w:t>
      </w:r>
      <w:r w:rsidR="002D6147" w:rsidRPr="00A66E23">
        <w:rPr>
          <w:u w:val="single"/>
        </w:rPr>
        <w:t>Identification and Resolutio</w:t>
      </w:r>
      <w:r>
        <w:rPr>
          <w:u w:val="single"/>
        </w:rPr>
        <w:t>n</w:t>
      </w:r>
      <w:r w:rsidR="000F09AA" w:rsidRPr="003B204C">
        <w:t xml:space="preserve">  </w:t>
      </w:r>
    </w:p>
    <w:p w14:paraId="0F651BE5" w14:textId="77777777" w:rsidR="00100EB5" w:rsidRPr="003B204C" w:rsidRDefault="00100EB5" w:rsidP="00BC623E">
      <w:pPr>
        <w:jc w:val="left"/>
      </w:pPr>
    </w:p>
    <w:p w14:paraId="286FF29D" w14:textId="4CEFF631" w:rsidR="000442A4" w:rsidRDefault="000442A4" w:rsidP="000442A4">
      <w:pPr>
        <w:ind w:left="835"/>
      </w:pPr>
      <w:r>
        <w:tab/>
      </w:r>
      <w:r>
        <w:tab/>
        <w:t>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5799C7FB" w14:textId="77777777" w:rsidR="00242419" w:rsidRPr="003B204C" w:rsidRDefault="00242419" w:rsidP="00BC623E">
      <w:pPr>
        <w:jc w:val="left"/>
      </w:pPr>
    </w:p>
    <w:p w14:paraId="4199C2EC" w14:textId="77777777" w:rsidR="00493786" w:rsidRDefault="00493786" w:rsidP="00BC623E">
      <w:pPr>
        <w:pStyle w:val="7112307-01"/>
        <w:jc w:val="left"/>
      </w:pPr>
    </w:p>
    <w:p w14:paraId="42D7B04D" w14:textId="77777777" w:rsidR="006661E4" w:rsidRPr="003B204C" w:rsidRDefault="006661E4" w:rsidP="00BC623E">
      <w:pPr>
        <w:pStyle w:val="7112307-01"/>
        <w:jc w:val="left"/>
      </w:pPr>
      <w:r w:rsidRPr="003B204C">
        <w:t>7112</w:t>
      </w:r>
      <w:r w:rsidR="000F09AA" w:rsidRPr="003B204C">
        <w:t>4</w:t>
      </w:r>
      <w:r w:rsidRPr="003B204C">
        <w:t>.0</w:t>
      </w:r>
      <w:r w:rsidR="005A061F" w:rsidRPr="003B204C">
        <w:t>7</w:t>
      </w:r>
      <w:r w:rsidRPr="003B204C">
        <w:t>-0</w:t>
      </w:r>
      <w:r w:rsidR="002D6147" w:rsidRPr="003B204C">
        <w:t>4</w:t>
      </w:r>
      <w:r w:rsidR="00A66E23">
        <w:tab/>
      </w:r>
      <w:r w:rsidRPr="003B204C">
        <w:t>RESOURCE ESTIMATE</w:t>
      </w:r>
    </w:p>
    <w:p w14:paraId="67934845" w14:textId="77777777" w:rsidR="006661E4" w:rsidRPr="003B204C" w:rsidRDefault="006661E4" w:rsidP="00BC623E">
      <w:pPr>
        <w:jc w:val="left"/>
      </w:pPr>
    </w:p>
    <w:p w14:paraId="18487827" w14:textId="77777777" w:rsidR="00A66E23" w:rsidRDefault="00E63638" w:rsidP="00BC623E">
      <w:pPr>
        <w:pStyle w:val="pa"/>
        <w:numPr>
          <w:ilvl w:val="0"/>
          <w:numId w:val="0"/>
        </w:numPr>
        <w:ind w:left="274"/>
      </w:pPr>
      <w:r w:rsidRPr="003B204C">
        <w:t>For planning purposes</w:t>
      </w:r>
      <w:r w:rsidR="000F09AA" w:rsidRPr="003B204C">
        <w:t>,</w:t>
      </w:r>
      <w:r w:rsidRPr="003B204C">
        <w:t xml:space="preserve"> it is estimated to take 2</w:t>
      </w:r>
      <w:r w:rsidR="00A66E23">
        <w:t>9</w:t>
      </w:r>
      <w:r w:rsidR="000F09AA" w:rsidRPr="003B204C">
        <w:t> </w:t>
      </w:r>
      <w:r w:rsidRPr="003B204C">
        <w:t>hours, on average (with a range of 2</w:t>
      </w:r>
      <w:r w:rsidR="00A66E23">
        <w:t>5</w:t>
      </w:r>
      <w:r w:rsidR="000F09AA" w:rsidRPr="003B204C">
        <w:t> </w:t>
      </w:r>
      <w:r w:rsidRPr="003B204C">
        <w:t>to 3</w:t>
      </w:r>
      <w:r w:rsidR="00A66E23">
        <w:t>3</w:t>
      </w:r>
      <w:r w:rsidR="000F09AA" w:rsidRPr="003B204C">
        <w:t> </w:t>
      </w:r>
      <w:r w:rsidRPr="003B204C">
        <w:t>hours) to perform the requirements of this attachment.</w:t>
      </w:r>
    </w:p>
    <w:p w14:paraId="383B8DA8" w14:textId="77777777" w:rsidR="00D64B7D" w:rsidRDefault="00D64B7D" w:rsidP="00BC623E">
      <w:pPr>
        <w:pStyle w:val="pa"/>
        <w:numPr>
          <w:ilvl w:val="0"/>
          <w:numId w:val="0"/>
        </w:numPr>
        <w:ind w:left="274"/>
      </w:pPr>
    </w:p>
    <w:p w14:paraId="5FB63FA5" w14:textId="77777777" w:rsidR="00D64B7D" w:rsidRDefault="00D64B7D" w:rsidP="00BC623E">
      <w:pPr>
        <w:pStyle w:val="pa"/>
        <w:numPr>
          <w:ilvl w:val="0"/>
          <w:numId w:val="0"/>
        </w:numPr>
        <w:ind w:left="274"/>
      </w:pPr>
    </w:p>
    <w:p w14:paraId="4E101F70" w14:textId="77777777" w:rsidR="00D145C7" w:rsidRPr="003B204C" w:rsidRDefault="00D145C7" w:rsidP="00BC623E">
      <w:pPr>
        <w:pStyle w:val="7112307-01"/>
        <w:jc w:val="left"/>
      </w:pPr>
      <w:r w:rsidRPr="003B204C">
        <w:t>7112</w:t>
      </w:r>
      <w:r w:rsidR="000F09AA" w:rsidRPr="003B204C">
        <w:t>4</w:t>
      </w:r>
      <w:r w:rsidRPr="003B204C">
        <w:t>.0</w:t>
      </w:r>
      <w:r w:rsidR="005A061F" w:rsidRPr="003B204C">
        <w:t>7</w:t>
      </w:r>
      <w:r w:rsidRPr="003B204C">
        <w:t>-0</w:t>
      </w:r>
      <w:r w:rsidR="002D6147" w:rsidRPr="003B204C">
        <w:t>5</w:t>
      </w:r>
      <w:r w:rsidRPr="003B204C">
        <w:tab/>
        <w:t>COMPLETION STATUS</w:t>
      </w:r>
    </w:p>
    <w:p w14:paraId="5B92DCAF" w14:textId="77777777" w:rsidR="00D145C7" w:rsidRPr="000442A4" w:rsidRDefault="00D145C7" w:rsidP="00BC623E">
      <w:pPr>
        <w:jc w:val="left"/>
      </w:pPr>
    </w:p>
    <w:p w14:paraId="2C290CFA" w14:textId="0C587B85" w:rsidR="00A66E23" w:rsidRPr="000442A4" w:rsidRDefault="00A66E23" w:rsidP="00BC623E">
      <w:pPr>
        <w:pStyle w:val="P1"/>
      </w:pPr>
      <w:r w:rsidRPr="000442A4">
        <w:t xml:space="preserve">Inspection of the minimum sample size will constitute completion of this procedure in the RPS.  The minimum sample size for this attachment is </w:t>
      </w:r>
      <w:r w:rsidR="008778BD" w:rsidRPr="000442A4">
        <w:t>two</w:t>
      </w:r>
      <w:r w:rsidRPr="000442A4">
        <w:t xml:space="preserve">, </w:t>
      </w:r>
      <w:r w:rsidR="008778BD" w:rsidRPr="000442A4">
        <w:t>defined as the completion of the activities contained in sections 02.01 and 02.02.</w:t>
      </w:r>
      <w:r w:rsidRPr="000442A4">
        <w:t xml:space="preserve">  </w:t>
      </w:r>
    </w:p>
    <w:p w14:paraId="3DE39FC6" w14:textId="77777777" w:rsidR="00A66E23" w:rsidRPr="000442A4" w:rsidRDefault="00A66E23" w:rsidP="00BC623E">
      <w:pPr>
        <w:pStyle w:val="P1"/>
      </w:pPr>
    </w:p>
    <w:p w14:paraId="6075374F" w14:textId="77777777" w:rsidR="00CA459A" w:rsidRDefault="00A66E23" w:rsidP="00BC623E">
      <w:pPr>
        <w:pStyle w:val="P1"/>
      </w:pPr>
      <w:r w:rsidRPr="00F81BC6">
        <w:t xml:space="preserve">If </w:t>
      </w:r>
      <w:r>
        <w:t xml:space="preserve">any </w:t>
      </w:r>
      <w:r w:rsidRPr="00F81BC6">
        <w:t xml:space="preserve">of the </w:t>
      </w:r>
      <w:r>
        <w:t xml:space="preserve">sample inspection requirements </w:t>
      </w:r>
      <w:r w:rsidRPr="00F81BC6">
        <w:t xml:space="preserve">cannot be </w:t>
      </w:r>
      <w:r>
        <w:t xml:space="preserve">completed, </w:t>
      </w:r>
      <w:r w:rsidRPr="00F81BC6">
        <w:t xml:space="preserve">the procedure should be closed </w:t>
      </w:r>
      <w:r>
        <w:t xml:space="preserve">in accordance with </w:t>
      </w:r>
      <w:r w:rsidRPr="00972638">
        <w:t>IMC 0306, “</w:t>
      </w:r>
      <w:r>
        <w:t>Planning, Tracking and Reporting of the Reactor Oversight Process (ROP).”  For example, i</w:t>
      </w:r>
      <w:r w:rsidRPr="00972638">
        <w:t xml:space="preserve">f certain steps could not be completed due to sample unavailability, the procedure </w:t>
      </w:r>
      <w:r>
        <w:t xml:space="preserve">attachment </w:t>
      </w:r>
      <w:r w:rsidRPr="00972638">
        <w:t>should be declared “</w:t>
      </w:r>
      <w:r>
        <w:t>C</w:t>
      </w:r>
      <w:r w:rsidRPr="00972638">
        <w:t>omplete – full sample not available” with a comment addressing the specific steps or activities that could not be completed.</w:t>
      </w:r>
    </w:p>
    <w:p w14:paraId="0B0DEA4C" w14:textId="77777777" w:rsidR="00371B12" w:rsidRDefault="00371B12" w:rsidP="00BC623E">
      <w:pPr>
        <w:pStyle w:val="P1"/>
      </w:pPr>
    </w:p>
    <w:p w14:paraId="64F8032F" w14:textId="77777777" w:rsidR="0090450E" w:rsidRDefault="0090450E" w:rsidP="00BC623E">
      <w:pPr>
        <w:pStyle w:val="P1"/>
      </w:pPr>
    </w:p>
    <w:p w14:paraId="0BD7BD60" w14:textId="77777777" w:rsidR="00A43FD7" w:rsidRDefault="00A43FD7" w:rsidP="00A43FD7">
      <w:pPr>
        <w:pStyle w:val="7112307-01"/>
        <w:jc w:val="left"/>
      </w:pPr>
      <w:r w:rsidRPr="003B204C">
        <w:t>71124.07-0</w:t>
      </w:r>
      <w:r>
        <w:t>6</w:t>
      </w:r>
      <w:r w:rsidRPr="003B204C">
        <w:tab/>
      </w:r>
      <w:r>
        <w:t>REFERENCES</w:t>
      </w:r>
    </w:p>
    <w:p w14:paraId="6E88C006" w14:textId="77777777" w:rsidR="00CD6564" w:rsidRDefault="00CD6564" w:rsidP="00CD6564">
      <w:pPr>
        <w:ind w:left="0" w:firstLine="0"/>
      </w:pPr>
    </w:p>
    <w:p w14:paraId="0F3B9035" w14:textId="77777777" w:rsidR="00CD6564" w:rsidRDefault="00CD6564" w:rsidP="00CD6564">
      <w:pPr>
        <w:ind w:left="0" w:firstLine="0"/>
      </w:pPr>
      <w:r w:rsidRPr="00BA1C01">
        <w:t xml:space="preserve">10 CFR Part 50, Appendix A, “General Design Criteria for Nuclear Power Plants,” Criterion 64, “Monitoring </w:t>
      </w:r>
      <w:r w:rsidR="006400AB">
        <w:t>r</w:t>
      </w:r>
      <w:r w:rsidRPr="00BA1C01">
        <w:t xml:space="preserve">adioactivity </w:t>
      </w:r>
      <w:r w:rsidR="006400AB">
        <w:t>r</w:t>
      </w:r>
      <w:r w:rsidRPr="00BA1C01">
        <w:t>eleases,”</w:t>
      </w:r>
    </w:p>
    <w:p w14:paraId="7B17F5A0" w14:textId="77777777" w:rsidR="00CD6564" w:rsidRPr="00BA1C01" w:rsidRDefault="00CD6564" w:rsidP="00CD6564">
      <w:pPr>
        <w:ind w:left="0" w:firstLine="0"/>
      </w:pPr>
    </w:p>
    <w:p w14:paraId="6136FA0D" w14:textId="77777777" w:rsidR="00CD6564" w:rsidRDefault="00CD6564" w:rsidP="00CD6564">
      <w:pPr>
        <w:ind w:left="0" w:firstLine="0"/>
      </w:pPr>
      <w:r w:rsidRPr="00BA1C01">
        <w:t xml:space="preserve">10 CFR 50.34a, “Design Objectives for Equipment </w:t>
      </w:r>
      <w:r w:rsidR="00281284">
        <w:t>t</w:t>
      </w:r>
      <w:r w:rsidRPr="00BA1C01">
        <w:t>o Control Releases of Radioactive Material in Effluents—Nuclear Power Reactors,”</w:t>
      </w:r>
    </w:p>
    <w:p w14:paraId="1523B98A" w14:textId="77777777" w:rsidR="00CD6564" w:rsidRPr="00BA1C01" w:rsidRDefault="00CD6564" w:rsidP="00CD6564">
      <w:pPr>
        <w:ind w:left="0" w:firstLine="0"/>
      </w:pPr>
    </w:p>
    <w:p w14:paraId="16919D6E" w14:textId="77777777" w:rsidR="00CD6564" w:rsidRDefault="00CD6564" w:rsidP="00CD6564">
      <w:pPr>
        <w:ind w:left="0" w:firstLine="0"/>
      </w:pPr>
      <w:r w:rsidRPr="00BA1C01">
        <w:t>10 CFR 50.75, “Reporting and recordkeeping for decommissioning planning,”</w:t>
      </w:r>
    </w:p>
    <w:p w14:paraId="6B514493" w14:textId="77777777" w:rsidR="00CD6564" w:rsidRPr="00BA1C01" w:rsidRDefault="00CD6564" w:rsidP="00CD6564">
      <w:pPr>
        <w:ind w:left="0" w:firstLine="0"/>
      </w:pPr>
    </w:p>
    <w:p w14:paraId="0899B37A" w14:textId="77777777" w:rsidR="0090450E" w:rsidRDefault="00CD6564" w:rsidP="00CD6564">
      <w:pPr>
        <w:ind w:left="0" w:firstLine="0"/>
        <w:sectPr w:rsidR="0090450E" w:rsidSect="00681A32">
          <w:footerReference w:type="default" r:id="rId18"/>
          <w:pgSz w:w="12240" w:h="15840" w:code="1"/>
          <w:pgMar w:top="1440" w:right="1440" w:bottom="1440" w:left="1440" w:header="720" w:footer="720" w:gutter="0"/>
          <w:cols w:space="720"/>
          <w:docGrid w:linePitch="299"/>
        </w:sectPr>
      </w:pPr>
      <w:r w:rsidRPr="00BA1C01">
        <w:t>IMC 0612, “Power Reactor Inspection Reports</w:t>
      </w:r>
      <w:r w:rsidR="00281284">
        <w:t>,</w:t>
      </w:r>
      <w:r w:rsidRPr="00BA1C01">
        <w:t>”</w:t>
      </w:r>
    </w:p>
    <w:p w14:paraId="3D7596A3" w14:textId="77777777" w:rsidR="00CD6564" w:rsidRDefault="00CD6564" w:rsidP="00CD6564">
      <w:pPr>
        <w:ind w:left="0" w:firstLine="0"/>
      </w:pPr>
      <w:r w:rsidRPr="00BA1C01">
        <w:lastRenderedPageBreak/>
        <w:t>Inspection Procedure 71152, “Problem Identification and Resolution,”</w:t>
      </w:r>
    </w:p>
    <w:p w14:paraId="6320BBE9" w14:textId="77777777" w:rsidR="00CD6564" w:rsidRPr="00BA1C01" w:rsidRDefault="00CD6564" w:rsidP="00CD6564">
      <w:pPr>
        <w:ind w:left="0" w:firstLine="0"/>
      </w:pPr>
    </w:p>
    <w:p w14:paraId="79D5CB88" w14:textId="77777777" w:rsidR="00CD6564" w:rsidRDefault="00CD6564" w:rsidP="00CD6564">
      <w:r w:rsidRPr="00BA1C01">
        <w:t>NEI 07-07, “Industry Ground Water Protection Initiative (GPI)</w:t>
      </w:r>
      <w:r w:rsidR="00281284">
        <w:t>,</w:t>
      </w:r>
      <w:r w:rsidRPr="00BA1C01">
        <w:t>”</w:t>
      </w:r>
    </w:p>
    <w:p w14:paraId="19EE2435" w14:textId="77777777" w:rsidR="00CD6564" w:rsidRPr="00BA1C01" w:rsidRDefault="00CD6564" w:rsidP="00CD6564"/>
    <w:p w14:paraId="5FEFCC36" w14:textId="77777777" w:rsidR="00CD6564" w:rsidRDefault="00CD6564" w:rsidP="00CD6564">
      <w:pPr>
        <w:ind w:left="0" w:firstLine="0"/>
      </w:pPr>
      <w:r w:rsidRPr="00BA1C01">
        <w:t>NEI 08-08A, “Generic FSAR Template Guidance for Life-Cycle Minimization of Contamination</w:t>
      </w:r>
      <w:r w:rsidR="00281284">
        <w:t>,</w:t>
      </w:r>
      <w:r w:rsidRPr="00BA1C01">
        <w:t>”</w:t>
      </w:r>
    </w:p>
    <w:p w14:paraId="0D7A0DFC" w14:textId="77777777" w:rsidR="00CD6564" w:rsidRPr="00BA1C01" w:rsidRDefault="00CD6564" w:rsidP="00CD6564">
      <w:pPr>
        <w:ind w:left="0" w:firstLine="0"/>
      </w:pPr>
    </w:p>
    <w:p w14:paraId="1E773246" w14:textId="700C9441" w:rsidR="00CD6564" w:rsidRDefault="00281284" w:rsidP="00CD6564">
      <w:pPr>
        <w:ind w:left="0" w:firstLine="0"/>
      </w:pPr>
      <w:r>
        <w:t xml:space="preserve">NRC, </w:t>
      </w:r>
      <w:r w:rsidR="00CD6564">
        <w:t>“</w:t>
      </w:r>
      <w:r w:rsidR="00CD6564" w:rsidRPr="00BA1C01">
        <w:t>Lessons Learned Task Force (LLTF) Report</w:t>
      </w:r>
      <w:r w:rsidR="00CD6564">
        <w:t>,”</w:t>
      </w:r>
      <w:r w:rsidR="00CD6564" w:rsidRPr="00BA1C01">
        <w:t xml:space="preserve"> </w:t>
      </w:r>
      <w:r w:rsidR="0057713F">
        <w:t xml:space="preserve">ADAMS </w:t>
      </w:r>
      <w:r w:rsidR="0057713F" w:rsidRPr="0057713F">
        <w:t>ML062650312</w:t>
      </w:r>
    </w:p>
    <w:p w14:paraId="5DD063F8" w14:textId="77777777" w:rsidR="00CD6564" w:rsidRDefault="00CD6564" w:rsidP="00CD6564">
      <w:pPr>
        <w:ind w:left="0" w:firstLine="0"/>
      </w:pPr>
    </w:p>
    <w:p w14:paraId="1E98184F" w14:textId="77777777" w:rsidR="00CD6564" w:rsidRDefault="00CD6564" w:rsidP="00CD6564">
      <w:pPr>
        <w:tabs>
          <w:tab w:val="clear" w:pos="806"/>
        </w:tabs>
        <w:ind w:left="0" w:firstLine="0"/>
      </w:pPr>
      <w:r w:rsidRPr="00BA1C01">
        <w:t>NUREG</w:t>
      </w:r>
      <w:r w:rsidRPr="00BA1C01">
        <w:noBreakHyphen/>
        <w:t xml:space="preserve">1301, “Offsite Dose Calculation Guidance:  Standard Radiological Effluent Controls for Pressurized Water Reactors,” </w:t>
      </w:r>
    </w:p>
    <w:p w14:paraId="4BE941CD" w14:textId="77777777" w:rsidR="00CD6564" w:rsidRPr="00BA1C01" w:rsidRDefault="00CD6564" w:rsidP="00CD6564"/>
    <w:p w14:paraId="4E8E2AAA" w14:textId="77777777" w:rsidR="00CD6564" w:rsidRDefault="00CD6564" w:rsidP="00CD6564">
      <w:pPr>
        <w:tabs>
          <w:tab w:val="clear" w:pos="806"/>
        </w:tabs>
        <w:ind w:left="0" w:firstLine="0"/>
      </w:pPr>
      <w:r w:rsidRPr="00BA1C01">
        <w:t>NUREG</w:t>
      </w:r>
      <w:r w:rsidRPr="00BA1C01">
        <w:noBreakHyphen/>
        <w:t>1302, “Offsite Dose Calculation Guidance:  Standard Radiological Effluent Controls for Boiling Water Reactors,”</w:t>
      </w:r>
    </w:p>
    <w:p w14:paraId="3F07A9C1" w14:textId="77777777" w:rsidR="00CD6564" w:rsidRPr="00BA1C01" w:rsidRDefault="00CD6564" w:rsidP="00CD6564"/>
    <w:p w14:paraId="24081D78" w14:textId="77777777" w:rsidR="00CD6564" w:rsidRDefault="00CD6564" w:rsidP="00CD6564">
      <w:pPr>
        <w:ind w:left="0" w:firstLine="0"/>
      </w:pPr>
      <w:r w:rsidRPr="00BA1C01">
        <w:t>NUREG</w:t>
      </w:r>
      <w:r w:rsidRPr="00BA1C01">
        <w:noBreakHyphen/>
        <w:t>1576, “Multi-Agency Radiological Laboratory Analytical Protocols Manual</w:t>
      </w:r>
      <w:r w:rsidR="00281284">
        <w:t>,</w:t>
      </w:r>
      <w:r w:rsidRPr="00BA1C01">
        <w:t xml:space="preserve">”  </w:t>
      </w:r>
    </w:p>
    <w:p w14:paraId="665F3B97" w14:textId="77777777" w:rsidR="00CD6564" w:rsidRPr="00BA1C01" w:rsidRDefault="00CD6564" w:rsidP="00CD6564">
      <w:pPr>
        <w:ind w:left="0" w:firstLine="0"/>
      </w:pPr>
    </w:p>
    <w:p w14:paraId="6E7DF621" w14:textId="77777777" w:rsidR="00CD6564" w:rsidRDefault="00CD6564" w:rsidP="00CD6564">
      <w:pPr>
        <w:ind w:left="0" w:firstLine="0"/>
      </w:pPr>
      <w:r w:rsidRPr="00BA1C01">
        <w:t>Regulatory Guide (RG) 4.22, “Decommissioning Planning During Operations</w:t>
      </w:r>
      <w:r w:rsidR="00281284">
        <w:t>,</w:t>
      </w:r>
      <w:r w:rsidRPr="00BA1C01">
        <w:t>”</w:t>
      </w:r>
    </w:p>
    <w:p w14:paraId="71584DDD" w14:textId="77777777" w:rsidR="00CD6564" w:rsidRPr="00BA1C01" w:rsidRDefault="00CD6564" w:rsidP="00CD6564">
      <w:pPr>
        <w:ind w:left="0" w:firstLine="0"/>
      </w:pPr>
    </w:p>
    <w:p w14:paraId="63B01D7B" w14:textId="77777777" w:rsidR="00CD6564" w:rsidRDefault="00CD6564" w:rsidP="00CD6564">
      <w:pPr>
        <w:ind w:left="0" w:firstLine="0"/>
      </w:pPr>
      <w:r w:rsidRPr="00BA1C01">
        <w:t xml:space="preserve">RG 1.23, “Meteorological Monitoring Programs for Nuclear Power Plants,” </w:t>
      </w:r>
    </w:p>
    <w:p w14:paraId="7667DDCF" w14:textId="77777777" w:rsidR="00CD6564" w:rsidRPr="00BA1C01" w:rsidRDefault="00CD6564" w:rsidP="00CD6564">
      <w:pPr>
        <w:ind w:left="0" w:firstLine="0"/>
      </w:pPr>
    </w:p>
    <w:p w14:paraId="09B53E25" w14:textId="77777777" w:rsidR="00CD6564" w:rsidRDefault="00CD6564" w:rsidP="00CD6564">
      <w:r w:rsidRPr="00BA1C01">
        <w:t>RG 4.22, “Decommissioning Planning During Operations</w:t>
      </w:r>
      <w:r w:rsidR="00281284">
        <w:t>,</w:t>
      </w:r>
      <w:r w:rsidRPr="00BA1C01">
        <w:t>”</w:t>
      </w:r>
      <w:r>
        <w:t xml:space="preserve"> </w:t>
      </w:r>
      <w:r w:rsidR="00281284">
        <w:t>a</w:t>
      </w:r>
      <w:r>
        <w:t>nd</w:t>
      </w:r>
    </w:p>
    <w:p w14:paraId="091DD34F" w14:textId="77777777" w:rsidR="00CD6564" w:rsidRPr="00BA1C01" w:rsidRDefault="00CD6564" w:rsidP="00CD6564"/>
    <w:p w14:paraId="58402436" w14:textId="77777777" w:rsidR="00CD6564" w:rsidRPr="00BA1C01" w:rsidRDefault="00CD6564" w:rsidP="00CD6564">
      <w:pPr>
        <w:ind w:left="0" w:firstLine="0"/>
      </w:pPr>
      <w:r w:rsidRPr="00BA1C01">
        <w:t>Safety Guide 23, “Onsite Meteorological Programs</w:t>
      </w:r>
      <w:r>
        <w:t>.</w:t>
      </w:r>
      <w:r w:rsidRPr="00BA1C01">
        <w:t xml:space="preserve">” </w:t>
      </w:r>
    </w:p>
    <w:p w14:paraId="2FBA1365" w14:textId="77777777" w:rsidR="00FA7406" w:rsidRDefault="00FA7406" w:rsidP="003B204C"/>
    <w:p w14:paraId="1086D320" w14:textId="77777777" w:rsidR="00CD6564" w:rsidRPr="003B204C" w:rsidRDefault="00CD6564" w:rsidP="003B204C"/>
    <w:p w14:paraId="1F5E2667" w14:textId="77777777" w:rsidR="006661E4" w:rsidRPr="003B204C" w:rsidRDefault="006661E4" w:rsidP="00A66E23">
      <w:pPr>
        <w:jc w:val="center"/>
      </w:pPr>
      <w:r w:rsidRPr="003B204C">
        <w:t>END</w:t>
      </w:r>
    </w:p>
    <w:p w14:paraId="79F40499" w14:textId="77777777" w:rsidR="00AB2829" w:rsidRPr="003B204C" w:rsidRDefault="00AB2829" w:rsidP="003B204C"/>
    <w:p w14:paraId="216150DA" w14:textId="77777777" w:rsidR="001F37DD" w:rsidRPr="003B204C" w:rsidRDefault="001F37DD" w:rsidP="003B204C">
      <w:pPr>
        <w:pStyle w:val="AppendixTitle"/>
        <w:sectPr w:rsidR="001F37DD" w:rsidRPr="003B204C" w:rsidSect="00681A32">
          <w:footerReference w:type="default" r:id="rId19"/>
          <w:pgSz w:w="12240" w:h="15840" w:code="1"/>
          <w:pgMar w:top="1440" w:right="1440" w:bottom="1440" w:left="1440" w:header="720" w:footer="720" w:gutter="0"/>
          <w:cols w:space="720"/>
          <w:docGrid w:linePitch="299"/>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2D678AFF" w14:textId="77777777" w:rsidR="004552D4" w:rsidRPr="004552D4" w:rsidRDefault="00CA459A" w:rsidP="004552D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2880"/>
        </w:tabs>
        <w:ind w:left="0" w:firstLine="0"/>
        <w:jc w:val="center"/>
      </w:pPr>
      <w:r>
        <w:lastRenderedPageBreak/>
        <w:t xml:space="preserve">Attachment 1:  </w:t>
      </w:r>
      <w:r w:rsidR="004552D4" w:rsidRPr="004552D4">
        <w:t>Revision History for IP 71124, Attachment 07</w:t>
      </w:r>
    </w:p>
    <w:p w14:paraId="784C1D45" w14:textId="77777777" w:rsidR="004552D4" w:rsidRPr="004552D4" w:rsidRDefault="004552D4" w:rsidP="004552D4">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ind w:left="0" w:firstLine="0"/>
        <w:jc w:val="left"/>
        <w:outlineLvl w:val="1"/>
      </w:pPr>
    </w:p>
    <w:tbl>
      <w:tblPr>
        <w:tblW w:w="13230" w:type="dxa"/>
        <w:jc w:val="center"/>
        <w:tblLayout w:type="fixed"/>
        <w:tblCellMar>
          <w:left w:w="120" w:type="dxa"/>
          <w:right w:w="120" w:type="dxa"/>
        </w:tblCellMar>
        <w:tblLook w:val="0020" w:firstRow="1" w:lastRow="0" w:firstColumn="0" w:lastColumn="0" w:noHBand="0" w:noVBand="0"/>
      </w:tblPr>
      <w:tblGrid>
        <w:gridCol w:w="1530"/>
        <w:gridCol w:w="2160"/>
        <w:gridCol w:w="4545"/>
        <w:gridCol w:w="2430"/>
        <w:gridCol w:w="2565"/>
      </w:tblGrid>
      <w:tr w:rsidR="004552D4" w:rsidRPr="00681A32" w14:paraId="3C5981D1" w14:textId="77777777" w:rsidTr="00D64B7D">
        <w:trPr>
          <w:tblHeader/>
          <w:jc w:val="center"/>
        </w:trPr>
        <w:tc>
          <w:tcPr>
            <w:tcW w:w="1530" w:type="dxa"/>
            <w:tcBorders>
              <w:top w:val="single" w:sz="6" w:space="0" w:color="000000"/>
              <w:left w:val="single" w:sz="6" w:space="0" w:color="000000"/>
              <w:bottom w:val="single" w:sz="6" w:space="0" w:color="000000"/>
              <w:right w:val="single" w:sz="6" w:space="0" w:color="000000"/>
            </w:tcBorders>
          </w:tcPr>
          <w:p w14:paraId="1B0BC898" w14:textId="77777777" w:rsidR="004552D4" w:rsidRPr="00681A32" w:rsidRDefault="004552D4" w:rsidP="009119B8">
            <w:pPr>
              <w:ind w:left="0" w:firstLine="0"/>
              <w:jc w:val="center"/>
            </w:pPr>
            <w:r w:rsidRPr="00681A32">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2E1B31AE" w14:textId="77777777" w:rsidR="004552D4" w:rsidRPr="00681A32" w:rsidRDefault="004552D4" w:rsidP="009119B8">
            <w:pPr>
              <w:ind w:left="0" w:firstLine="0"/>
              <w:jc w:val="center"/>
            </w:pPr>
            <w:r w:rsidRPr="00681A32">
              <w:t>Accession Number Issue Date   Change Notice</w:t>
            </w:r>
          </w:p>
        </w:tc>
        <w:tc>
          <w:tcPr>
            <w:tcW w:w="4545" w:type="dxa"/>
            <w:tcBorders>
              <w:top w:val="single" w:sz="6" w:space="0" w:color="000000"/>
              <w:left w:val="single" w:sz="6" w:space="0" w:color="000000"/>
              <w:bottom w:val="single" w:sz="6" w:space="0" w:color="000000"/>
              <w:right w:val="single" w:sz="6" w:space="0" w:color="000000"/>
            </w:tcBorders>
          </w:tcPr>
          <w:p w14:paraId="644DBE78" w14:textId="77777777" w:rsidR="004552D4" w:rsidRPr="00681A32" w:rsidRDefault="004552D4" w:rsidP="009119B8">
            <w:pPr>
              <w:ind w:left="0" w:firstLine="0"/>
              <w:jc w:val="center"/>
            </w:pPr>
            <w:r w:rsidRPr="00681A32">
              <w:t>Description of Change</w:t>
            </w:r>
          </w:p>
        </w:tc>
        <w:tc>
          <w:tcPr>
            <w:tcW w:w="2430" w:type="dxa"/>
            <w:tcBorders>
              <w:top w:val="single" w:sz="6" w:space="0" w:color="000000"/>
              <w:left w:val="single" w:sz="6" w:space="0" w:color="000000"/>
              <w:bottom w:val="single" w:sz="6" w:space="0" w:color="000000"/>
              <w:right w:val="single" w:sz="6" w:space="0" w:color="000000"/>
            </w:tcBorders>
          </w:tcPr>
          <w:p w14:paraId="1590EEC4" w14:textId="77777777" w:rsidR="004552D4" w:rsidRPr="00681A32" w:rsidRDefault="004552D4" w:rsidP="009119B8">
            <w:pPr>
              <w:ind w:left="0" w:firstLine="0"/>
              <w:jc w:val="center"/>
            </w:pPr>
            <w:r w:rsidRPr="00681A32">
              <w:t>Description of Training Required and Completion Date</w:t>
            </w:r>
          </w:p>
        </w:tc>
        <w:tc>
          <w:tcPr>
            <w:tcW w:w="2565" w:type="dxa"/>
            <w:tcBorders>
              <w:top w:val="single" w:sz="6" w:space="0" w:color="000000"/>
              <w:left w:val="single" w:sz="6" w:space="0" w:color="000000"/>
              <w:bottom w:val="single" w:sz="6" w:space="0" w:color="000000"/>
              <w:right w:val="single" w:sz="6" w:space="0" w:color="000000"/>
            </w:tcBorders>
          </w:tcPr>
          <w:p w14:paraId="7424A1A1" w14:textId="77777777" w:rsidR="004552D4" w:rsidRPr="00681A32" w:rsidRDefault="004552D4" w:rsidP="009119B8">
            <w:pPr>
              <w:ind w:left="0" w:firstLine="0"/>
              <w:jc w:val="center"/>
            </w:pPr>
            <w:r w:rsidRPr="00681A32">
              <w:t>Comment and Feedback Resolution  Accession Number (Pre-Decisional, Non-Public Information)</w:t>
            </w:r>
          </w:p>
        </w:tc>
      </w:tr>
      <w:tr w:rsidR="004552D4" w:rsidRPr="00681A32" w14:paraId="3E66EB24" w14:textId="77777777" w:rsidTr="00D64B7D">
        <w:trPr>
          <w:jc w:val="center"/>
        </w:trPr>
        <w:tc>
          <w:tcPr>
            <w:tcW w:w="1530" w:type="dxa"/>
            <w:tcBorders>
              <w:top w:val="single" w:sz="6" w:space="0" w:color="000000"/>
              <w:left w:val="single" w:sz="6" w:space="0" w:color="000000"/>
              <w:bottom w:val="single" w:sz="6" w:space="0" w:color="000000"/>
              <w:right w:val="single" w:sz="6" w:space="0" w:color="000000"/>
            </w:tcBorders>
          </w:tcPr>
          <w:p w14:paraId="50D61128" w14:textId="77777777" w:rsidR="004552D4" w:rsidRPr="00681A32" w:rsidRDefault="004552D4" w:rsidP="00CA459A">
            <w:pPr>
              <w:ind w:left="0" w:firstLine="0"/>
              <w:jc w:val="left"/>
            </w:pPr>
            <w:r w:rsidRPr="00681A32">
              <w:t>N/A</w:t>
            </w:r>
          </w:p>
        </w:tc>
        <w:tc>
          <w:tcPr>
            <w:tcW w:w="2160" w:type="dxa"/>
            <w:tcBorders>
              <w:top w:val="single" w:sz="6" w:space="0" w:color="000000"/>
              <w:left w:val="single" w:sz="6" w:space="0" w:color="000000"/>
              <w:bottom w:val="single" w:sz="6" w:space="0" w:color="000000"/>
              <w:right w:val="single" w:sz="6" w:space="0" w:color="000000"/>
            </w:tcBorders>
          </w:tcPr>
          <w:p w14:paraId="3F5D0A64" w14:textId="77777777" w:rsidR="004552D4" w:rsidRPr="00681A32" w:rsidRDefault="004552D4" w:rsidP="00CA459A">
            <w:pPr>
              <w:ind w:left="0" w:firstLine="0"/>
              <w:jc w:val="left"/>
            </w:pPr>
            <w:r w:rsidRPr="00681A32">
              <w:t>12/02/09</w:t>
            </w:r>
          </w:p>
          <w:p w14:paraId="6F647684" w14:textId="77777777" w:rsidR="004552D4" w:rsidRPr="00681A32" w:rsidRDefault="004552D4" w:rsidP="00CA459A">
            <w:pPr>
              <w:ind w:left="0" w:firstLine="0"/>
              <w:jc w:val="left"/>
            </w:pPr>
            <w:r w:rsidRPr="00681A32">
              <w:t>CN 09-030</w:t>
            </w:r>
          </w:p>
        </w:tc>
        <w:tc>
          <w:tcPr>
            <w:tcW w:w="4545" w:type="dxa"/>
            <w:tcBorders>
              <w:top w:val="single" w:sz="6" w:space="0" w:color="000000"/>
              <w:left w:val="single" w:sz="6" w:space="0" w:color="000000"/>
              <w:bottom w:val="single" w:sz="6" w:space="0" w:color="000000"/>
              <w:right w:val="single" w:sz="6" w:space="0" w:color="000000"/>
            </w:tcBorders>
          </w:tcPr>
          <w:p w14:paraId="7C239E22" w14:textId="77777777" w:rsidR="004552D4" w:rsidRPr="00681A32" w:rsidRDefault="004552D4" w:rsidP="00CA459A">
            <w:pPr>
              <w:ind w:left="0" w:firstLine="0"/>
              <w:jc w:val="left"/>
            </w:pPr>
            <w:r w:rsidRPr="00681A32">
              <w:t>Conducted four year search for commitments and found none.</w:t>
            </w:r>
          </w:p>
          <w:p w14:paraId="7D768C0A" w14:textId="77777777" w:rsidR="004552D4" w:rsidRPr="00681A32" w:rsidRDefault="004552D4" w:rsidP="00CA459A">
            <w:pPr>
              <w:ind w:left="0" w:firstLine="0"/>
              <w:jc w:val="left"/>
            </w:pPr>
            <w:r w:rsidRPr="00681A32">
              <w:t>This new procedure is being issued as a result of the 2009 ROP IP Realignment.  It supersedes inspection requirements in IP 71121 and 71122.</w:t>
            </w:r>
          </w:p>
        </w:tc>
        <w:tc>
          <w:tcPr>
            <w:tcW w:w="2430" w:type="dxa"/>
            <w:tcBorders>
              <w:top w:val="single" w:sz="6" w:space="0" w:color="000000"/>
              <w:left w:val="single" w:sz="6" w:space="0" w:color="000000"/>
              <w:bottom w:val="single" w:sz="6" w:space="0" w:color="000000"/>
              <w:right w:val="single" w:sz="6" w:space="0" w:color="000000"/>
            </w:tcBorders>
          </w:tcPr>
          <w:p w14:paraId="47E7480E" w14:textId="77777777" w:rsidR="004552D4" w:rsidRPr="00681A32" w:rsidRDefault="004552D4" w:rsidP="00CA459A">
            <w:pPr>
              <w:ind w:left="0" w:firstLine="0"/>
              <w:jc w:val="left"/>
            </w:pPr>
            <w:r w:rsidRPr="00681A32">
              <w:t>Y</w:t>
            </w:r>
            <w:r w:rsidR="009119B8" w:rsidRPr="00681A32">
              <w:t>es</w:t>
            </w:r>
          </w:p>
          <w:p w14:paraId="0EC414A2" w14:textId="77777777" w:rsidR="004552D4" w:rsidRPr="00681A32" w:rsidRDefault="004552D4" w:rsidP="00CA459A">
            <w:pPr>
              <w:ind w:left="0" w:firstLine="0"/>
              <w:jc w:val="left"/>
            </w:pPr>
            <w:r w:rsidRPr="00681A32">
              <w:t>09/09/2009</w:t>
            </w:r>
          </w:p>
        </w:tc>
        <w:tc>
          <w:tcPr>
            <w:tcW w:w="2565" w:type="dxa"/>
            <w:tcBorders>
              <w:top w:val="single" w:sz="6" w:space="0" w:color="000000"/>
              <w:left w:val="single" w:sz="6" w:space="0" w:color="000000"/>
              <w:bottom w:val="single" w:sz="6" w:space="0" w:color="000000"/>
              <w:right w:val="single" w:sz="6" w:space="0" w:color="000000"/>
            </w:tcBorders>
          </w:tcPr>
          <w:p w14:paraId="135852A3" w14:textId="77777777" w:rsidR="004552D4" w:rsidRPr="00681A32" w:rsidRDefault="004552D4" w:rsidP="00CA459A">
            <w:pPr>
              <w:ind w:left="0" w:firstLine="0"/>
              <w:jc w:val="left"/>
            </w:pPr>
            <w:r w:rsidRPr="00681A32">
              <w:t>ML092810423</w:t>
            </w:r>
          </w:p>
        </w:tc>
      </w:tr>
      <w:tr w:rsidR="009D194B" w:rsidRPr="00681A32" w14:paraId="39976FED" w14:textId="77777777" w:rsidTr="00D64B7D">
        <w:trPr>
          <w:jc w:val="center"/>
        </w:trPr>
        <w:tc>
          <w:tcPr>
            <w:tcW w:w="1530" w:type="dxa"/>
            <w:tcBorders>
              <w:top w:val="single" w:sz="6" w:space="0" w:color="000000"/>
              <w:left w:val="single" w:sz="6" w:space="0" w:color="000000"/>
              <w:bottom w:val="single" w:sz="6" w:space="0" w:color="000000"/>
              <w:right w:val="single" w:sz="6" w:space="0" w:color="000000"/>
            </w:tcBorders>
          </w:tcPr>
          <w:p w14:paraId="0D579933" w14:textId="77777777" w:rsidR="009D194B" w:rsidRPr="00681A32" w:rsidRDefault="009D194B" w:rsidP="00CA459A">
            <w:pPr>
              <w:spacing w:line="240" w:lineRule="exact"/>
              <w:jc w:val="left"/>
              <w:outlineLvl w:val="1"/>
              <w:rPr>
                <w:i/>
              </w:rPr>
            </w:pPr>
            <w:r w:rsidRPr="00681A32">
              <w:rPr>
                <w:i/>
              </w:rPr>
              <w:t>C1</w:t>
            </w:r>
          </w:p>
          <w:p w14:paraId="749CFA30" w14:textId="77777777" w:rsidR="009D194B" w:rsidRPr="00681A32" w:rsidRDefault="009D194B" w:rsidP="00CA459A">
            <w:pPr>
              <w:spacing w:line="240" w:lineRule="exact"/>
              <w:jc w:val="left"/>
              <w:outlineLvl w:val="1"/>
            </w:pPr>
            <w:r w:rsidRPr="00681A32">
              <w:t xml:space="preserve">Reference: </w:t>
            </w:r>
          </w:p>
          <w:p w14:paraId="4536FA46" w14:textId="77777777" w:rsidR="009D194B" w:rsidRPr="00681A32" w:rsidRDefault="009D194B" w:rsidP="00CA459A">
            <w:pPr>
              <w:tabs>
                <w:tab w:val="clear" w:pos="806"/>
                <w:tab w:val="left" w:pos="15"/>
              </w:tabs>
              <w:spacing w:line="240" w:lineRule="exact"/>
              <w:ind w:left="15" w:hanging="15"/>
              <w:jc w:val="left"/>
              <w:outlineLvl w:val="1"/>
            </w:pPr>
            <w:r w:rsidRPr="00681A32">
              <w:t>SRM-SECY-11-019 (August 15, 2011)</w:t>
            </w:r>
          </w:p>
          <w:p w14:paraId="692C2C90" w14:textId="77777777" w:rsidR="009D194B" w:rsidRPr="00681A32" w:rsidRDefault="009D194B" w:rsidP="00CA459A">
            <w:pPr>
              <w:ind w:left="0" w:firstLine="0"/>
              <w:jc w:val="left"/>
            </w:pPr>
            <w:r w:rsidRPr="00681A32">
              <w:t>Senior Management Review of Overall Regulatory Approach to Groundwater Protection</w:t>
            </w:r>
          </w:p>
        </w:tc>
        <w:tc>
          <w:tcPr>
            <w:tcW w:w="2160" w:type="dxa"/>
            <w:tcBorders>
              <w:top w:val="single" w:sz="6" w:space="0" w:color="000000"/>
              <w:left w:val="single" w:sz="6" w:space="0" w:color="000000"/>
              <w:bottom w:val="single" w:sz="6" w:space="0" w:color="000000"/>
              <w:right w:val="single" w:sz="6" w:space="0" w:color="000000"/>
            </w:tcBorders>
          </w:tcPr>
          <w:p w14:paraId="5EB6880C"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spacing w:line="240" w:lineRule="exact"/>
              <w:ind w:left="0" w:firstLine="0"/>
              <w:jc w:val="left"/>
              <w:outlineLvl w:val="1"/>
            </w:pPr>
            <w:r w:rsidRPr="00681A32">
              <w:t>ML12321A387</w:t>
            </w:r>
          </w:p>
          <w:p w14:paraId="1B8E183E"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spacing w:line="240" w:lineRule="exact"/>
              <w:ind w:left="0" w:firstLine="0"/>
              <w:jc w:val="left"/>
              <w:outlineLvl w:val="1"/>
            </w:pPr>
            <w:r w:rsidRPr="00681A32">
              <w:t>06/06/13</w:t>
            </w:r>
          </w:p>
          <w:p w14:paraId="3544BADF" w14:textId="77777777" w:rsidR="009D194B" w:rsidRPr="00681A32" w:rsidRDefault="009D194B" w:rsidP="00CA459A">
            <w:pPr>
              <w:ind w:left="0" w:firstLine="0"/>
              <w:jc w:val="left"/>
            </w:pPr>
            <w:r w:rsidRPr="00681A32">
              <w:t>CN 13-013</w:t>
            </w:r>
          </w:p>
        </w:tc>
        <w:tc>
          <w:tcPr>
            <w:tcW w:w="4545" w:type="dxa"/>
            <w:tcBorders>
              <w:top w:val="single" w:sz="6" w:space="0" w:color="000000"/>
              <w:left w:val="single" w:sz="6" w:space="0" w:color="000000"/>
              <w:bottom w:val="single" w:sz="6" w:space="0" w:color="000000"/>
              <w:right w:val="single" w:sz="6" w:space="0" w:color="000000"/>
            </w:tcBorders>
          </w:tcPr>
          <w:p w14:paraId="28C1C744" w14:textId="77777777" w:rsidR="009D194B" w:rsidRPr="00681A32" w:rsidRDefault="009D194B" w:rsidP="00CA459A">
            <w:pPr>
              <w:ind w:left="0" w:firstLine="0"/>
              <w:jc w:val="left"/>
            </w:pPr>
            <w:r w:rsidRPr="00681A32">
              <w:t>This revision directs the inspection staff to document observations of incomplete or discontinued implementation of the NEI/industry ground water protection Initiative (GPI). The revision also instructs inspection staff that if the licensee is not implementing the GPI, to review the adequacy of the licensee’s implementation of the Decommissioning Planning Rule under 10 CFR 20.1406(c) and 10 CFR 20.1501, including Part 52 licensee requirements to implement the GPI and NEI-08-08A.</w:t>
            </w:r>
          </w:p>
        </w:tc>
        <w:tc>
          <w:tcPr>
            <w:tcW w:w="2430" w:type="dxa"/>
            <w:tcBorders>
              <w:top w:val="single" w:sz="6" w:space="0" w:color="000000"/>
              <w:left w:val="single" w:sz="6" w:space="0" w:color="000000"/>
              <w:bottom w:val="single" w:sz="6" w:space="0" w:color="000000"/>
              <w:right w:val="single" w:sz="6" w:space="0" w:color="000000"/>
            </w:tcBorders>
          </w:tcPr>
          <w:p w14:paraId="2D0655C5" w14:textId="77777777" w:rsidR="009D194B" w:rsidRPr="00681A32" w:rsidRDefault="009D194B" w:rsidP="00CA459A">
            <w:pPr>
              <w:ind w:left="0" w:firstLine="0"/>
              <w:jc w:val="left"/>
            </w:pPr>
            <w:r w:rsidRPr="00681A32">
              <w:t>N/A</w:t>
            </w:r>
          </w:p>
        </w:tc>
        <w:tc>
          <w:tcPr>
            <w:tcW w:w="2565" w:type="dxa"/>
            <w:tcBorders>
              <w:top w:val="single" w:sz="6" w:space="0" w:color="000000"/>
              <w:left w:val="single" w:sz="6" w:space="0" w:color="000000"/>
              <w:bottom w:val="single" w:sz="6" w:space="0" w:color="000000"/>
              <w:right w:val="single" w:sz="6" w:space="0" w:color="000000"/>
            </w:tcBorders>
          </w:tcPr>
          <w:p w14:paraId="671526C7" w14:textId="77777777" w:rsidR="009D194B" w:rsidRPr="00681A32" w:rsidRDefault="009D194B" w:rsidP="00CA459A">
            <w:pPr>
              <w:widowControl w:val="0"/>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autoSpaceDE w:val="0"/>
              <w:autoSpaceDN w:val="0"/>
              <w:adjustRightInd w:val="0"/>
              <w:ind w:left="0" w:firstLine="0"/>
              <w:jc w:val="left"/>
              <w:outlineLvl w:val="1"/>
            </w:pPr>
            <w:r w:rsidRPr="00681A32">
              <w:t>ML13085A201</w:t>
            </w:r>
          </w:p>
          <w:p w14:paraId="317D93AF" w14:textId="77777777" w:rsidR="009D194B" w:rsidRPr="00681A32" w:rsidRDefault="009D194B" w:rsidP="00CA459A">
            <w:pPr>
              <w:ind w:left="0" w:firstLine="0"/>
              <w:jc w:val="left"/>
            </w:pPr>
            <w:r w:rsidRPr="00681A32">
              <w:t>ML13129A076</w:t>
            </w:r>
          </w:p>
        </w:tc>
      </w:tr>
    </w:tbl>
    <w:p w14:paraId="0FEE8339" w14:textId="77777777" w:rsidR="005338CD" w:rsidRDefault="005338CD">
      <w:pPr>
        <w:sectPr w:rsidR="005338CD" w:rsidSect="00681A32">
          <w:footerReference w:type="default" r:id="rId20"/>
          <w:pgSz w:w="15840" w:h="12240" w:orient="landscape" w:code="1"/>
          <w:pgMar w:top="1440" w:right="1440" w:bottom="1440" w:left="1440" w:header="720" w:footer="720" w:gutter="0"/>
          <w:cols w:space="720"/>
          <w:docGrid w:linePitch="299"/>
        </w:sectPr>
      </w:pPr>
    </w:p>
    <w:p w14:paraId="1506CC03" w14:textId="7B15D738" w:rsidR="005338CD" w:rsidRDefault="005338CD"/>
    <w:tbl>
      <w:tblPr>
        <w:tblW w:w="13230" w:type="dxa"/>
        <w:jc w:val="center"/>
        <w:tblLayout w:type="fixed"/>
        <w:tblCellMar>
          <w:left w:w="120" w:type="dxa"/>
          <w:right w:w="120" w:type="dxa"/>
        </w:tblCellMar>
        <w:tblLook w:val="0000" w:firstRow="0" w:lastRow="0" w:firstColumn="0" w:lastColumn="0" w:noHBand="0" w:noVBand="0"/>
      </w:tblPr>
      <w:tblGrid>
        <w:gridCol w:w="1530"/>
        <w:gridCol w:w="2160"/>
        <w:gridCol w:w="4545"/>
        <w:gridCol w:w="2430"/>
        <w:gridCol w:w="2565"/>
      </w:tblGrid>
      <w:tr w:rsidR="005338CD" w:rsidRPr="00681A32" w14:paraId="2142640E" w14:textId="77777777" w:rsidTr="00CA459A">
        <w:trPr>
          <w:jc w:val="center"/>
        </w:trPr>
        <w:tc>
          <w:tcPr>
            <w:tcW w:w="1530" w:type="dxa"/>
            <w:tcBorders>
              <w:top w:val="single" w:sz="6" w:space="0" w:color="000000"/>
              <w:left w:val="single" w:sz="6" w:space="0" w:color="000000"/>
              <w:bottom w:val="single" w:sz="6" w:space="0" w:color="000000"/>
              <w:right w:val="single" w:sz="6" w:space="0" w:color="000000"/>
            </w:tcBorders>
          </w:tcPr>
          <w:p w14:paraId="52BA6E60" w14:textId="21A2E0D3" w:rsidR="005338CD" w:rsidRPr="00681A32" w:rsidRDefault="005338CD" w:rsidP="005338CD">
            <w:pPr>
              <w:ind w:left="0" w:firstLine="0"/>
              <w:jc w:val="left"/>
            </w:pPr>
            <w:r w:rsidRPr="00681A32">
              <w:t>Commitment Tracking Number</w:t>
            </w:r>
          </w:p>
        </w:tc>
        <w:tc>
          <w:tcPr>
            <w:tcW w:w="2160" w:type="dxa"/>
            <w:tcBorders>
              <w:top w:val="single" w:sz="6" w:space="0" w:color="000000"/>
              <w:left w:val="single" w:sz="6" w:space="0" w:color="000000"/>
              <w:bottom w:val="single" w:sz="6" w:space="0" w:color="000000"/>
              <w:right w:val="single" w:sz="6" w:space="0" w:color="000000"/>
            </w:tcBorders>
          </w:tcPr>
          <w:p w14:paraId="55294153" w14:textId="0097C34A" w:rsidR="005338CD" w:rsidRPr="00681A32" w:rsidRDefault="005338CD" w:rsidP="005338CD">
            <w:pPr>
              <w:ind w:left="0" w:firstLine="0"/>
              <w:jc w:val="left"/>
            </w:pPr>
            <w:r w:rsidRPr="00681A32">
              <w:t>Accession Number Issue Date   Change Notice</w:t>
            </w:r>
          </w:p>
        </w:tc>
        <w:tc>
          <w:tcPr>
            <w:tcW w:w="4545" w:type="dxa"/>
            <w:tcBorders>
              <w:top w:val="single" w:sz="6" w:space="0" w:color="000000"/>
              <w:left w:val="single" w:sz="6" w:space="0" w:color="000000"/>
              <w:bottom w:val="single" w:sz="6" w:space="0" w:color="000000"/>
              <w:right w:val="single" w:sz="6" w:space="0" w:color="000000"/>
            </w:tcBorders>
          </w:tcPr>
          <w:p w14:paraId="2ABBEEEF" w14:textId="592BB00B" w:rsidR="005338CD" w:rsidRPr="00681A32" w:rsidRDefault="005338CD" w:rsidP="005338CD">
            <w:pPr>
              <w:ind w:left="0" w:firstLine="0"/>
              <w:jc w:val="left"/>
            </w:pPr>
            <w:r w:rsidRPr="00681A32">
              <w:t>Description of Change</w:t>
            </w:r>
          </w:p>
        </w:tc>
        <w:tc>
          <w:tcPr>
            <w:tcW w:w="2430" w:type="dxa"/>
            <w:tcBorders>
              <w:top w:val="single" w:sz="6" w:space="0" w:color="000000"/>
              <w:left w:val="single" w:sz="6" w:space="0" w:color="000000"/>
              <w:bottom w:val="single" w:sz="6" w:space="0" w:color="000000"/>
              <w:right w:val="single" w:sz="6" w:space="0" w:color="000000"/>
            </w:tcBorders>
          </w:tcPr>
          <w:p w14:paraId="06CA223E" w14:textId="7C0D7EBE" w:rsidR="005338CD" w:rsidRPr="00681A32" w:rsidRDefault="005338CD" w:rsidP="005338CD">
            <w:pPr>
              <w:ind w:left="0" w:firstLine="0"/>
              <w:jc w:val="left"/>
            </w:pPr>
            <w:r w:rsidRPr="00681A32">
              <w:t>Description of Training Required and Completion Date</w:t>
            </w:r>
          </w:p>
        </w:tc>
        <w:tc>
          <w:tcPr>
            <w:tcW w:w="2565" w:type="dxa"/>
            <w:tcBorders>
              <w:top w:val="single" w:sz="6" w:space="0" w:color="000000"/>
              <w:left w:val="single" w:sz="6" w:space="0" w:color="000000"/>
              <w:bottom w:val="single" w:sz="6" w:space="0" w:color="000000"/>
              <w:right w:val="single" w:sz="6" w:space="0" w:color="000000"/>
            </w:tcBorders>
          </w:tcPr>
          <w:p w14:paraId="139048B8" w14:textId="2CC44825" w:rsidR="005338CD" w:rsidRPr="00681A32" w:rsidRDefault="005338CD" w:rsidP="005338CD">
            <w:pPr>
              <w:ind w:left="0" w:firstLine="0"/>
              <w:jc w:val="left"/>
            </w:pPr>
            <w:r w:rsidRPr="00681A32">
              <w:t>Comment and Feedback Resolution  Accession Number (Pre-Decisional, Non-Public Information)</w:t>
            </w:r>
          </w:p>
        </w:tc>
      </w:tr>
      <w:tr w:rsidR="005338CD" w:rsidRPr="00681A32" w14:paraId="00B093F3" w14:textId="77777777" w:rsidTr="00CA459A">
        <w:trPr>
          <w:jc w:val="center"/>
        </w:trPr>
        <w:tc>
          <w:tcPr>
            <w:tcW w:w="1530" w:type="dxa"/>
            <w:tcBorders>
              <w:top w:val="single" w:sz="6" w:space="0" w:color="000000"/>
              <w:left w:val="single" w:sz="6" w:space="0" w:color="000000"/>
              <w:bottom w:val="single" w:sz="6" w:space="0" w:color="000000"/>
              <w:right w:val="single" w:sz="6" w:space="0" w:color="000000"/>
            </w:tcBorders>
          </w:tcPr>
          <w:p w14:paraId="56ED20F3" w14:textId="77777777" w:rsidR="005338CD" w:rsidRPr="00681A32" w:rsidRDefault="005338CD" w:rsidP="005338CD">
            <w:pPr>
              <w:ind w:left="0" w:firstLine="0"/>
              <w:jc w:val="left"/>
            </w:pPr>
            <w:r w:rsidRPr="00681A32">
              <w:t>N/A</w:t>
            </w:r>
          </w:p>
        </w:tc>
        <w:tc>
          <w:tcPr>
            <w:tcW w:w="2160" w:type="dxa"/>
            <w:tcBorders>
              <w:top w:val="single" w:sz="6" w:space="0" w:color="000000"/>
              <w:left w:val="single" w:sz="6" w:space="0" w:color="000000"/>
              <w:bottom w:val="single" w:sz="6" w:space="0" w:color="000000"/>
              <w:right w:val="single" w:sz="6" w:space="0" w:color="000000"/>
            </w:tcBorders>
          </w:tcPr>
          <w:p w14:paraId="6215F13A" w14:textId="77777777" w:rsidR="005338CD" w:rsidRPr="00681A32" w:rsidRDefault="005338CD" w:rsidP="005338CD">
            <w:pPr>
              <w:ind w:left="0" w:firstLine="0"/>
              <w:jc w:val="left"/>
            </w:pPr>
            <w:r w:rsidRPr="00681A32">
              <w:t>ML15345A067</w:t>
            </w:r>
          </w:p>
          <w:p w14:paraId="7ED43966" w14:textId="77777777" w:rsidR="005338CD" w:rsidRPr="00681A32" w:rsidRDefault="005338CD" w:rsidP="005338CD">
            <w:pPr>
              <w:ind w:left="0" w:firstLine="0"/>
              <w:jc w:val="left"/>
            </w:pPr>
            <w:r w:rsidRPr="00681A32">
              <w:t>04/01/16</w:t>
            </w:r>
          </w:p>
          <w:p w14:paraId="2EAAFD82" w14:textId="77777777" w:rsidR="005338CD" w:rsidRPr="00681A32" w:rsidRDefault="005338CD" w:rsidP="005338CD">
            <w:pPr>
              <w:ind w:left="0" w:firstLine="0"/>
              <w:jc w:val="left"/>
            </w:pPr>
            <w:r w:rsidRPr="00681A32">
              <w:t>CN 16-010</w:t>
            </w:r>
          </w:p>
        </w:tc>
        <w:tc>
          <w:tcPr>
            <w:tcW w:w="4545" w:type="dxa"/>
            <w:tcBorders>
              <w:top w:val="single" w:sz="6" w:space="0" w:color="000000"/>
              <w:left w:val="single" w:sz="6" w:space="0" w:color="000000"/>
              <w:bottom w:val="single" w:sz="6" w:space="0" w:color="000000"/>
              <w:right w:val="single" w:sz="6" w:space="0" w:color="000000"/>
            </w:tcBorders>
          </w:tcPr>
          <w:p w14:paraId="70CC3D04" w14:textId="77777777" w:rsidR="005338CD" w:rsidRPr="00681A32" w:rsidRDefault="005338CD" w:rsidP="005338CD">
            <w:pPr>
              <w:ind w:left="0" w:firstLine="0"/>
              <w:jc w:val="left"/>
            </w:pPr>
            <w:r w:rsidRPr="00681A32">
              <w:t xml:space="preserve">Revisions to the IP 71124.07 procedure attachment were made in response to the 2013 ROP Enhancement Project.  </w:t>
            </w:r>
          </w:p>
          <w:p w14:paraId="664DA5A8" w14:textId="77777777" w:rsidR="005338CD" w:rsidRPr="00681A32" w:rsidRDefault="005338CD" w:rsidP="005338CD">
            <w:pPr>
              <w:ind w:left="0" w:firstLine="0"/>
              <w:jc w:val="left"/>
            </w:pPr>
          </w:p>
          <w:p w14:paraId="4BD90AC0" w14:textId="77777777" w:rsidR="005338CD" w:rsidRPr="00681A32" w:rsidRDefault="005338CD" w:rsidP="005338CD">
            <w:pPr>
              <w:ind w:left="0" w:firstLine="0"/>
              <w:jc w:val="left"/>
            </w:pPr>
            <w:r w:rsidRPr="00681A32">
              <w:t>This revised procedure includes groundwater monitoring inspection requirements transferred in from IP 71124.06.</w:t>
            </w:r>
          </w:p>
          <w:p w14:paraId="607E5717" w14:textId="77777777" w:rsidR="005338CD" w:rsidRPr="00681A32" w:rsidRDefault="005338CD" w:rsidP="005338CD">
            <w:pPr>
              <w:ind w:left="0" w:firstLine="0"/>
              <w:jc w:val="left"/>
            </w:pPr>
          </w:p>
          <w:p w14:paraId="69E00A69" w14:textId="77777777" w:rsidR="005338CD" w:rsidRPr="00681A32" w:rsidRDefault="005338CD" w:rsidP="005338CD">
            <w:pPr>
              <w:ind w:left="0" w:firstLine="0"/>
              <w:jc w:val="left"/>
            </w:pPr>
            <w:r w:rsidRPr="00681A32">
              <w:t>The revision changed the way samples are counted.</w:t>
            </w:r>
          </w:p>
        </w:tc>
        <w:tc>
          <w:tcPr>
            <w:tcW w:w="2430" w:type="dxa"/>
            <w:tcBorders>
              <w:top w:val="single" w:sz="6" w:space="0" w:color="000000"/>
              <w:left w:val="single" w:sz="6" w:space="0" w:color="000000"/>
              <w:bottom w:val="single" w:sz="6" w:space="0" w:color="000000"/>
              <w:right w:val="single" w:sz="6" w:space="0" w:color="000000"/>
            </w:tcBorders>
          </w:tcPr>
          <w:p w14:paraId="52FC3E0D" w14:textId="77777777" w:rsidR="005338CD" w:rsidRPr="00681A32" w:rsidRDefault="005338CD" w:rsidP="005338CD">
            <w:pPr>
              <w:ind w:left="0" w:firstLine="0"/>
              <w:jc w:val="left"/>
            </w:pPr>
            <w:r w:rsidRPr="00681A32">
              <w:t xml:space="preserve"> N/A</w:t>
            </w:r>
          </w:p>
          <w:p w14:paraId="31E565BF" w14:textId="77777777" w:rsidR="005338CD" w:rsidRPr="00681A32" w:rsidRDefault="005338CD" w:rsidP="005338CD">
            <w:pPr>
              <w:ind w:left="0" w:firstLine="0"/>
              <w:jc w:val="left"/>
            </w:pPr>
          </w:p>
        </w:tc>
        <w:tc>
          <w:tcPr>
            <w:tcW w:w="2565" w:type="dxa"/>
            <w:tcBorders>
              <w:top w:val="single" w:sz="6" w:space="0" w:color="000000"/>
              <w:left w:val="single" w:sz="6" w:space="0" w:color="000000"/>
              <w:bottom w:val="single" w:sz="6" w:space="0" w:color="000000"/>
              <w:right w:val="single" w:sz="6" w:space="0" w:color="000000"/>
            </w:tcBorders>
          </w:tcPr>
          <w:p w14:paraId="487D0EE0" w14:textId="77777777" w:rsidR="005338CD" w:rsidRPr="00681A32" w:rsidRDefault="005338CD" w:rsidP="005338CD">
            <w:pPr>
              <w:ind w:left="0" w:firstLine="0"/>
              <w:jc w:val="left"/>
            </w:pPr>
            <w:r w:rsidRPr="00681A32">
              <w:t>IP revised only to include new sample sizes.  There is no valid comment resolution at this time.</w:t>
            </w:r>
          </w:p>
        </w:tc>
      </w:tr>
      <w:tr w:rsidR="005338CD" w:rsidRPr="00681A32" w14:paraId="6C897D9A" w14:textId="77777777" w:rsidTr="000442A4">
        <w:trPr>
          <w:jc w:val="center"/>
        </w:trPr>
        <w:tc>
          <w:tcPr>
            <w:tcW w:w="1530" w:type="dxa"/>
            <w:tcBorders>
              <w:top w:val="single" w:sz="6" w:space="0" w:color="000000"/>
              <w:left w:val="single" w:sz="6" w:space="0" w:color="000000"/>
              <w:bottom w:val="single" w:sz="6" w:space="0" w:color="000000"/>
              <w:right w:val="single" w:sz="6" w:space="0" w:color="000000"/>
            </w:tcBorders>
          </w:tcPr>
          <w:p w14:paraId="4B85DEC8" w14:textId="2E171C49" w:rsidR="005338CD" w:rsidRPr="005338CD" w:rsidRDefault="005338CD" w:rsidP="005338CD">
            <w:pPr>
              <w:ind w:left="0" w:firstLine="0"/>
              <w:jc w:val="left"/>
            </w:pPr>
            <w:r w:rsidRPr="005338CD">
              <w:t>N/A</w:t>
            </w:r>
          </w:p>
        </w:tc>
        <w:tc>
          <w:tcPr>
            <w:tcW w:w="2160" w:type="dxa"/>
            <w:tcBorders>
              <w:top w:val="single" w:sz="6" w:space="0" w:color="000000"/>
              <w:left w:val="single" w:sz="6" w:space="0" w:color="000000"/>
              <w:bottom w:val="single" w:sz="6" w:space="0" w:color="000000"/>
              <w:right w:val="single" w:sz="6" w:space="0" w:color="000000"/>
            </w:tcBorders>
          </w:tcPr>
          <w:p w14:paraId="0B870F03" w14:textId="77777777" w:rsidR="005338CD" w:rsidRDefault="005338CD" w:rsidP="005338CD">
            <w:pPr>
              <w:ind w:left="0" w:firstLine="0"/>
              <w:jc w:val="left"/>
            </w:pPr>
            <w:r w:rsidRPr="005338CD">
              <w:t>ML17286A291</w:t>
            </w:r>
          </w:p>
          <w:p w14:paraId="5757A8B3" w14:textId="77777777" w:rsidR="0090450E" w:rsidRDefault="0090450E" w:rsidP="005338CD">
            <w:pPr>
              <w:ind w:left="0" w:firstLine="0"/>
              <w:jc w:val="left"/>
            </w:pPr>
            <w:r>
              <w:t>12/21/17</w:t>
            </w:r>
          </w:p>
          <w:p w14:paraId="69C06C5B" w14:textId="01BABAA4" w:rsidR="0090450E" w:rsidRPr="005338CD" w:rsidRDefault="0090450E" w:rsidP="005338CD">
            <w:pPr>
              <w:ind w:left="0" w:firstLine="0"/>
              <w:jc w:val="left"/>
            </w:pPr>
            <w:r>
              <w:t>CN 17-031</w:t>
            </w:r>
          </w:p>
        </w:tc>
        <w:tc>
          <w:tcPr>
            <w:tcW w:w="4545" w:type="dxa"/>
            <w:tcBorders>
              <w:top w:val="single" w:sz="6" w:space="0" w:color="000000"/>
              <w:left w:val="single" w:sz="6" w:space="0" w:color="000000"/>
              <w:bottom w:val="single" w:sz="6" w:space="0" w:color="000000"/>
              <w:right w:val="single" w:sz="6" w:space="0" w:color="000000"/>
            </w:tcBorders>
            <w:vAlign w:val="bottom"/>
          </w:tcPr>
          <w:p w14:paraId="71A46FCF" w14:textId="751402E8" w:rsidR="005338CD" w:rsidRPr="005338CD" w:rsidRDefault="005338CD" w:rsidP="000442A4">
            <w:pPr>
              <w:ind w:left="0" w:firstLine="0"/>
              <w:jc w:val="left"/>
            </w:pPr>
            <w:r w:rsidRPr="005338CD">
              <w:t>Major editorial revision of IP 71124.07.</w:t>
            </w:r>
          </w:p>
          <w:p w14:paraId="4C624392" w14:textId="77777777" w:rsidR="005338CD" w:rsidRPr="005338CD" w:rsidRDefault="005338CD" w:rsidP="000442A4">
            <w:pPr>
              <w:ind w:left="0" w:firstLine="0"/>
              <w:jc w:val="left"/>
            </w:pPr>
          </w:p>
          <w:p w14:paraId="70C71D1D" w14:textId="439E82C3" w:rsidR="005338CD" w:rsidRPr="005338CD" w:rsidRDefault="005338CD" w:rsidP="000442A4">
            <w:pPr>
              <w:ind w:left="0" w:firstLine="0"/>
              <w:jc w:val="left"/>
            </w:pPr>
            <w:r w:rsidRPr="005338CD">
              <w:t>Section 02 was audited and modified to move guidance to Section 03 and concisely state actions necessary to complete each requirement</w:t>
            </w:r>
          </w:p>
          <w:p w14:paraId="20C92463" w14:textId="77777777" w:rsidR="005338CD" w:rsidRPr="005338CD" w:rsidRDefault="005338CD" w:rsidP="000442A4">
            <w:pPr>
              <w:ind w:left="0" w:firstLine="0"/>
              <w:jc w:val="left"/>
            </w:pPr>
          </w:p>
          <w:p w14:paraId="2F13AC63" w14:textId="5D4429F1" w:rsidR="005338CD" w:rsidRPr="005338CD" w:rsidRDefault="005338CD" w:rsidP="000442A4">
            <w:pPr>
              <w:ind w:left="0" w:firstLine="0"/>
              <w:jc w:val="left"/>
            </w:pPr>
            <w:r w:rsidRPr="005338CD">
              <w:t>Modified Inspection Bases to reference applicable regulations.  Adjusted guidance in response to ROPFF 71124.06-1743.</w:t>
            </w:r>
          </w:p>
          <w:p w14:paraId="21B4E303" w14:textId="77777777" w:rsidR="005338CD" w:rsidRPr="005338CD" w:rsidRDefault="005338CD" w:rsidP="000442A4">
            <w:pPr>
              <w:ind w:left="0" w:firstLine="0"/>
              <w:jc w:val="left"/>
            </w:pPr>
          </w:p>
          <w:p w14:paraId="1609C6C3" w14:textId="59C349C1" w:rsidR="000442A4" w:rsidRPr="005338CD" w:rsidRDefault="000442A4" w:rsidP="000442A4">
            <w:pPr>
              <w:ind w:left="0" w:firstLine="0"/>
              <w:jc w:val="left"/>
            </w:pPr>
            <w:r w:rsidRPr="000442A4">
              <w:t>PI&amp;R was transitioned from an independent sample to a requirement that would be completed as part of each sample.  Guidance section updated to reflect resource estimates for routine review of PI&amp;R activities per IP 71152 Section 04.01.</w:t>
            </w:r>
          </w:p>
        </w:tc>
        <w:tc>
          <w:tcPr>
            <w:tcW w:w="2430" w:type="dxa"/>
            <w:tcBorders>
              <w:top w:val="single" w:sz="6" w:space="0" w:color="000000"/>
              <w:left w:val="single" w:sz="6" w:space="0" w:color="000000"/>
              <w:bottom w:val="single" w:sz="6" w:space="0" w:color="000000"/>
              <w:right w:val="single" w:sz="6" w:space="0" w:color="000000"/>
            </w:tcBorders>
          </w:tcPr>
          <w:p w14:paraId="14B4E935" w14:textId="29D9EA93" w:rsidR="005338CD" w:rsidRPr="005338CD" w:rsidRDefault="005338CD" w:rsidP="005338CD">
            <w:pPr>
              <w:ind w:left="0" w:firstLine="0"/>
              <w:jc w:val="left"/>
            </w:pPr>
            <w:r w:rsidRPr="005338CD">
              <w:t>Verbal discussion of changes during 2017 HP Counterpart meeting, 09/06/2017</w:t>
            </w:r>
          </w:p>
          <w:p w14:paraId="101AE94E" w14:textId="77777777" w:rsidR="005338CD" w:rsidRPr="005338CD" w:rsidRDefault="005338CD" w:rsidP="005338CD">
            <w:pPr>
              <w:ind w:left="0" w:firstLine="0"/>
              <w:jc w:val="left"/>
            </w:pPr>
          </w:p>
        </w:tc>
        <w:tc>
          <w:tcPr>
            <w:tcW w:w="2565" w:type="dxa"/>
            <w:tcBorders>
              <w:top w:val="single" w:sz="6" w:space="0" w:color="000000"/>
              <w:left w:val="single" w:sz="6" w:space="0" w:color="000000"/>
              <w:bottom w:val="single" w:sz="6" w:space="0" w:color="000000"/>
              <w:right w:val="single" w:sz="6" w:space="0" w:color="000000"/>
            </w:tcBorders>
          </w:tcPr>
          <w:p w14:paraId="15FAF1B7" w14:textId="77777777" w:rsidR="005338CD" w:rsidRPr="005338CD" w:rsidRDefault="005338CD" w:rsidP="005338CD">
            <w:pPr>
              <w:ind w:left="0" w:firstLine="0"/>
              <w:jc w:val="left"/>
            </w:pPr>
            <w:r w:rsidRPr="005338CD">
              <w:t>ML17300A476</w:t>
            </w:r>
          </w:p>
          <w:p w14:paraId="41CECAA0" w14:textId="77777777" w:rsidR="005338CD" w:rsidRPr="005338CD" w:rsidRDefault="005338CD" w:rsidP="005338CD">
            <w:pPr>
              <w:ind w:left="0" w:firstLine="0"/>
              <w:jc w:val="left"/>
            </w:pPr>
          </w:p>
          <w:p w14:paraId="35403345" w14:textId="77777777" w:rsidR="005338CD" w:rsidRPr="005338CD" w:rsidRDefault="005338CD" w:rsidP="005338CD">
            <w:pPr>
              <w:ind w:left="0" w:firstLine="0"/>
              <w:jc w:val="left"/>
            </w:pPr>
            <w:r w:rsidRPr="005338CD">
              <w:t>Closed FBF 71124.06-1743</w:t>
            </w:r>
          </w:p>
          <w:p w14:paraId="73750D3B" w14:textId="7E91A7FD" w:rsidR="005338CD" w:rsidRPr="00681A32" w:rsidRDefault="005338CD" w:rsidP="005338CD">
            <w:pPr>
              <w:ind w:left="0" w:firstLine="0"/>
              <w:jc w:val="left"/>
            </w:pPr>
            <w:r w:rsidRPr="005338CD">
              <w:t>ML17300B383</w:t>
            </w:r>
          </w:p>
        </w:tc>
      </w:tr>
      <w:bookmarkEnd w:id="1"/>
      <w:bookmarkEnd w:id="2"/>
      <w:bookmarkEnd w:id="3"/>
      <w:bookmarkEnd w:id="4"/>
      <w:bookmarkEnd w:id="5"/>
      <w:bookmarkEnd w:id="6"/>
      <w:bookmarkEnd w:id="7"/>
      <w:bookmarkEnd w:id="8"/>
      <w:bookmarkEnd w:id="9"/>
    </w:tbl>
    <w:p w14:paraId="5B9C04B9" w14:textId="58EFC739" w:rsidR="00AB2829" w:rsidRPr="003B204C" w:rsidRDefault="00AB2829" w:rsidP="00681A32">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spacing w:line="480" w:lineRule="auto"/>
        <w:ind w:left="0" w:firstLine="0"/>
        <w:jc w:val="left"/>
        <w:outlineLvl w:val="1"/>
      </w:pPr>
    </w:p>
    <w:sectPr w:rsidR="00AB2829" w:rsidRPr="003B204C" w:rsidSect="00681A32">
      <w:footerReference w:type="default" r:id="rId21"/>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3ECD" w14:textId="77777777" w:rsidR="004F2553" w:rsidRDefault="004F2553" w:rsidP="003B204C">
      <w:r>
        <w:separator/>
      </w:r>
    </w:p>
  </w:endnote>
  <w:endnote w:type="continuationSeparator" w:id="0">
    <w:p w14:paraId="170783D2" w14:textId="77777777" w:rsidR="004F2553" w:rsidRDefault="004F2553" w:rsidP="003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95616"/>
      <w:docPartObj>
        <w:docPartGallery w:val="Page Numbers (Bottom of Page)"/>
        <w:docPartUnique/>
      </w:docPartObj>
    </w:sdtPr>
    <w:sdtEndPr>
      <w:rPr>
        <w:noProof/>
      </w:rPr>
    </w:sdtEndPr>
    <w:sdtContent>
      <w:p w14:paraId="08D752AE" w14:textId="3D8C16A0" w:rsidR="0090450E" w:rsidRDefault="0090450E" w:rsidP="0090450E">
        <w:pPr>
          <w:pStyle w:val="Footer"/>
          <w:tabs>
            <w:tab w:val="clear" w:pos="806"/>
            <w:tab w:val="clear" w:pos="1440"/>
            <w:tab w:val="clear" w:pos="2074"/>
            <w:tab w:val="clear" w:pos="2707"/>
            <w:tab w:val="clear" w:pos="3240"/>
            <w:tab w:val="clear" w:pos="3874"/>
            <w:tab w:val="clear" w:pos="4320"/>
            <w:tab w:val="clear" w:pos="4507"/>
            <w:tab w:val="clear" w:pos="5040"/>
            <w:tab w:val="clear" w:pos="5674"/>
            <w:tab w:val="clear" w:pos="6307"/>
            <w:tab w:val="clear" w:pos="7474"/>
            <w:tab w:val="clear" w:pos="8107"/>
            <w:tab w:val="clear" w:pos="8640"/>
            <w:tab w:val="clear" w:pos="8726"/>
            <w:tab w:val="center" w:pos="4680"/>
            <w:tab w:val="right" w:pos="9360"/>
          </w:tabs>
          <w:jc w:val="left"/>
        </w:pPr>
        <w:r>
          <w:t>Issue Date:  12/21/17</w:t>
        </w:r>
        <w:r>
          <w:tab/>
        </w:r>
        <w:r>
          <w:fldChar w:fldCharType="begin"/>
        </w:r>
        <w:r>
          <w:instrText xml:space="preserve"> PAGE   \* MERGEFORMAT </w:instrText>
        </w:r>
        <w:r>
          <w:fldChar w:fldCharType="separate"/>
        </w:r>
        <w:r w:rsidR="005C6B23">
          <w:rPr>
            <w:noProof/>
          </w:rPr>
          <w:t>1</w:t>
        </w:r>
        <w:r>
          <w:rPr>
            <w:noProof/>
          </w:rPr>
          <w:fldChar w:fldCharType="end"/>
        </w:r>
        <w:r>
          <w:rPr>
            <w:noProof/>
          </w:rPr>
          <w:tab/>
          <w:t>71124.07</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8717" w14:textId="7971DA23" w:rsidR="00D32B8B" w:rsidRDefault="00D32B8B" w:rsidP="00466B47">
    <w:pPr>
      <w:tabs>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center" w:pos="6480"/>
        <w:tab w:val="right" w:pos="12780"/>
      </w:tabs>
    </w:pPr>
    <w:r w:rsidRPr="00C8104F">
      <w:t xml:space="preserve">Issue Date: </w:t>
    </w:r>
    <w:r w:rsidR="00681A32">
      <w:t xml:space="preserve"> </w:t>
    </w:r>
    <w:r w:rsidR="0090450E">
      <w:t>12/21/17</w:t>
    </w:r>
    <w:r>
      <w:tab/>
    </w:r>
    <w:r>
      <w:rPr>
        <w:rStyle w:val="PageNumber"/>
      </w:rPr>
      <w:t>Att1-</w:t>
    </w:r>
    <w:r w:rsidR="005338CD">
      <w:rPr>
        <w:rStyle w:val="PageNumber"/>
      </w:rPr>
      <w:t>1</w:t>
    </w:r>
    <w:r>
      <w:tab/>
    </w:r>
    <w:r w:rsidRPr="00C8104F">
      <w:t>7112</w:t>
    </w:r>
    <w:r>
      <w:t>4</w:t>
    </w:r>
    <w:r w:rsidRPr="00C8104F">
      <w:t>.0</w:t>
    </w:r>
    <w: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D568" w14:textId="1FCA5D4A" w:rsidR="005338CD" w:rsidRDefault="005338CD" w:rsidP="00466B47">
    <w:pPr>
      <w:tabs>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center" w:pos="6480"/>
        <w:tab w:val="right" w:pos="12780"/>
      </w:tabs>
    </w:pPr>
    <w:r w:rsidRPr="00C8104F">
      <w:t xml:space="preserve">Issue Date: </w:t>
    </w:r>
    <w:r>
      <w:t xml:space="preserve"> </w:t>
    </w:r>
    <w:r w:rsidR="0090450E">
      <w:t>12/21/17</w:t>
    </w:r>
    <w:r>
      <w:tab/>
    </w:r>
    <w:r>
      <w:rPr>
        <w:rStyle w:val="PageNumber"/>
      </w:rPr>
      <w:t>Att1-2</w:t>
    </w:r>
    <w:r>
      <w:tab/>
    </w:r>
    <w:r w:rsidRPr="00C8104F">
      <w:t>7112</w:t>
    </w:r>
    <w:r>
      <w:t>4</w:t>
    </w:r>
    <w:r w:rsidRPr="00C8104F">
      <w:t>.0</w:t>
    </w:r>
    <w: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65DB" w14:textId="701C6614"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2</w:t>
    </w:r>
    <w:r>
      <w:tab/>
    </w:r>
    <w:r w:rsidRPr="005338CD">
      <w:t>71124.07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00CB" w14:textId="7212F894"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3</w:t>
    </w:r>
    <w:r>
      <w:tab/>
    </w:r>
    <w:r w:rsidRPr="005338CD">
      <w:t>71124.07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FDCE" w14:textId="5EE0E35A"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4</w:t>
    </w:r>
    <w:r>
      <w:tab/>
    </w:r>
    <w:r w:rsidRPr="005338CD">
      <w:t>71124.07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9E38" w14:textId="73DAB515"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5</w:t>
    </w:r>
    <w:r>
      <w:tab/>
    </w:r>
    <w:r w:rsidRPr="005338CD">
      <w:t>71124.07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DB62" w14:textId="072C5570"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6</w:t>
    </w:r>
    <w:r>
      <w:tab/>
    </w:r>
    <w:r w:rsidRPr="005338CD">
      <w:t>71124.07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F60A" w14:textId="764B98FD"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7</w:t>
    </w:r>
    <w:r>
      <w:tab/>
    </w:r>
    <w:r w:rsidRPr="005338CD">
      <w:t>71124.07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BF14" w14:textId="78D858BD"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8</w:t>
    </w:r>
    <w:r>
      <w:tab/>
    </w:r>
    <w:r w:rsidRPr="005338CD">
      <w:t>71124.07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EBE9" w14:textId="3869ADF2" w:rsidR="0090450E" w:rsidRPr="005338CD" w:rsidRDefault="0090450E" w:rsidP="0090450E">
    <w:p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 w:val="left" w:pos="0"/>
        <w:tab w:val="center" w:pos="4680"/>
        <w:tab w:val="right" w:pos="9360"/>
      </w:tabs>
      <w:jc w:val="left"/>
    </w:pPr>
    <w:r w:rsidRPr="005338CD">
      <w:t>Issue</w:t>
    </w:r>
    <w:r>
      <w:t xml:space="preserve"> </w:t>
    </w:r>
    <w:r w:rsidRPr="005338CD">
      <w:t xml:space="preserve">Date:  </w:t>
    </w:r>
    <w:r>
      <w:t>12/21/17</w:t>
    </w:r>
    <w:r>
      <w:tab/>
      <w:t>9</w:t>
    </w:r>
    <w:r>
      <w:tab/>
    </w:r>
    <w:r w:rsidRPr="005338CD">
      <w:t>71124.07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3CF5" w14:textId="77777777" w:rsidR="004F2553" w:rsidRDefault="004F2553" w:rsidP="003B204C">
      <w:r>
        <w:separator/>
      </w:r>
    </w:p>
  </w:footnote>
  <w:footnote w:type="continuationSeparator" w:id="0">
    <w:p w14:paraId="176D78DB" w14:textId="77777777" w:rsidR="004F2553" w:rsidRDefault="004F2553" w:rsidP="003B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66C"/>
    <w:multiLevelType w:val="multilevel"/>
    <w:tmpl w:val="0FC8CE32"/>
    <w:lvl w:ilvl="0">
      <w:start w:val="3"/>
      <w:numFmt w:val="decimalZero"/>
      <w:lvlText w:val="%1"/>
      <w:lvlJc w:val="left"/>
      <w:pPr>
        <w:tabs>
          <w:tab w:val="num" w:pos="870"/>
        </w:tabs>
        <w:ind w:left="870" w:hanging="870"/>
      </w:pPr>
      <w:rPr>
        <w:rFonts w:hint="default"/>
        <w:u w:val="none"/>
      </w:rPr>
    </w:lvl>
    <w:lvl w:ilvl="1">
      <w:start w:val="6"/>
      <w:numFmt w:val="decimalZero"/>
      <w:lvlText w:val="%1.%2"/>
      <w:lvlJc w:val="left"/>
      <w:pPr>
        <w:tabs>
          <w:tab w:val="num" w:pos="870"/>
        </w:tabs>
        <w:ind w:left="870" w:hanging="870"/>
      </w:pPr>
      <w:rPr>
        <w:rFonts w:hint="default"/>
        <w:u w:val="none"/>
      </w:rPr>
    </w:lvl>
    <w:lvl w:ilvl="2">
      <w:start w:val="1"/>
      <w:numFmt w:val="decimal"/>
      <w:lvlText w:val="%1.%2.%3"/>
      <w:lvlJc w:val="left"/>
      <w:pPr>
        <w:tabs>
          <w:tab w:val="num" w:pos="870"/>
        </w:tabs>
        <w:ind w:left="870" w:hanging="87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4AC659DC"/>
    <w:multiLevelType w:val="multilevel"/>
    <w:tmpl w:val="97C4B302"/>
    <w:lvl w:ilvl="0">
      <w:start w:val="1"/>
      <w:numFmt w:val="lowerLetter"/>
      <w:pStyle w:val="pa"/>
      <w:lvlText w:val="%1."/>
      <w:lvlJc w:val="left"/>
      <w:pPr>
        <w:tabs>
          <w:tab w:val="num" w:pos="806"/>
        </w:tabs>
        <w:ind w:left="806" w:hanging="5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634"/>
      </w:pPr>
      <w:rPr>
        <w:rFonts w:ascii="Arial" w:hAnsi="Arial" w:hint="default"/>
        <w:b w:val="0"/>
        <w:i w:val="0"/>
        <w:sz w:val="22"/>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76C7736F"/>
    <w:multiLevelType w:val="multilevel"/>
    <w:tmpl w:val="8AFA1EFC"/>
    <w:lvl w:ilvl="0">
      <w:start w:val="1"/>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3"/>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C7"/>
    <w:rsid w:val="0000510D"/>
    <w:rsid w:val="000417F2"/>
    <w:rsid w:val="00043E42"/>
    <w:rsid w:val="000442A4"/>
    <w:rsid w:val="0004470E"/>
    <w:rsid w:val="00047053"/>
    <w:rsid w:val="000541D7"/>
    <w:rsid w:val="00071492"/>
    <w:rsid w:val="0007295E"/>
    <w:rsid w:val="00076707"/>
    <w:rsid w:val="0009194D"/>
    <w:rsid w:val="000A30FD"/>
    <w:rsid w:val="000A4962"/>
    <w:rsid w:val="000B3282"/>
    <w:rsid w:val="000B76AA"/>
    <w:rsid w:val="000B7E44"/>
    <w:rsid w:val="000D5255"/>
    <w:rsid w:val="000E1909"/>
    <w:rsid w:val="000E3499"/>
    <w:rsid w:val="000E49E4"/>
    <w:rsid w:val="000F09AA"/>
    <w:rsid w:val="000F36EF"/>
    <w:rsid w:val="000F4CF3"/>
    <w:rsid w:val="00100EB5"/>
    <w:rsid w:val="00110BAE"/>
    <w:rsid w:val="001205C0"/>
    <w:rsid w:val="00123082"/>
    <w:rsid w:val="00130C91"/>
    <w:rsid w:val="00133B3E"/>
    <w:rsid w:val="00140264"/>
    <w:rsid w:val="001410CB"/>
    <w:rsid w:val="00150590"/>
    <w:rsid w:val="001505FE"/>
    <w:rsid w:val="0016089B"/>
    <w:rsid w:val="00175585"/>
    <w:rsid w:val="00180D60"/>
    <w:rsid w:val="001A02F3"/>
    <w:rsid w:val="001A31DD"/>
    <w:rsid w:val="001B22E6"/>
    <w:rsid w:val="001C003E"/>
    <w:rsid w:val="001C54EC"/>
    <w:rsid w:val="001E39A3"/>
    <w:rsid w:val="001F37DD"/>
    <w:rsid w:val="00200144"/>
    <w:rsid w:val="00213D3C"/>
    <w:rsid w:val="00216727"/>
    <w:rsid w:val="00223641"/>
    <w:rsid w:val="00227CDA"/>
    <w:rsid w:val="00240B5B"/>
    <w:rsid w:val="00242419"/>
    <w:rsid w:val="0024426A"/>
    <w:rsid w:val="00246F5B"/>
    <w:rsid w:val="00252320"/>
    <w:rsid w:val="00270AC3"/>
    <w:rsid w:val="00281284"/>
    <w:rsid w:val="00284F2C"/>
    <w:rsid w:val="00290F69"/>
    <w:rsid w:val="00295B29"/>
    <w:rsid w:val="002A1CAA"/>
    <w:rsid w:val="002A278D"/>
    <w:rsid w:val="002A611C"/>
    <w:rsid w:val="002B245F"/>
    <w:rsid w:val="002C4092"/>
    <w:rsid w:val="002C5D8A"/>
    <w:rsid w:val="002D6147"/>
    <w:rsid w:val="002E2FA7"/>
    <w:rsid w:val="002E4157"/>
    <w:rsid w:val="002E5A5D"/>
    <w:rsid w:val="002F4CD9"/>
    <w:rsid w:val="003053C0"/>
    <w:rsid w:val="003079AB"/>
    <w:rsid w:val="00313BCB"/>
    <w:rsid w:val="003200F1"/>
    <w:rsid w:val="00325EEA"/>
    <w:rsid w:val="00326CA1"/>
    <w:rsid w:val="00343E67"/>
    <w:rsid w:val="0035701B"/>
    <w:rsid w:val="00371123"/>
    <w:rsid w:val="00371AE6"/>
    <w:rsid w:val="00371B12"/>
    <w:rsid w:val="0037699F"/>
    <w:rsid w:val="00376AEB"/>
    <w:rsid w:val="00385338"/>
    <w:rsid w:val="0039121F"/>
    <w:rsid w:val="003A692E"/>
    <w:rsid w:val="003B204C"/>
    <w:rsid w:val="004124BC"/>
    <w:rsid w:val="00416DB5"/>
    <w:rsid w:val="00424E67"/>
    <w:rsid w:val="00437AF6"/>
    <w:rsid w:val="0044249E"/>
    <w:rsid w:val="00447190"/>
    <w:rsid w:val="00453E92"/>
    <w:rsid w:val="004552D4"/>
    <w:rsid w:val="00466B47"/>
    <w:rsid w:val="00477CC6"/>
    <w:rsid w:val="00483D64"/>
    <w:rsid w:val="00493786"/>
    <w:rsid w:val="00494B6E"/>
    <w:rsid w:val="004D37EE"/>
    <w:rsid w:val="004D79D0"/>
    <w:rsid w:val="004F2553"/>
    <w:rsid w:val="004F4F25"/>
    <w:rsid w:val="00501E69"/>
    <w:rsid w:val="00520CA9"/>
    <w:rsid w:val="005338CD"/>
    <w:rsid w:val="005379FD"/>
    <w:rsid w:val="00537D38"/>
    <w:rsid w:val="00547FEE"/>
    <w:rsid w:val="00551784"/>
    <w:rsid w:val="00554BAF"/>
    <w:rsid w:val="00567166"/>
    <w:rsid w:val="00574B54"/>
    <w:rsid w:val="0057713F"/>
    <w:rsid w:val="00582DB2"/>
    <w:rsid w:val="00590A2A"/>
    <w:rsid w:val="00591947"/>
    <w:rsid w:val="005A061F"/>
    <w:rsid w:val="005A5F66"/>
    <w:rsid w:val="005A619E"/>
    <w:rsid w:val="005B4A1A"/>
    <w:rsid w:val="005B6811"/>
    <w:rsid w:val="005C0A06"/>
    <w:rsid w:val="005C6B23"/>
    <w:rsid w:val="005C7D53"/>
    <w:rsid w:val="005D33F4"/>
    <w:rsid w:val="005D5A05"/>
    <w:rsid w:val="005E67AF"/>
    <w:rsid w:val="005F7BFB"/>
    <w:rsid w:val="00603DFD"/>
    <w:rsid w:val="0061562E"/>
    <w:rsid w:val="00617B92"/>
    <w:rsid w:val="0063628B"/>
    <w:rsid w:val="00636F17"/>
    <w:rsid w:val="006400AB"/>
    <w:rsid w:val="006567BD"/>
    <w:rsid w:val="0066415A"/>
    <w:rsid w:val="00664AB4"/>
    <w:rsid w:val="006661E4"/>
    <w:rsid w:val="00675B43"/>
    <w:rsid w:val="00681A32"/>
    <w:rsid w:val="00691AE2"/>
    <w:rsid w:val="00692093"/>
    <w:rsid w:val="0069783F"/>
    <w:rsid w:val="006A0E03"/>
    <w:rsid w:val="006A731D"/>
    <w:rsid w:val="006B1B90"/>
    <w:rsid w:val="006B2440"/>
    <w:rsid w:val="006B439A"/>
    <w:rsid w:val="006C4615"/>
    <w:rsid w:val="006D4839"/>
    <w:rsid w:val="006F385D"/>
    <w:rsid w:val="006F5B78"/>
    <w:rsid w:val="0070160A"/>
    <w:rsid w:val="00702471"/>
    <w:rsid w:val="007117D1"/>
    <w:rsid w:val="00715CF4"/>
    <w:rsid w:val="00730804"/>
    <w:rsid w:val="00736FCB"/>
    <w:rsid w:val="007373FB"/>
    <w:rsid w:val="00753A34"/>
    <w:rsid w:val="00754D9E"/>
    <w:rsid w:val="00760A2A"/>
    <w:rsid w:val="0076133D"/>
    <w:rsid w:val="0076462C"/>
    <w:rsid w:val="007668A5"/>
    <w:rsid w:val="00770EFA"/>
    <w:rsid w:val="00785EAC"/>
    <w:rsid w:val="00787DEC"/>
    <w:rsid w:val="00791981"/>
    <w:rsid w:val="00794C87"/>
    <w:rsid w:val="00794F6F"/>
    <w:rsid w:val="007B2FB5"/>
    <w:rsid w:val="007B71E7"/>
    <w:rsid w:val="007C6544"/>
    <w:rsid w:val="007D16BE"/>
    <w:rsid w:val="007D3469"/>
    <w:rsid w:val="007E5CC1"/>
    <w:rsid w:val="007E7006"/>
    <w:rsid w:val="007F34CB"/>
    <w:rsid w:val="007F6475"/>
    <w:rsid w:val="008010C3"/>
    <w:rsid w:val="00813C0D"/>
    <w:rsid w:val="008140BA"/>
    <w:rsid w:val="008316FB"/>
    <w:rsid w:val="00835F92"/>
    <w:rsid w:val="008361D7"/>
    <w:rsid w:val="008375BF"/>
    <w:rsid w:val="008778BD"/>
    <w:rsid w:val="00881320"/>
    <w:rsid w:val="00882140"/>
    <w:rsid w:val="00892E6A"/>
    <w:rsid w:val="008937CD"/>
    <w:rsid w:val="008F0C98"/>
    <w:rsid w:val="008F3D26"/>
    <w:rsid w:val="0090450E"/>
    <w:rsid w:val="009049AA"/>
    <w:rsid w:val="00906302"/>
    <w:rsid w:val="00910537"/>
    <w:rsid w:val="00910B82"/>
    <w:rsid w:val="009119B8"/>
    <w:rsid w:val="00915E95"/>
    <w:rsid w:val="009218B4"/>
    <w:rsid w:val="0092726A"/>
    <w:rsid w:val="00927A82"/>
    <w:rsid w:val="009308BE"/>
    <w:rsid w:val="0095065A"/>
    <w:rsid w:val="0095640E"/>
    <w:rsid w:val="00956E7C"/>
    <w:rsid w:val="00961E6E"/>
    <w:rsid w:val="009800BC"/>
    <w:rsid w:val="009820C0"/>
    <w:rsid w:val="009838AA"/>
    <w:rsid w:val="00991BED"/>
    <w:rsid w:val="009A149A"/>
    <w:rsid w:val="009B19D6"/>
    <w:rsid w:val="009B432D"/>
    <w:rsid w:val="009C3846"/>
    <w:rsid w:val="009D194B"/>
    <w:rsid w:val="009E0565"/>
    <w:rsid w:val="009F66AC"/>
    <w:rsid w:val="00A0266D"/>
    <w:rsid w:val="00A03D76"/>
    <w:rsid w:val="00A14A33"/>
    <w:rsid w:val="00A154FE"/>
    <w:rsid w:val="00A213A4"/>
    <w:rsid w:val="00A21C22"/>
    <w:rsid w:val="00A2520F"/>
    <w:rsid w:val="00A43890"/>
    <w:rsid w:val="00A43FD7"/>
    <w:rsid w:val="00A66E23"/>
    <w:rsid w:val="00A86D8B"/>
    <w:rsid w:val="00A95968"/>
    <w:rsid w:val="00AB2829"/>
    <w:rsid w:val="00AC62CB"/>
    <w:rsid w:val="00B12047"/>
    <w:rsid w:val="00B16236"/>
    <w:rsid w:val="00B255C6"/>
    <w:rsid w:val="00B32A6C"/>
    <w:rsid w:val="00B60DA6"/>
    <w:rsid w:val="00B77568"/>
    <w:rsid w:val="00B8271B"/>
    <w:rsid w:val="00B93A4B"/>
    <w:rsid w:val="00B96016"/>
    <w:rsid w:val="00BB6F61"/>
    <w:rsid w:val="00BB7C71"/>
    <w:rsid w:val="00BC623E"/>
    <w:rsid w:val="00BD2A3C"/>
    <w:rsid w:val="00BD3370"/>
    <w:rsid w:val="00BD713D"/>
    <w:rsid w:val="00BF2981"/>
    <w:rsid w:val="00C019D4"/>
    <w:rsid w:val="00C2181E"/>
    <w:rsid w:val="00C319B3"/>
    <w:rsid w:val="00C76ECA"/>
    <w:rsid w:val="00C8104F"/>
    <w:rsid w:val="00CA459A"/>
    <w:rsid w:val="00CC1AA0"/>
    <w:rsid w:val="00CC6B6D"/>
    <w:rsid w:val="00CD2AC1"/>
    <w:rsid w:val="00CD6564"/>
    <w:rsid w:val="00CF2B65"/>
    <w:rsid w:val="00CF4DE8"/>
    <w:rsid w:val="00D145C7"/>
    <w:rsid w:val="00D158DF"/>
    <w:rsid w:val="00D322E8"/>
    <w:rsid w:val="00D32B8B"/>
    <w:rsid w:val="00D4387B"/>
    <w:rsid w:val="00D441B4"/>
    <w:rsid w:val="00D4550E"/>
    <w:rsid w:val="00D5245A"/>
    <w:rsid w:val="00D64B7D"/>
    <w:rsid w:val="00D65261"/>
    <w:rsid w:val="00D7736B"/>
    <w:rsid w:val="00D930DC"/>
    <w:rsid w:val="00D96481"/>
    <w:rsid w:val="00DA019B"/>
    <w:rsid w:val="00DA039D"/>
    <w:rsid w:val="00DA1A9C"/>
    <w:rsid w:val="00DB5625"/>
    <w:rsid w:val="00DC3F61"/>
    <w:rsid w:val="00DC70DA"/>
    <w:rsid w:val="00DD005C"/>
    <w:rsid w:val="00DE130A"/>
    <w:rsid w:val="00DE3FDA"/>
    <w:rsid w:val="00DF0B8C"/>
    <w:rsid w:val="00DF4B4B"/>
    <w:rsid w:val="00E02DB0"/>
    <w:rsid w:val="00E15BD5"/>
    <w:rsid w:val="00E200E2"/>
    <w:rsid w:val="00E212C6"/>
    <w:rsid w:val="00E22705"/>
    <w:rsid w:val="00E31224"/>
    <w:rsid w:val="00E328B4"/>
    <w:rsid w:val="00E41718"/>
    <w:rsid w:val="00E43D96"/>
    <w:rsid w:val="00E44FDD"/>
    <w:rsid w:val="00E472AF"/>
    <w:rsid w:val="00E5236A"/>
    <w:rsid w:val="00E56753"/>
    <w:rsid w:val="00E63638"/>
    <w:rsid w:val="00E73540"/>
    <w:rsid w:val="00E8472B"/>
    <w:rsid w:val="00E953B9"/>
    <w:rsid w:val="00EC1111"/>
    <w:rsid w:val="00ED7984"/>
    <w:rsid w:val="00EE0A89"/>
    <w:rsid w:val="00EE17D6"/>
    <w:rsid w:val="00EF0E3E"/>
    <w:rsid w:val="00EF72C6"/>
    <w:rsid w:val="00F031B5"/>
    <w:rsid w:val="00F25B8F"/>
    <w:rsid w:val="00F30E01"/>
    <w:rsid w:val="00F401C5"/>
    <w:rsid w:val="00F41443"/>
    <w:rsid w:val="00F759B4"/>
    <w:rsid w:val="00F81EB4"/>
    <w:rsid w:val="00F90577"/>
    <w:rsid w:val="00F94953"/>
    <w:rsid w:val="00FA4170"/>
    <w:rsid w:val="00FA7406"/>
    <w:rsid w:val="00F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0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45C7"/>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Header">
    <w:name w:val="header"/>
    <w:basedOn w:val="Normal"/>
    <w:link w:val="HeaderChar"/>
    <w:uiPriority w:val="99"/>
    <w:rsid w:val="00C8104F"/>
    <w:pPr>
      <w:tabs>
        <w:tab w:val="center" w:pos="4320"/>
        <w:tab w:val="right" w:pos="8640"/>
      </w:tabs>
    </w:pPr>
  </w:style>
  <w:style w:type="paragraph" w:styleId="Footer">
    <w:name w:val="footer"/>
    <w:basedOn w:val="Normal"/>
    <w:link w:val="FooterChar"/>
    <w:uiPriority w:val="99"/>
    <w:rsid w:val="00C8104F"/>
    <w:pPr>
      <w:tabs>
        <w:tab w:val="center" w:pos="4320"/>
        <w:tab w:val="right" w:pos="8640"/>
      </w:tabs>
    </w:pPr>
  </w:style>
  <w:style w:type="character" w:styleId="PageNumber">
    <w:name w:val="page number"/>
    <w:basedOn w:val="DefaultParagraphFont"/>
    <w:rsid w:val="00C8104F"/>
  </w:style>
  <w:style w:type="paragraph" w:customStyle="1" w:styleId="AppendixTitle">
    <w:name w:val="Appendix Title"/>
    <w:basedOn w:val="Normal"/>
    <w:rsid w:val="00AB2829"/>
    <w:pPr>
      <w:tabs>
        <w:tab w:val="left" w:pos="2880"/>
      </w:tabs>
      <w:jc w:val="center"/>
    </w:pPr>
    <w:rPr>
      <w:szCs w:val="24"/>
    </w:rPr>
  </w:style>
  <w:style w:type="paragraph" w:customStyle="1" w:styleId="7112307-01">
    <w:name w:val="71123.07-01"/>
    <w:basedOn w:val="Normal"/>
    <w:link w:val="7112307-01Char"/>
    <w:qFormat/>
    <w:rsid w:val="003B204C"/>
    <w:pPr>
      <w:ind w:left="1440" w:hanging="1440"/>
    </w:pPr>
  </w:style>
  <w:style w:type="paragraph" w:customStyle="1" w:styleId="0201">
    <w:name w:val="02.01"/>
    <w:basedOn w:val="Normal"/>
    <w:link w:val="0201Char"/>
    <w:qFormat/>
    <w:rsid w:val="003B204C"/>
  </w:style>
  <w:style w:type="character" w:customStyle="1" w:styleId="7112307-01Char">
    <w:name w:val="71123.07-01 Char"/>
    <w:link w:val="7112307-01"/>
    <w:rsid w:val="003B204C"/>
    <w:rPr>
      <w:rFonts w:ascii="Arial" w:hAnsi="Arial" w:cs="Arial"/>
      <w:sz w:val="22"/>
      <w:szCs w:val="22"/>
    </w:rPr>
  </w:style>
  <w:style w:type="paragraph" w:customStyle="1" w:styleId="pa">
    <w:name w:val="pa"/>
    <w:basedOn w:val="Level1"/>
    <w:link w:val="paChar"/>
    <w:qFormat/>
    <w:rsid w:val="00675B43"/>
    <w:pPr>
      <w:widowControl/>
      <w:numPr>
        <w:numId w:val="1"/>
      </w:numPr>
      <w:tabs>
        <w:tab w:val="clear" w:pos="806"/>
      </w:tabs>
      <w:jc w:val="left"/>
    </w:pPr>
  </w:style>
  <w:style w:type="character" w:customStyle="1" w:styleId="0201Char">
    <w:name w:val="02.01 Char"/>
    <w:link w:val="0201"/>
    <w:rsid w:val="003B204C"/>
    <w:rPr>
      <w:rFonts w:ascii="Arial" w:hAnsi="Arial" w:cs="Arial"/>
      <w:sz w:val="22"/>
      <w:szCs w:val="22"/>
    </w:rPr>
  </w:style>
  <w:style w:type="paragraph" w:customStyle="1" w:styleId="pa1">
    <w:name w:val="pa.1"/>
    <w:basedOn w:val="Normal"/>
    <w:link w:val="pa1Char"/>
    <w:qFormat/>
    <w:rsid w:val="00DB5625"/>
    <w:pPr>
      <w:ind w:left="1440" w:hanging="634"/>
      <w:jc w:val="left"/>
    </w:pPr>
  </w:style>
  <w:style w:type="character" w:customStyle="1" w:styleId="paChar">
    <w:name w:val="pa Char"/>
    <w:link w:val="pa"/>
    <w:rsid w:val="00675B43"/>
    <w:rPr>
      <w:rFonts w:ascii="Arial" w:hAnsi="Arial" w:cs="Arial"/>
      <w:sz w:val="22"/>
      <w:szCs w:val="22"/>
    </w:rPr>
  </w:style>
  <w:style w:type="paragraph" w:customStyle="1" w:styleId="P1">
    <w:name w:val="P1"/>
    <w:basedOn w:val="Normal"/>
    <w:link w:val="P1Char"/>
    <w:qFormat/>
    <w:rsid w:val="00A66E23"/>
    <w:pPr>
      <w:autoSpaceDE w:val="0"/>
      <w:autoSpaceDN w:val="0"/>
      <w:adjustRightInd w:val="0"/>
      <w:ind w:left="274" w:firstLine="0"/>
      <w:jc w:val="left"/>
    </w:pPr>
  </w:style>
  <w:style w:type="character" w:customStyle="1" w:styleId="pa1Char">
    <w:name w:val="pa.1 Char"/>
    <w:link w:val="pa1"/>
    <w:rsid w:val="00DB5625"/>
    <w:rPr>
      <w:rFonts w:ascii="Arial" w:hAnsi="Arial" w:cs="Arial"/>
      <w:sz w:val="22"/>
      <w:szCs w:val="22"/>
    </w:rPr>
  </w:style>
  <w:style w:type="character" w:customStyle="1" w:styleId="P1Char">
    <w:name w:val="P1 Char"/>
    <w:link w:val="P1"/>
    <w:locked/>
    <w:rsid w:val="00A66E23"/>
    <w:rPr>
      <w:rFonts w:ascii="Arial" w:hAnsi="Arial" w:cs="Arial"/>
      <w:sz w:val="22"/>
      <w:szCs w:val="22"/>
    </w:rPr>
  </w:style>
  <w:style w:type="paragraph" w:styleId="ListParagraph">
    <w:name w:val="List Paragraph"/>
    <w:basedOn w:val="Normal"/>
    <w:uiPriority w:val="34"/>
    <w:qFormat/>
    <w:rsid w:val="00991BED"/>
    <w:pPr>
      <w:ind w:left="720"/>
    </w:pPr>
  </w:style>
  <w:style w:type="character" w:customStyle="1" w:styleId="FooterChar">
    <w:name w:val="Footer Char"/>
    <w:link w:val="Footer"/>
    <w:uiPriority w:val="99"/>
    <w:rsid w:val="005C7D53"/>
    <w:rPr>
      <w:rFonts w:ascii="Arial" w:hAnsi="Arial" w:cs="Arial"/>
      <w:sz w:val="22"/>
      <w:szCs w:val="22"/>
    </w:rPr>
  </w:style>
  <w:style w:type="character" w:customStyle="1" w:styleId="HeaderChar">
    <w:name w:val="Header Char"/>
    <w:link w:val="Header"/>
    <w:uiPriority w:val="99"/>
    <w:rsid w:val="00466B47"/>
    <w:rPr>
      <w:rFonts w:ascii="Arial" w:hAnsi="Arial" w:cs="Arial"/>
      <w:sz w:val="22"/>
      <w:szCs w:val="22"/>
    </w:rPr>
  </w:style>
  <w:style w:type="character" w:styleId="CommentReference">
    <w:name w:val="annotation reference"/>
    <w:rsid w:val="004D79D0"/>
    <w:rPr>
      <w:sz w:val="16"/>
      <w:szCs w:val="16"/>
    </w:rPr>
  </w:style>
  <w:style w:type="paragraph" w:styleId="CommentText">
    <w:name w:val="annotation text"/>
    <w:basedOn w:val="Normal"/>
    <w:link w:val="CommentTextChar"/>
    <w:rsid w:val="004D79D0"/>
    <w:rPr>
      <w:sz w:val="20"/>
      <w:szCs w:val="20"/>
    </w:rPr>
  </w:style>
  <w:style w:type="character" w:customStyle="1" w:styleId="CommentTextChar">
    <w:name w:val="Comment Text Char"/>
    <w:link w:val="CommentText"/>
    <w:rsid w:val="004D79D0"/>
    <w:rPr>
      <w:rFonts w:ascii="Arial" w:hAnsi="Arial" w:cs="Arial"/>
    </w:rPr>
  </w:style>
  <w:style w:type="paragraph" w:styleId="CommentSubject">
    <w:name w:val="annotation subject"/>
    <w:basedOn w:val="CommentText"/>
    <w:next w:val="CommentText"/>
    <w:link w:val="CommentSubjectChar"/>
    <w:rsid w:val="004D79D0"/>
    <w:rPr>
      <w:b/>
      <w:bCs/>
    </w:rPr>
  </w:style>
  <w:style w:type="character" w:customStyle="1" w:styleId="CommentSubjectChar">
    <w:name w:val="Comment Subject Char"/>
    <w:link w:val="CommentSubject"/>
    <w:rsid w:val="004D79D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8573">
      <w:bodyDiv w:val="1"/>
      <w:marLeft w:val="0"/>
      <w:marRight w:val="0"/>
      <w:marTop w:val="0"/>
      <w:marBottom w:val="0"/>
      <w:divBdr>
        <w:top w:val="none" w:sz="0" w:space="0" w:color="auto"/>
        <w:left w:val="none" w:sz="0" w:space="0" w:color="auto"/>
        <w:bottom w:val="none" w:sz="0" w:space="0" w:color="auto"/>
        <w:right w:val="none" w:sz="0" w:space="0" w:color="auto"/>
      </w:divBdr>
    </w:div>
    <w:div w:id="300039541">
      <w:bodyDiv w:val="1"/>
      <w:marLeft w:val="0"/>
      <w:marRight w:val="0"/>
      <w:marTop w:val="0"/>
      <w:marBottom w:val="0"/>
      <w:divBdr>
        <w:top w:val="none" w:sz="0" w:space="0" w:color="auto"/>
        <w:left w:val="none" w:sz="0" w:space="0" w:color="auto"/>
        <w:bottom w:val="none" w:sz="0" w:space="0" w:color="auto"/>
        <w:right w:val="none" w:sz="0" w:space="0" w:color="auto"/>
      </w:divBdr>
    </w:div>
    <w:div w:id="319386951">
      <w:bodyDiv w:val="1"/>
      <w:marLeft w:val="0"/>
      <w:marRight w:val="0"/>
      <w:marTop w:val="0"/>
      <w:marBottom w:val="0"/>
      <w:divBdr>
        <w:top w:val="none" w:sz="0" w:space="0" w:color="auto"/>
        <w:left w:val="none" w:sz="0" w:space="0" w:color="auto"/>
        <w:bottom w:val="none" w:sz="0" w:space="0" w:color="auto"/>
        <w:right w:val="none" w:sz="0" w:space="0" w:color="auto"/>
      </w:divBdr>
    </w:div>
    <w:div w:id="974337016">
      <w:bodyDiv w:val="1"/>
      <w:marLeft w:val="0"/>
      <w:marRight w:val="0"/>
      <w:marTop w:val="0"/>
      <w:marBottom w:val="0"/>
      <w:divBdr>
        <w:top w:val="none" w:sz="0" w:space="0" w:color="auto"/>
        <w:left w:val="none" w:sz="0" w:space="0" w:color="auto"/>
        <w:bottom w:val="none" w:sz="0" w:space="0" w:color="auto"/>
        <w:right w:val="none" w:sz="0" w:space="0" w:color="auto"/>
      </w:divBdr>
    </w:div>
    <w:div w:id="1721703527">
      <w:bodyDiv w:val="1"/>
      <w:marLeft w:val="0"/>
      <w:marRight w:val="0"/>
      <w:marTop w:val="0"/>
      <w:marBottom w:val="0"/>
      <w:divBdr>
        <w:top w:val="none" w:sz="0" w:space="0" w:color="auto"/>
        <w:left w:val="none" w:sz="0" w:space="0" w:color="auto"/>
        <w:bottom w:val="none" w:sz="0" w:space="0" w:color="auto"/>
        <w:right w:val="none" w:sz="0" w:space="0" w:color="auto"/>
      </w:divBdr>
    </w:div>
    <w:div w:id="17219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B135-1F1B-43F2-9479-57427A9F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CF38D7-EB69-46D4-8543-016392FF7066}">
  <ds:schemaRefs>
    <ds:schemaRef ds:uri="http://schemas.microsoft.com/sharepoint/v3/contenttype/forms"/>
  </ds:schemaRefs>
</ds:datastoreItem>
</file>

<file path=customXml/itemProps3.xml><?xml version="1.0" encoding="utf-8"?>
<ds:datastoreItem xmlns:ds="http://schemas.openxmlformats.org/officeDocument/2006/customXml" ds:itemID="{96E82F21-70E5-486A-9859-4F8736F8B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B9C30-923B-4AE2-A2E5-47B550E6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3533</Words>
  <Characters>20143</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2009-09-10T11:14:00Z</cp:lastPrinted>
  <dcterms:created xsi:type="dcterms:W3CDTF">2017-12-21T12:35:00Z</dcterms:created>
  <dcterms:modified xsi:type="dcterms:W3CDTF">2017-12-21T12:37:00Z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