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D869F" w14:textId="70591F74" w:rsidR="00D45236" w:rsidRPr="004D3515" w:rsidRDefault="00D45236" w:rsidP="00266A88">
      <w:pPr>
        <w:widowControl/>
        <w:tabs>
          <w:tab w:val="center" w:pos="4680"/>
          <w:tab w:val="right" w:pos="9360"/>
        </w:tabs>
        <w:rPr>
          <w:rFonts w:cs="Arial"/>
          <w:bCs/>
          <w:sz w:val="22"/>
          <w:szCs w:val="22"/>
        </w:rPr>
      </w:pPr>
      <w:r w:rsidRPr="004D3515">
        <w:rPr>
          <w:rFonts w:cs="Arial"/>
          <w:b/>
          <w:bCs/>
          <w:sz w:val="22"/>
          <w:szCs w:val="22"/>
        </w:rPr>
        <w:tab/>
      </w:r>
      <w:r w:rsidRPr="008B452E">
        <w:rPr>
          <w:rFonts w:cs="Arial"/>
          <w:b/>
          <w:bCs/>
          <w:sz w:val="38"/>
          <w:szCs w:val="38"/>
        </w:rPr>
        <w:t>NRC INSPECTION MANUAL</w:t>
      </w:r>
      <w:r w:rsidRPr="004D3515">
        <w:rPr>
          <w:rFonts w:cs="Arial"/>
          <w:bCs/>
          <w:sz w:val="22"/>
          <w:szCs w:val="22"/>
        </w:rPr>
        <w:tab/>
      </w:r>
      <w:r w:rsidR="003F0130" w:rsidRPr="004D3515">
        <w:rPr>
          <w:rFonts w:cs="Arial"/>
          <w:bCs/>
          <w:sz w:val="22"/>
          <w:szCs w:val="22"/>
        </w:rPr>
        <w:t>ARCB</w:t>
      </w:r>
    </w:p>
    <w:p w14:paraId="25725E9A" w14:textId="77777777"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 w:val="22"/>
          <w:szCs w:val="22"/>
        </w:rPr>
      </w:pPr>
    </w:p>
    <w:p w14:paraId="49F84E4C" w14:textId="7124F3EB" w:rsidR="00734788" w:rsidRPr="004D3515" w:rsidRDefault="00D45236" w:rsidP="00266A88">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4D3515">
        <w:rPr>
          <w:rFonts w:cs="Arial"/>
          <w:bCs/>
          <w:sz w:val="22"/>
          <w:szCs w:val="22"/>
        </w:rPr>
        <w:t xml:space="preserve">INSPECTION PROCEDURE 71124 </w:t>
      </w:r>
      <w:r w:rsidR="00734788" w:rsidRPr="004D3515">
        <w:rPr>
          <w:rFonts w:cs="Arial"/>
          <w:bCs/>
          <w:sz w:val="22"/>
          <w:szCs w:val="22"/>
        </w:rPr>
        <w:t>ATTACHMENT 0</w:t>
      </w:r>
      <w:r w:rsidR="00DB509E" w:rsidRPr="004D3515">
        <w:rPr>
          <w:rFonts w:cs="Arial"/>
          <w:bCs/>
          <w:sz w:val="22"/>
          <w:szCs w:val="22"/>
        </w:rPr>
        <w:t>4</w:t>
      </w:r>
    </w:p>
    <w:p w14:paraId="24D3DDB8" w14:textId="77777777"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2D33C78"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EB936D0" w14:textId="74CF50BD"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 w:val="22"/>
          <w:szCs w:val="22"/>
        </w:rPr>
      </w:pPr>
      <w:r w:rsidRPr="004D3515">
        <w:rPr>
          <w:rFonts w:cs="Arial"/>
          <w:sz w:val="22"/>
          <w:szCs w:val="22"/>
        </w:rPr>
        <w:t>OCCUPATIONAL DOSE ASSESSMENT</w:t>
      </w:r>
    </w:p>
    <w:p w14:paraId="0EF5551F" w14:textId="77777777" w:rsidR="00D45236" w:rsidRPr="004D3515" w:rsidRDefault="00D4523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14:paraId="2278CA4B" w14:textId="43A0F3F7" w:rsidR="00D45236" w:rsidRDefault="00A1144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 w:val="22"/>
          <w:szCs w:val="22"/>
        </w:rPr>
      </w:pPr>
      <w:r>
        <w:rPr>
          <w:rFonts w:cs="Arial"/>
          <w:sz w:val="22"/>
          <w:szCs w:val="22"/>
        </w:rPr>
        <w:t>Effective Date:  January 1, 2018</w:t>
      </w:r>
    </w:p>
    <w:p w14:paraId="1B041BF4" w14:textId="77777777" w:rsidR="00A11446" w:rsidRDefault="00A1144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14:paraId="07B1113F" w14:textId="77777777" w:rsidR="00A11446" w:rsidRPr="004D3515" w:rsidRDefault="00A1144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14:paraId="1CC393F3" w14:textId="093C8B04" w:rsidR="00734788"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4D3515">
        <w:rPr>
          <w:rFonts w:cs="Arial"/>
          <w:sz w:val="22"/>
          <w:szCs w:val="22"/>
        </w:rPr>
        <w:t>INSPECTABLE AREA</w:t>
      </w:r>
      <w:r w:rsidR="00BB556E">
        <w:rPr>
          <w:rFonts w:cs="Arial"/>
          <w:sz w:val="22"/>
          <w:szCs w:val="22"/>
        </w:rPr>
        <w:t>S</w:t>
      </w:r>
      <w:r w:rsidRPr="004D3515">
        <w:rPr>
          <w:rFonts w:cs="Arial"/>
          <w:sz w:val="22"/>
          <w:szCs w:val="22"/>
        </w:rPr>
        <w:t>:</w:t>
      </w:r>
      <w:r w:rsidRPr="004D3515">
        <w:rPr>
          <w:rFonts w:cs="Arial"/>
          <w:sz w:val="22"/>
          <w:szCs w:val="22"/>
        </w:rPr>
        <w:tab/>
      </w:r>
      <w:r w:rsidR="008770E6">
        <w:rPr>
          <w:rFonts w:cs="Arial"/>
          <w:sz w:val="22"/>
          <w:szCs w:val="22"/>
        </w:rPr>
        <w:t>Access Control to Radiological</w:t>
      </w:r>
      <w:r w:rsidR="00BB556E">
        <w:rPr>
          <w:rFonts w:cs="Arial"/>
          <w:sz w:val="22"/>
          <w:szCs w:val="22"/>
        </w:rPr>
        <w:t>ly Significant</w:t>
      </w:r>
      <w:r w:rsidR="008770E6">
        <w:rPr>
          <w:rFonts w:cs="Arial"/>
          <w:sz w:val="22"/>
          <w:szCs w:val="22"/>
        </w:rPr>
        <w:t xml:space="preserve"> Areas</w:t>
      </w:r>
    </w:p>
    <w:p w14:paraId="449F0B6D" w14:textId="71D3DBE5" w:rsidR="00F06F2E" w:rsidRPr="004D3515" w:rsidRDefault="00F06F2E"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BB556E">
        <w:rPr>
          <w:rFonts w:cs="Arial"/>
          <w:sz w:val="22"/>
          <w:szCs w:val="22"/>
        </w:rPr>
        <w:t>Radiation Monitoring Instrumentation</w:t>
      </w:r>
    </w:p>
    <w:p w14:paraId="160F8847"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EBCBB4" w14:textId="77777777" w:rsidR="007718F1" w:rsidRPr="004D3515" w:rsidRDefault="007718F1"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40" w:hanging="2640"/>
        <w:rPr>
          <w:rFonts w:cs="Arial"/>
          <w:sz w:val="22"/>
          <w:szCs w:val="22"/>
        </w:rPr>
      </w:pPr>
    </w:p>
    <w:p w14:paraId="2CF2B646" w14:textId="21DECCAD" w:rsidR="00734788" w:rsidRPr="004D3515" w:rsidRDefault="005C46E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4D3515">
        <w:rPr>
          <w:rFonts w:cs="Arial"/>
          <w:sz w:val="22"/>
          <w:szCs w:val="22"/>
        </w:rPr>
        <w:t>CORNERSTONE:</w:t>
      </w:r>
      <w:r w:rsidRPr="004D3515">
        <w:rPr>
          <w:rFonts w:cs="Arial"/>
          <w:sz w:val="22"/>
          <w:szCs w:val="22"/>
        </w:rPr>
        <w:tab/>
      </w:r>
      <w:r w:rsidR="00D45236" w:rsidRPr="004D3515">
        <w:rPr>
          <w:rFonts w:cs="Arial"/>
          <w:sz w:val="22"/>
          <w:szCs w:val="22"/>
        </w:rPr>
        <w:tab/>
      </w:r>
      <w:r w:rsidR="00734788" w:rsidRPr="004D3515">
        <w:rPr>
          <w:rFonts w:cs="Arial"/>
          <w:sz w:val="22"/>
          <w:szCs w:val="22"/>
        </w:rPr>
        <w:t>Occupational Radiation Safety</w:t>
      </w:r>
    </w:p>
    <w:p w14:paraId="764754E6"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1B3367" w14:textId="77777777" w:rsidR="005C46E8" w:rsidRPr="004D3515" w:rsidRDefault="005C46E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B8FEAB4" w14:textId="0B532591" w:rsidR="00007125"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4D3515">
        <w:rPr>
          <w:rFonts w:cs="Arial"/>
          <w:sz w:val="22"/>
          <w:szCs w:val="22"/>
        </w:rPr>
        <w:t>INSPECTION BASIS:</w:t>
      </w:r>
      <w:r w:rsidRPr="004D3515">
        <w:rPr>
          <w:rFonts w:cs="Arial"/>
          <w:sz w:val="22"/>
          <w:szCs w:val="22"/>
        </w:rPr>
        <w:tab/>
      </w:r>
      <w:r w:rsidR="00007125" w:rsidRPr="004D3515">
        <w:rPr>
          <w:rFonts w:cs="Arial"/>
          <w:sz w:val="22"/>
          <w:szCs w:val="22"/>
        </w:rPr>
        <w:t>In the radiation safety area, dose is the basic measure of risk from occupational radiation exposures.  The ability to provide for adequate protection of the worker rests on effective risk assessment</w:t>
      </w:r>
      <w:r w:rsidR="002C5F78" w:rsidRPr="004D3515">
        <w:rPr>
          <w:rFonts w:cs="Arial"/>
          <w:sz w:val="22"/>
          <w:szCs w:val="22"/>
        </w:rPr>
        <w:t>,</w:t>
      </w:r>
      <w:r w:rsidR="00007125" w:rsidRPr="004D3515">
        <w:rPr>
          <w:rFonts w:cs="Arial"/>
          <w:sz w:val="22"/>
          <w:szCs w:val="22"/>
        </w:rPr>
        <w:t xml:space="preserve"> which is dependent on the application of monitoring and dosimetry techniques appropriate for the exposure situation. </w:t>
      </w:r>
      <w:r w:rsidR="0095528D" w:rsidRPr="004D3515">
        <w:rPr>
          <w:rFonts w:cs="Arial"/>
          <w:sz w:val="22"/>
          <w:szCs w:val="22"/>
        </w:rPr>
        <w:br/>
      </w:r>
      <w:r w:rsidR="00E06F12" w:rsidRPr="004D3515">
        <w:rPr>
          <w:rFonts w:cs="Arial"/>
          <w:sz w:val="22"/>
          <w:szCs w:val="22"/>
        </w:rPr>
        <w:t xml:space="preserve">Title 10 of the </w:t>
      </w:r>
      <w:r w:rsidR="00E06F12" w:rsidRPr="00FD37D0">
        <w:rPr>
          <w:rFonts w:cs="Arial"/>
          <w:sz w:val="22"/>
          <w:szCs w:val="22"/>
        </w:rPr>
        <w:t>Code of Federal Regulations</w:t>
      </w:r>
      <w:r w:rsidR="00E06F12" w:rsidRPr="004D3515">
        <w:rPr>
          <w:rFonts w:cs="Arial"/>
          <w:sz w:val="22"/>
          <w:szCs w:val="22"/>
        </w:rPr>
        <w:t xml:space="preserve"> (</w:t>
      </w:r>
      <w:r w:rsidR="00007125" w:rsidRPr="004D3515">
        <w:rPr>
          <w:rFonts w:cs="Arial"/>
          <w:sz w:val="22"/>
          <w:szCs w:val="22"/>
        </w:rPr>
        <w:t>10</w:t>
      </w:r>
      <w:r w:rsidR="00E06F12" w:rsidRPr="004D3515">
        <w:rPr>
          <w:rFonts w:cs="Arial"/>
          <w:sz w:val="22"/>
          <w:szCs w:val="22"/>
        </w:rPr>
        <w:t> </w:t>
      </w:r>
      <w:r w:rsidR="00007125" w:rsidRPr="004D3515">
        <w:rPr>
          <w:rFonts w:cs="Arial"/>
          <w:sz w:val="22"/>
          <w:szCs w:val="22"/>
        </w:rPr>
        <w:t>CFR</w:t>
      </w:r>
      <w:r w:rsidR="00E06F12" w:rsidRPr="004D3515">
        <w:rPr>
          <w:rFonts w:cs="Arial"/>
          <w:sz w:val="22"/>
          <w:szCs w:val="22"/>
        </w:rPr>
        <w:t>)</w:t>
      </w:r>
      <w:r w:rsidR="00007125" w:rsidRPr="004D3515">
        <w:rPr>
          <w:rFonts w:cs="Arial"/>
          <w:sz w:val="22"/>
          <w:szCs w:val="22"/>
        </w:rPr>
        <w:t xml:space="preserve"> </w:t>
      </w:r>
      <w:r w:rsidR="008956BE" w:rsidRPr="004D3515">
        <w:rPr>
          <w:rFonts w:cs="Arial"/>
          <w:sz w:val="22"/>
          <w:szCs w:val="22"/>
        </w:rPr>
        <w:t>Part</w:t>
      </w:r>
      <w:r w:rsidR="00E06F12" w:rsidRPr="004D3515">
        <w:rPr>
          <w:rFonts w:cs="Arial"/>
          <w:sz w:val="22"/>
          <w:szCs w:val="22"/>
        </w:rPr>
        <w:t> </w:t>
      </w:r>
      <w:r w:rsidR="00007125" w:rsidRPr="004D3515">
        <w:rPr>
          <w:rFonts w:cs="Arial"/>
          <w:sz w:val="22"/>
          <w:szCs w:val="22"/>
        </w:rPr>
        <w:t>20</w:t>
      </w:r>
      <w:r w:rsidR="00E06F12" w:rsidRPr="004D3515">
        <w:rPr>
          <w:rFonts w:cs="Arial"/>
          <w:sz w:val="22"/>
          <w:szCs w:val="22"/>
        </w:rPr>
        <w:t>, “Standards for Protection against Radiation,”</w:t>
      </w:r>
      <w:r w:rsidR="00007125" w:rsidRPr="004D3515">
        <w:rPr>
          <w:rFonts w:cs="Arial"/>
          <w:sz w:val="22"/>
          <w:szCs w:val="22"/>
        </w:rPr>
        <w:t xml:space="preserve"> </w:t>
      </w:r>
      <w:r w:rsidR="00E06F12" w:rsidRPr="004D3515">
        <w:rPr>
          <w:rFonts w:cs="Arial"/>
          <w:sz w:val="22"/>
          <w:szCs w:val="22"/>
        </w:rPr>
        <w:t>Subpart F,</w:t>
      </w:r>
      <w:r w:rsidR="002C5F78" w:rsidRPr="004D3515">
        <w:rPr>
          <w:rFonts w:cs="Arial"/>
          <w:sz w:val="22"/>
          <w:szCs w:val="22"/>
        </w:rPr>
        <w:t xml:space="preserve"> “Surveys and Monitoring,”</w:t>
      </w:r>
      <w:r w:rsidR="00E06F12" w:rsidRPr="004D3515">
        <w:rPr>
          <w:rFonts w:cs="Arial"/>
          <w:sz w:val="22"/>
          <w:szCs w:val="22"/>
        </w:rPr>
        <w:t xml:space="preserve"> </w:t>
      </w:r>
      <w:r w:rsidR="00007125" w:rsidRPr="004D3515">
        <w:rPr>
          <w:rFonts w:cs="Arial"/>
          <w:sz w:val="22"/>
          <w:szCs w:val="22"/>
        </w:rPr>
        <w:t xml:space="preserve">contains provisions for individual monitoring of external and internal exposures, as well as requirements for the calibration and accuracy of dosimetry equipment.  </w:t>
      </w:r>
      <w:r w:rsidR="0095528D" w:rsidRPr="004D3515">
        <w:rPr>
          <w:rFonts w:cs="Arial"/>
          <w:sz w:val="22"/>
          <w:szCs w:val="22"/>
        </w:rPr>
        <w:br/>
      </w:r>
      <w:r w:rsidR="0095528D" w:rsidRPr="004D3515">
        <w:rPr>
          <w:rFonts w:cs="Arial"/>
          <w:sz w:val="22"/>
          <w:szCs w:val="22"/>
        </w:rPr>
        <w:br/>
      </w:r>
      <w:r w:rsidR="00007125" w:rsidRPr="004D3515">
        <w:rPr>
          <w:rFonts w:cs="Arial"/>
          <w:sz w:val="22"/>
          <w:szCs w:val="22"/>
        </w:rPr>
        <w:t>In addition,</w:t>
      </w:r>
      <w:r w:rsidR="000B0796" w:rsidRPr="004D3515">
        <w:rPr>
          <w:rFonts w:cs="Arial"/>
          <w:sz w:val="22"/>
          <w:szCs w:val="22"/>
        </w:rPr>
        <w:t xml:space="preserve"> </w:t>
      </w:r>
      <w:r w:rsidR="00007125" w:rsidRPr="004D3515">
        <w:rPr>
          <w:rFonts w:cs="Arial"/>
          <w:sz w:val="22"/>
          <w:szCs w:val="22"/>
        </w:rPr>
        <w:t>10</w:t>
      </w:r>
      <w:r w:rsidR="00E06F12" w:rsidRPr="004D3515">
        <w:rPr>
          <w:rFonts w:cs="Arial"/>
          <w:sz w:val="22"/>
          <w:szCs w:val="22"/>
        </w:rPr>
        <w:t> </w:t>
      </w:r>
      <w:r w:rsidR="00007125" w:rsidRPr="004D3515">
        <w:rPr>
          <w:rFonts w:cs="Arial"/>
          <w:sz w:val="22"/>
          <w:szCs w:val="22"/>
        </w:rPr>
        <w:t>CFR</w:t>
      </w:r>
      <w:r w:rsidR="00E06F12" w:rsidRPr="004D3515">
        <w:rPr>
          <w:rFonts w:cs="Arial"/>
          <w:sz w:val="22"/>
          <w:szCs w:val="22"/>
        </w:rPr>
        <w:t> </w:t>
      </w:r>
      <w:r w:rsidR="00007125" w:rsidRPr="004D3515">
        <w:rPr>
          <w:rFonts w:cs="Arial"/>
          <w:sz w:val="22"/>
          <w:szCs w:val="22"/>
        </w:rPr>
        <w:t>20.1202</w:t>
      </w:r>
      <w:r w:rsidR="00E06F12" w:rsidRPr="004D3515">
        <w:rPr>
          <w:rFonts w:cs="Arial"/>
          <w:sz w:val="22"/>
          <w:szCs w:val="22"/>
        </w:rPr>
        <w:t>, “Compliance with Requirements for Summation of External and Internal Doses,”</w:t>
      </w:r>
      <w:r w:rsidR="00007125" w:rsidRPr="004D3515">
        <w:rPr>
          <w:rFonts w:cs="Arial"/>
          <w:sz w:val="22"/>
          <w:szCs w:val="22"/>
        </w:rPr>
        <w:t xml:space="preserve"> has requirements for summing external and internal exposures to determine the total effective dose equivalent.  This inspectable area verifies aspects of the Occupational Radiation Safety </w:t>
      </w:r>
      <w:r w:rsidR="00E06F12" w:rsidRPr="004D3515">
        <w:rPr>
          <w:rFonts w:cs="Arial"/>
          <w:sz w:val="22"/>
          <w:szCs w:val="22"/>
        </w:rPr>
        <w:t>C</w:t>
      </w:r>
      <w:r w:rsidR="00007125" w:rsidRPr="004D3515">
        <w:rPr>
          <w:rFonts w:cs="Arial"/>
          <w:sz w:val="22"/>
          <w:szCs w:val="22"/>
        </w:rPr>
        <w:t>ornerstone for which there are no indicators to measure performance.</w:t>
      </w:r>
    </w:p>
    <w:p w14:paraId="0B2BF800"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3025"/>
        <w:rPr>
          <w:rFonts w:cs="Arial"/>
          <w:sz w:val="22"/>
          <w:szCs w:val="22"/>
        </w:rPr>
      </w:pPr>
    </w:p>
    <w:p w14:paraId="30D5CE2D"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535457" w14:textId="3D8D59E6"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LEVEL OF EFFORT:</w:t>
      </w:r>
      <w:r w:rsidRPr="004D3515">
        <w:rPr>
          <w:rFonts w:cs="Arial"/>
          <w:sz w:val="22"/>
          <w:szCs w:val="22"/>
        </w:rPr>
        <w:tab/>
      </w:r>
      <w:r w:rsidR="00D45236" w:rsidRPr="004D3515">
        <w:rPr>
          <w:rFonts w:cs="Arial"/>
          <w:sz w:val="22"/>
          <w:szCs w:val="22"/>
        </w:rPr>
        <w:tab/>
      </w:r>
      <w:r w:rsidRPr="004D3515">
        <w:rPr>
          <w:rFonts w:cs="Arial"/>
          <w:sz w:val="22"/>
          <w:szCs w:val="22"/>
        </w:rPr>
        <w:t xml:space="preserve">Inspect </w:t>
      </w:r>
      <w:r w:rsidR="00D45236" w:rsidRPr="004D3515">
        <w:rPr>
          <w:rFonts w:cs="Arial"/>
          <w:sz w:val="22"/>
          <w:szCs w:val="22"/>
        </w:rPr>
        <w:t>Biennially</w:t>
      </w:r>
    </w:p>
    <w:p w14:paraId="38D745BA"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26718BD" w14:textId="77777777" w:rsidR="003F0130" w:rsidRPr="004D3515" w:rsidRDefault="003F0130"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F95474D" w14:textId="4F270234" w:rsidR="00E663E4" w:rsidRDefault="003F0130"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PROGRAM APPLICABILITY:</w:t>
      </w:r>
      <w:r w:rsidR="00193444">
        <w:rPr>
          <w:rFonts w:cs="Arial"/>
          <w:sz w:val="22"/>
          <w:szCs w:val="22"/>
        </w:rPr>
        <w:t xml:space="preserve">  </w:t>
      </w:r>
      <w:r w:rsidR="00CD0296">
        <w:rPr>
          <w:rFonts w:cs="Arial"/>
          <w:sz w:val="22"/>
          <w:szCs w:val="22"/>
        </w:rPr>
        <w:t xml:space="preserve">IMC </w:t>
      </w:r>
      <w:r w:rsidR="00193444">
        <w:rPr>
          <w:rFonts w:cs="Arial"/>
          <w:sz w:val="22"/>
          <w:szCs w:val="22"/>
        </w:rPr>
        <w:t>2</w:t>
      </w:r>
      <w:r w:rsidRPr="004D3515">
        <w:rPr>
          <w:rFonts w:cs="Arial"/>
          <w:sz w:val="22"/>
          <w:szCs w:val="22"/>
        </w:rPr>
        <w:t>515 App</w:t>
      </w:r>
      <w:bookmarkStart w:id="0" w:name="_GoBack"/>
      <w:bookmarkEnd w:id="0"/>
      <w:r w:rsidRPr="004D3515">
        <w:rPr>
          <w:rFonts w:cs="Arial"/>
          <w:sz w:val="22"/>
          <w:szCs w:val="22"/>
        </w:rPr>
        <w:t xml:space="preserve"> A</w:t>
      </w:r>
    </w:p>
    <w:p w14:paraId="69BFE411" w14:textId="77777777" w:rsidR="00A603FD" w:rsidRDefault="00A603FD"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19D54D8" w14:textId="77777777" w:rsidR="00A603FD" w:rsidRDefault="00A603FD"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E9BCC96" w14:textId="012609AC"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7112</w:t>
      </w:r>
      <w:r w:rsidR="00EE7888" w:rsidRPr="004D3515">
        <w:rPr>
          <w:rFonts w:cs="Arial"/>
          <w:sz w:val="22"/>
          <w:szCs w:val="22"/>
        </w:rPr>
        <w:t>4</w:t>
      </w:r>
      <w:r w:rsidRPr="004D3515">
        <w:rPr>
          <w:rFonts w:cs="Arial"/>
          <w:sz w:val="22"/>
          <w:szCs w:val="22"/>
        </w:rPr>
        <w:t>.0</w:t>
      </w:r>
      <w:r w:rsidR="00A832D4" w:rsidRPr="004D3515">
        <w:rPr>
          <w:rFonts w:cs="Arial"/>
          <w:sz w:val="22"/>
          <w:szCs w:val="22"/>
        </w:rPr>
        <w:t>4</w:t>
      </w:r>
      <w:r w:rsidRPr="004D3515">
        <w:rPr>
          <w:rFonts w:cs="Arial"/>
          <w:sz w:val="22"/>
          <w:szCs w:val="22"/>
        </w:rPr>
        <w:t>-01</w:t>
      </w:r>
      <w:r w:rsidRPr="004D3515">
        <w:rPr>
          <w:rFonts w:cs="Arial"/>
          <w:sz w:val="22"/>
          <w:szCs w:val="22"/>
        </w:rPr>
        <w:tab/>
        <w:t>INSPECTION OBJECTIVES</w:t>
      </w:r>
    </w:p>
    <w:p w14:paraId="0A045596" w14:textId="77777777" w:rsidR="00734788"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765DF5" w14:textId="2F5A58D5" w:rsidR="00340E5D" w:rsidRPr="00F97A9A" w:rsidRDefault="00340E5D" w:rsidP="00F97A9A">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97A9A">
        <w:rPr>
          <w:rFonts w:cs="Arial"/>
          <w:sz w:val="22"/>
          <w:szCs w:val="22"/>
        </w:rPr>
        <w:t>D</w:t>
      </w:r>
      <w:r w:rsidR="00007125" w:rsidRPr="00F97A9A">
        <w:rPr>
          <w:rFonts w:cs="Arial"/>
          <w:sz w:val="22"/>
          <w:szCs w:val="22"/>
        </w:rPr>
        <w:t>etermine the accuracy and operability of personal monitoring equipment</w:t>
      </w:r>
      <w:r w:rsidRPr="00F97A9A">
        <w:rPr>
          <w:rFonts w:cs="Arial"/>
          <w:sz w:val="22"/>
          <w:szCs w:val="22"/>
        </w:rPr>
        <w:t>.</w:t>
      </w:r>
    </w:p>
    <w:p w14:paraId="71A7571E" w14:textId="77777777" w:rsidR="002A430C" w:rsidRPr="00F97A9A" w:rsidRDefault="002A430C" w:rsidP="00F97A9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rPr>
          <w:rFonts w:cs="Arial"/>
          <w:sz w:val="22"/>
          <w:szCs w:val="22"/>
        </w:rPr>
      </w:pPr>
    </w:p>
    <w:p w14:paraId="5BD75CB6" w14:textId="77777777" w:rsidR="00340E5D" w:rsidRDefault="00340E5D" w:rsidP="00340E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sidRPr="0000551F">
        <w:rPr>
          <w:rFonts w:cs="Arial"/>
          <w:sz w:val="22"/>
          <w:szCs w:val="22"/>
        </w:rPr>
        <w:t>01.02</w:t>
      </w:r>
      <w:r>
        <w:rPr>
          <w:rFonts w:cs="Arial"/>
          <w:sz w:val="22"/>
          <w:szCs w:val="22"/>
        </w:rPr>
        <w:tab/>
        <w:t>D</w:t>
      </w:r>
      <w:r w:rsidR="00007125" w:rsidRPr="004D3515">
        <w:rPr>
          <w:rFonts w:cs="Arial"/>
          <w:sz w:val="22"/>
          <w:szCs w:val="22"/>
        </w:rPr>
        <w:t>etermine the accuracy and effectiveness of the licensee’s methods for determining total effective dose equivalent</w:t>
      </w:r>
      <w:r>
        <w:rPr>
          <w:rFonts w:cs="Arial"/>
          <w:sz w:val="22"/>
          <w:szCs w:val="22"/>
        </w:rPr>
        <w:t>.</w:t>
      </w:r>
    </w:p>
    <w:p w14:paraId="2C64E78C" w14:textId="77777777" w:rsidR="00340E5D" w:rsidRDefault="00340E5D" w:rsidP="00340E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p>
    <w:p w14:paraId="63540CB8" w14:textId="3A93CA25" w:rsidR="00007125" w:rsidRDefault="00340E5D" w:rsidP="00454975">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54975">
        <w:rPr>
          <w:rFonts w:cs="Arial"/>
          <w:sz w:val="22"/>
          <w:szCs w:val="22"/>
        </w:rPr>
        <w:t>V</w:t>
      </w:r>
      <w:r w:rsidR="000B5D10" w:rsidRPr="00454975">
        <w:rPr>
          <w:rFonts w:cs="Arial"/>
          <w:sz w:val="22"/>
          <w:szCs w:val="22"/>
        </w:rPr>
        <w:t>erify</w:t>
      </w:r>
      <w:r w:rsidR="00007125" w:rsidRPr="00454975">
        <w:rPr>
          <w:rFonts w:cs="Arial"/>
          <w:sz w:val="22"/>
          <w:szCs w:val="22"/>
        </w:rPr>
        <w:t xml:space="preserve"> </w:t>
      </w:r>
      <w:r w:rsidR="00E06F12" w:rsidRPr="00454975">
        <w:rPr>
          <w:rFonts w:cs="Arial"/>
          <w:sz w:val="22"/>
          <w:szCs w:val="22"/>
        </w:rPr>
        <w:t xml:space="preserve">that </w:t>
      </w:r>
      <w:r w:rsidR="00007125" w:rsidRPr="00454975">
        <w:rPr>
          <w:rFonts w:cs="Arial"/>
          <w:sz w:val="22"/>
          <w:szCs w:val="22"/>
        </w:rPr>
        <w:t>occupational dose is appropriately monitored.</w:t>
      </w:r>
    </w:p>
    <w:p w14:paraId="4EA7A4F4" w14:textId="77777777" w:rsidR="00454975" w:rsidRPr="00454975" w:rsidRDefault="00454975" w:rsidP="0045497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rPr>
          <w:rFonts w:cs="Arial"/>
          <w:sz w:val="22"/>
          <w:szCs w:val="22"/>
        </w:rPr>
      </w:pPr>
    </w:p>
    <w:p w14:paraId="0BD9B8D0" w14:textId="27282156" w:rsidR="00454975" w:rsidRPr="00454975" w:rsidRDefault="00AA6CE8" w:rsidP="00454975">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 xml:space="preserve">To </w:t>
      </w:r>
      <w:r w:rsidR="00454975" w:rsidRPr="002F4EB2">
        <w:rPr>
          <w:rFonts w:cs="Arial"/>
          <w:sz w:val="22"/>
          <w:szCs w:val="22"/>
        </w:rPr>
        <w:t xml:space="preserve">conduct a Routine Review of problem identification and resolution activities </w:t>
      </w:r>
      <w:r>
        <w:rPr>
          <w:rFonts w:cs="Arial"/>
          <w:sz w:val="22"/>
          <w:szCs w:val="22"/>
        </w:rPr>
        <w:t>per</w:t>
      </w:r>
      <w:r w:rsidR="00454975" w:rsidRPr="002F4EB2">
        <w:rPr>
          <w:rFonts w:cs="Arial"/>
          <w:sz w:val="22"/>
          <w:szCs w:val="22"/>
        </w:rPr>
        <w:t xml:space="preserve"> Inspection Procedure (IP) 71152, “Problem Identification and Resolution.”</w:t>
      </w:r>
    </w:p>
    <w:p w14:paraId="63C9126F" w14:textId="77777777" w:rsidR="00E56F37" w:rsidRDefault="00E56F3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641E963" w14:textId="77777777" w:rsidR="00CD0296" w:rsidRPr="004D3515" w:rsidRDefault="00CD029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21123F" w14:textId="5C0F3837" w:rsidR="00335560"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4D3515">
        <w:rPr>
          <w:rFonts w:cs="Arial"/>
          <w:sz w:val="22"/>
          <w:szCs w:val="22"/>
        </w:rPr>
        <w:t>7112</w:t>
      </w:r>
      <w:r w:rsidR="007718F1" w:rsidRPr="004D3515">
        <w:rPr>
          <w:rFonts w:cs="Arial"/>
          <w:sz w:val="22"/>
          <w:szCs w:val="22"/>
        </w:rPr>
        <w:t>4</w:t>
      </w:r>
      <w:r w:rsidRPr="004D3515">
        <w:rPr>
          <w:rFonts w:cs="Arial"/>
          <w:sz w:val="22"/>
          <w:szCs w:val="22"/>
        </w:rPr>
        <w:t>.0</w:t>
      </w:r>
      <w:r w:rsidR="00A832D4" w:rsidRPr="004D3515">
        <w:rPr>
          <w:rFonts w:cs="Arial"/>
          <w:sz w:val="22"/>
          <w:szCs w:val="22"/>
        </w:rPr>
        <w:t>4</w:t>
      </w:r>
      <w:r w:rsidRPr="004D3515">
        <w:rPr>
          <w:rFonts w:cs="Arial"/>
          <w:sz w:val="22"/>
          <w:szCs w:val="22"/>
        </w:rPr>
        <w:t>-02</w:t>
      </w:r>
      <w:r w:rsidRPr="004D3515">
        <w:rPr>
          <w:rFonts w:cs="Arial"/>
          <w:sz w:val="22"/>
          <w:szCs w:val="22"/>
        </w:rPr>
        <w:tab/>
        <w:t>INSPECTION REQUIREMENTS</w:t>
      </w:r>
    </w:p>
    <w:p w14:paraId="041480B8" w14:textId="77777777" w:rsidR="00BA5DC7" w:rsidRPr="004D3515" w:rsidRDefault="00BA5DC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66"/>
        <w:rPr>
          <w:rFonts w:cs="Arial"/>
          <w:sz w:val="22"/>
          <w:szCs w:val="22"/>
        </w:rPr>
      </w:pPr>
    </w:p>
    <w:p w14:paraId="093DC12B" w14:textId="3880ED66" w:rsidR="006B6F11" w:rsidRPr="004D3515" w:rsidRDefault="006B6F11" w:rsidP="0006193C">
      <w:pPr>
        <w:widowControl/>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u w:val="single"/>
        </w:rPr>
        <w:t>Source Term Characterizatio</w:t>
      </w:r>
      <w:r w:rsidR="00454975">
        <w:rPr>
          <w:rFonts w:cs="Arial"/>
          <w:sz w:val="22"/>
          <w:szCs w:val="22"/>
          <w:u w:val="single"/>
        </w:rPr>
        <w:t>n</w:t>
      </w:r>
      <w:r w:rsidR="003C30E1" w:rsidRPr="00A77134">
        <w:rPr>
          <w:rFonts w:cs="Arial"/>
          <w:sz w:val="22"/>
          <w:szCs w:val="22"/>
        </w:rPr>
        <w:t xml:space="preserve"> (1 Sample)</w:t>
      </w:r>
    </w:p>
    <w:p w14:paraId="68ED04B4" w14:textId="77777777" w:rsidR="006B6F11" w:rsidRPr="004D3515" w:rsidRDefault="006B6F11"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A285337" w14:textId="11CC22E3" w:rsidR="006B6F11" w:rsidRPr="004D3515" w:rsidRDefault="006B6F11" w:rsidP="00E56F37">
      <w:pPr>
        <w:widowControl/>
        <w:numPr>
          <w:ilvl w:val="0"/>
          <w:numId w:val="21"/>
        </w:numPr>
        <w:tabs>
          <w:tab w:val="clear" w:pos="634"/>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4D3515">
        <w:rPr>
          <w:rFonts w:cs="Arial"/>
          <w:sz w:val="22"/>
          <w:szCs w:val="22"/>
        </w:rPr>
        <w:t xml:space="preserve">Source Term </w:t>
      </w:r>
      <w:r w:rsidR="004306E7">
        <w:rPr>
          <w:rFonts w:cs="Arial"/>
          <w:sz w:val="22"/>
          <w:szCs w:val="22"/>
        </w:rPr>
        <w:br/>
      </w:r>
      <w:r w:rsidR="004306E7">
        <w:rPr>
          <w:rFonts w:cs="Arial"/>
          <w:sz w:val="22"/>
          <w:szCs w:val="22"/>
        </w:rPr>
        <w:br/>
      </w:r>
      <w:r w:rsidR="00FD21AB" w:rsidRPr="004D3515">
        <w:rPr>
          <w:rFonts w:cs="Arial"/>
          <w:sz w:val="22"/>
          <w:szCs w:val="22"/>
        </w:rPr>
        <w:t>V</w:t>
      </w:r>
      <w:r w:rsidRPr="004D3515">
        <w:rPr>
          <w:rFonts w:cs="Arial"/>
          <w:sz w:val="22"/>
          <w:szCs w:val="22"/>
        </w:rPr>
        <w:t xml:space="preserve">erify </w:t>
      </w:r>
      <w:r w:rsidR="00FD21AB" w:rsidRPr="004D3515">
        <w:rPr>
          <w:rFonts w:cs="Arial"/>
          <w:sz w:val="22"/>
          <w:szCs w:val="22"/>
        </w:rPr>
        <w:t>the licensee has</w:t>
      </w:r>
      <w:r w:rsidRPr="004D3515">
        <w:rPr>
          <w:rFonts w:cs="Arial"/>
          <w:sz w:val="22"/>
          <w:szCs w:val="22"/>
        </w:rPr>
        <w:t xml:space="preserve"> characteriz</w:t>
      </w:r>
      <w:r w:rsidR="00FD21AB" w:rsidRPr="004D3515">
        <w:rPr>
          <w:rFonts w:cs="Arial"/>
          <w:sz w:val="22"/>
          <w:szCs w:val="22"/>
        </w:rPr>
        <w:t>ed</w:t>
      </w:r>
      <w:r w:rsidRPr="004D3515">
        <w:rPr>
          <w:rFonts w:cs="Arial"/>
          <w:sz w:val="22"/>
          <w:szCs w:val="22"/>
        </w:rPr>
        <w:t xml:space="preserve"> the radiation types and energies being monitored.</w:t>
      </w:r>
    </w:p>
    <w:p w14:paraId="67DA67AC" w14:textId="77777777" w:rsidR="006B6F11" w:rsidRPr="004D3515" w:rsidRDefault="006B6F11"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F8A5AD" w14:textId="179B91A3" w:rsidR="00E663E4" w:rsidRDefault="006B6F11" w:rsidP="00E56F37">
      <w:pPr>
        <w:widowControl/>
        <w:numPr>
          <w:ilvl w:val="0"/>
          <w:numId w:val="21"/>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4D3515">
        <w:rPr>
          <w:rFonts w:cs="Arial"/>
          <w:sz w:val="22"/>
          <w:szCs w:val="22"/>
        </w:rPr>
        <w:t xml:space="preserve">Scaling </w:t>
      </w:r>
      <w:r w:rsidR="00D45236" w:rsidRPr="004D3515">
        <w:rPr>
          <w:rFonts w:cs="Arial"/>
          <w:sz w:val="22"/>
          <w:szCs w:val="22"/>
        </w:rPr>
        <w:t>F</w:t>
      </w:r>
      <w:r w:rsidRPr="004D3515">
        <w:rPr>
          <w:rFonts w:cs="Arial"/>
          <w:sz w:val="22"/>
          <w:szCs w:val="22"/>
        </w:rPr>
        <w:t xml:space="preserve">actors </w:t>
      </w:r>
      <w:r w:rsidR="004306E7">
        <w:rPr>
          <w:rFonts w:cs="Arial"/>
          <w:sz w:val="22"/>
          <w:szCs w:val="22"/>
        </w:rPr>
        <w:br/>
      </w:r>
      <w:r w:rsidR="004306E7">
        <w:rPr>
          <w:rFonts w:cs="Arial"/>
          <w:sz w:val="22"/>
          <w:szCs w:val="22"/>
        </w:rPr>
        <w:br/>
      </w:r>
      <w:r w:rsidRPr="004D3515">
        <w:rPr>
          <w:rFonts w:cs="Arial"/>
          <w:sz w:val="22"/>
          <w:szCs w:val="22"/>
        </w:rPr>
        <w:t>Verify scaling factors have been developed for use in</w:t>
      </w:r>
      <w:r w:rsidR="00FD21AB" w:rsidRPr="004D3515">
        <w:rPr>
          <w:rFonts w:cs="Arial"/>
          <w:sz w:val="22"/>
          <w:szCs w:val="22"/>
        </w:rPr>
        <w:t xml:space="preserve"> s</w:t>
      </w:r>
      <w:r w:rsidRPr="004D3515">
        <w:rPr>
          <w:rFonts w:cs="Arial"/>
          <w:sz w:val="22"/>
          <w:szCs w:val="22"/>
        </w:rPr>
        <w:t xml:space="preserve">caling </w:t>
      </w:r>
      <w:r w:rsidR="001971BA">
        <w:rPr>
          <w:rFonts w:cs="Arial"/>
          <w:sz w:val="22"/>
          <w:szCs w:val="22"/>
        </w:rPr>
        <w:t>hard-to-detect</w:t>
      </w:r>
      <w:r w:rsidRPr="004D3515">
        <w:rPr>
          <w:rFonts w:cs="Arial"/>
          <w:sz w:val="22"/>
          <w:szCs w:val="22"/>
        </w:rPr>
        <w:t xml:space="preserve"> </w:t>
      </w:r>
      <w:r w:rsidR="00FD21AB" w:rsidRPr="004D3515">
        <w:rPr>
          <w:rFonts w:cs="Arial"/>
          <w:sz w:val="22"/>
          <w:szCs w:val="22"/>
        </w:rPr>
        <w:t xml:space="preserve">radionuclide </w:t>
      </w:r>
      <w:r w:rsidRPr="004D3515">
        <w:rPr>
          <w:rFonts w:cs="Arial"/>
          <w:sz w:val="22"/>
          <w:szCs w:val="22"/>
        </w:rPr>
        <w:t xml:space="preserve">activity </w:t>
      </w:r>
      <w:r w:rsidR="00FD21AB" w:rsidRPr="004D3515">
        <w:rPr>
          <w:rFonts w:cs="Arial"/>
          <w:sz w:val="22"/>
          <w:szCs w:val="22"/>
        </w:rPr>
        <w:t xml:space="preserve">and alpha radionuclides </w:t>
      </w:r>
      <w:r w:rsidRPr="004D3515">
        <w:rPr>
          <w:rFonts w:cs="Arial"/>
          <w:sz w:val="22"/>
          <w:szCs w:val="22"/>
        </w:rPr>
        <w:t>in internal dose assessments</w:t>
      </w:r>
      <w:r w:rsidR="00FD21AB" w:rsidRPr="004D3515">
        <w:rPr>
          <w:rFonts w:cs="Arial"/>
          <w:sz w:val="22"/>
          <w:szCs w:val="22"/>
        </w:rPr>
        <w:t>.</w:t>
      </w:r>
    </w:p>
    <w:p w14:paraId="4B4EBD80" w14:textId="77777777" w:rsidR="002A430C" w:rsidRDefault="002A430C"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19AD468" w14:textId="4520293D" w:rsidR="00335560" w:rsidRPr="004D3515" w:rsidRDefault="00335560" w:rsidP="00E56F37">
      <w:pPr>
        <w:widowControl/>
        <w:numPr>
          <w:ilvl w:val="1"/>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u w:val="single"/>
        </w:rPr>
      </w:pPr>
      <w:r w:rsidRPr="004D3515">
        <w:rPr>
          <w:rFonts w:cs="Arial"/>
          <w:sz w:val="22"/>
          <w:szCs w:val="22"/>
          <w:u w:val="single"/>
        </w:rPr>
        <w:t>External Dosimetr</w:t>
      </w:r>
      <w:r w:rsidR="00781C08">
        <w:rPr>
          <w:rFonts w:cs="Arial"/>
          <w:sz w:val="22"/>
          <w:szCs w:val="22"/>
          <w:u w:val="single"/>
        </w:rPr>
        <w:t>y</w:t>
      </w:r>
      <w:r w:rsidR="003C30E1" w:rsidRPr="00A77134">
        <w:rPr>
          <w:rFonts w:cs="Arial"/>
          <w:sz w:val="22"/>
          <w:szCs w:val="22"/>
        </w:rPr>
        <w:t xml:space="preserve"> (1 Sample)</w:t>
      </w:r>
    </w:p>
    <w:p w14:paraId="4BD37126" w14:textId="77777777" w:rsidR="00A832D4" w:rsidRPr="004D3515" w:rsidRDefault="00A832D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09A890B4" w14:textId="77777777" w:rsidR="00C0052F" w:rsidRPr="004D3515" w:rsidRDefault="00C0052F" w:rsidP="00E56F37">
      <w:pPr>
        <w:widowControl/>
        <w:numPr>
          <w:ilvl w:val="0"/>
          <w:numId w:val="11"/>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u w:val="single"/>
        </w:rPr>
      </w:pPr>
      <w:r w:rsidRPr="004D3515">
        <w:rPr>
          <w:rFonts w:cs="Arial"/>
          <w:sz w:val="22"/>
          <w:szCs w:val="22"/>
        </w:rPr>
        <w:t>NVLAP Accreditation</w:t>
      </w:r>
    </w:p>
    <w:p w14:paraId="22C41153" w14:textId="77777777" w:rsidR="00C0052F" w:rsidRPr="004D3515" w:rsidRDefault="00C0052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6D95F03" w14:textId="23A7DB61" w:rsidR="00C0052F" w:rsidRPr="004D3515" w:rsidRDefault="003864E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ab/>
      </w:r>
      <w:r w:rsidR="00C0052F" w:rsidRPr="004D3515">
        <w:rPr>
          <w:rFonts w:cs="Arial"/>
          <w:sz w:val="22"/>
          <w:szCs w:val="22"/>
        </w:rPr>
        <w:t xml:space="preserve">Verify that the licensee’s </w:t>
      </w:r>
      <w:r w:rsidR="005527FD" w:rsidRPr="004D3515">
        <w:rPr>
          <w:rFonts w:cs="Arial"/>
          <w:sz w:val="22"/>
          <w:szCs w:val="22"/>
        </w:rPr>
        <w:t xml:space="preserve">personnel </w:t>
      </w:r>
      <w:r w:rsidR="00C0052F" w:rsidRPr="004D3515">
        <w:rPr>
          <w:rFonts w:cs="Arial"/>
          <w:sz w:val="22"/>
          <w:szCs w:val="22"/>
        </w:rPr>
        <w:t>dosimeters</w:t>
      </w:r>
      <w:r w:rsidR="00D64D61">
        <w:rPr>
          <w:rFonts w:cs="Arial"/>
          <w:sz w:val="22"/>
          <w:szCs w:val="22"/>
        </w:rPr>
        <w:t xml:space="preserve">—that </w:t>
      </w:r>
      <w:r w:rsidR="005527FD" w:rsidRPr="004D3515">
        <w:rPr>
          <w:rFonts w:cs="Arial"/>
          <w:sz w:val="22"/>
          <w:szCs w:val="22"/>
        </w:rPr>
        <w:t>require processing</w:t>
      </w:r>
      <w:r w:rsidR="00D64D61">
        <w:rPr>
          <w:rFonts w:cs="Arial"/>
          <w:sz w:val="22"/>
          <w:szCs w:val="22"/>
        </w:rPr>
        <w:t xml:space="preserve">—are </w:t>
      </w:r>
      <w:r w:rsidR="00FD21AB" w:rsidRPr="004D3515">
        <w:rPr>
          <w:rFonts w:cs="Arial"/>
          <w:sz w:val="22"/>
          <w:szCs w:val="22"/>
        </w:rPr>
        <w:t xml:space="preserve">processed by a </w:t>
      </w:r>
      <w:r w:rsidR="00C0052F" w:rsidRPr="004D3515">
        <w:rPr>
          <w:rFonts w:cs="Arial"/>
          <w:sz w:val="22"/>
          <w:szCs w:val="22"/>
        </w:rPr>
        <w:t>NVLAP accredited</w:t>
      </w:r>
      <w:r w:rsidR="00FD21AB" w:rsidRPr="004D3515">
        <w:rPr>
          <w:rFonts w:cs="Arial"/>
          <w:sz w:val="22"/>
          <w:szCs w:val="22"/>
        </w:rPr>
        <w:t xml:space="preserve"> processor</w:t>
      </w:r>
      <w:r w:rsidR="001971BA">
        <w:rPr>
          <w:rFonts w:cs="Arial"/>
          <w:sz w:val="22"/>
          <w:szCs w:val="22"/>
        </w:rPr>
        <w:t xml:space="preserve"> and that the approved radiation test categories for each type of personnel dosimeter are consistent with the types and energies of radiation present and method of dosimeter use.</w:t>
      </w:r>
    </w:p>
    <w:p w14:paraId="6C1EE954" w14:textId="77777777" w:rsidR="00C0052F" w:rsidRPr="004D3515" w:rsidRDefault="00C0052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8EA234A" w14:textId="6930DA8E" w:rsidR="00A832D4" w:rsidRPr="004D3515" w:rsidRDefault="00A832D4" w:rsidP="00E56F37">
      <w:pPr>
        <w:widowControl/>
        <w:numPr>
          <w:ilvl w:val="0"/>
          <w:numId w:val="11"/>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Pa</w:t>
      </w:r>
      <w:r w:rsidR="00C0052F" w:rsidRPr="004D3515">
        <w:rPr>
          <w:rFonts w:cs="Arial"/>
          <w:sz w:val="22"/>
          <w:szCs w:val="22"/>
        </w:rPr>
        <w:t>ssive Dosimeters (</w:t>
      </w:r>
      <w:r w:rsidR="00FD21AB" w:rsidRPr="004D3515">
        <w:rPr>
          <w:rFonts w:cs="Arial"/>
          <w:sz w:val="22"/>
          <w:szCs w:val="22"/>
        </w:rPr>
        <w:t xml:space="preserve">e.g. </w:t>
      </w:r>
      <w:r w:rsidR="00C0052F" w:rsidRPr="004D3515">
        <w:rPr>
          <w:rFonts w:cs="Arial"/>
          <w:sz w:val="22"/>
          <w:szCs w:val="22"/>
        </w:rPr>
        <w:t>TLD, OSL</w:t>
      </w:r>
      <w:r w:rsidRPr="004D3515">
        <w:rPr>
          <w:rFonts w:cs="Arial"/>
          <w:sz w:val="22"/>
          <w:szCs w:val="22"/>
        </w:rPr>
        <w:t>)</w:t>
      </w:r>
      <w:r w:rsidR="00C0052F" w:rsidRPr="004D3515">
        <w:rPr>
          <w:rFonts w:cs="Arial"/>
          <w:sz w:val="22"/>
          <w:szCs w:val="22"/>
        </w:rPr>
        <w:t xml:space="preserve">  </w:t>
      </w:r>
    </w:p>
    <w:p w14:paraId="4958BDC0" w14:textId="77777777" w:rsidR="003039C7" w:rsidRPr="004D3515" w:rsidRDefault="003039C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AEF7B5" w14:textId="77777777" w:rsidR="002A535A" w:rsidRDefault="008C5E3A" w:rsidP="002A535A">
      <w:pPr>
        <w:widowControl/>
        <w:numPr>
          <w:ilvl w:val="0"/>
          <w:numId w:val="12"/>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Evaluate the onsite storage of dosimeters before their issuance, during use, and before processing/reading.</w:t>
      </w:r>
    </w:p>
    <w:p w14:paraId="1A822DBF" w14:textId="77777777" w:rsidR="00781C08" w:rsidRDefault="00781C08" w:rsidP="00781C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A523E31" w14:textId="7997D9A6" w:rsidR="00625F51" w:rsidRDefault="00625F51" w:rsidP="002A535A">
      <w:pPr>
        <w:widowControl/>
        <w:numPr>
          <w:ilvl w:val="0"/>
          <w:numId w:val="12"/>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Evaluate whether personnel dosimeters stored at the plant during the monitoring period are stored in a low dose rate area alongside control dosimeters.</w:t>
      </w:r>
    </w:p>
    <w:p w14:paraId="129BBCF7" w14:textId="77777777" w:rsidR="00625F51" w:rsidRDefault="00625F51" w:rsidP="00625F51">
      <w:pPr>
        <w:pStyle w:val="ListParagraph"/>
        <w:rPr>
          <w:rFonts w:cs="Arial"/>
          <w:sz w:val="22"/>
          <w:szCs w:val="22"/>
        </w:rPr>
      </w:pPr>
    </w:p>
    <w:p w14:paraId="328D799C" w14:textId="4C5AE501" w:rsidR="008C5E3A" w:rsidRPr="004D3515" w:rsidRDefault="008C5E3A" w:rsidP="002A535A">
      <w:pPr>
        <w:widowControl/>
        <w:numPr>
          <w:ilvl w:val="0"/>
          <w:numId w:val="12"/>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If the licensee does not require issued dosimetry to be stored on site during the </w:t>
      </w:r>
      <w:r w:rsidR="00625F51">
        <w:rPr>
          <w:rFonts w:cs="Arial"/>
          <w:sz w:val="22"/>
          <w:szCs w:val="22"/>
        </w:rPr>
        <w:t>monitoring</w:t>
      </w:r>
      <w:r w:rsidRPr="004D3515">
        <w:rPr>
          <w:rFonts w:cs="Arial"/>
          <w:sz w:val="22"/>
          <w:szCs w:val="22"/>
        </w:rPr>
        <w:t xml:space="preserve"> period, verify that guidance is provided to radworkers with respect to care and storage of dosimeters.</w:t>
      </w:r>
    </w:p>
    <w:p w14:paraId="452B4DDA" w14:textId="77777777" w:rsidR="001905D6" w:rsidRDefault="001905D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7B07B71" w14:textId="77777777" w:rsidR="0039782F" w:rsidRPr="004D3515" w:rsidRDefault="0039782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046AC524" w14:textId="21A3743E" w:rsidR="00A832D4" w:rsidRPr="004D3515" w:rsidRDefault="00A832D4" w:rsidP="00E56F37">
      <w:pPr>
        <w:widowControl/>
        <w:numPr>
          <w:ilvl w:val="0"/>
          <w:numId w:val="11"/>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Active</w:t>
      </w:r>
      <w:r w:rsidR="0066053B" w:rsidRPr="004D3515">
        <w:rPr>
          <w:rFonts w:cs="Arial"/>
          <w:sz w:val="22"/>
          <w:szCs w:val="22"/>
        </w:rPr>
        <w:t xml:space="preserve"> D</w:t>
      </w:r>
      <w:r w:rsidRPr="004D3515">
        <w:rPr>
          <w:rFonts w:cs="Arial"/>
          <w:sz w:val="22"/>
          <w:szCs w:val="22"/>
        </w:rPr>
        <w:t xml:space="preserve">osimeters (Electronic </w:t>
      </w:r>
      <w:r w:rsidR="00D166FF" w:rsidRPr="004D3515">
        <w:rPr>
          <w:rFonts w:cs="Arial"/>
          <w:sz w:val="22"/>
          <w:szCs w:val="22"/>
        </w:rPr>
        <w:t xml:space="preserve">Alarming </w:t>
      </w:r>
      <w:r w:rsidRPr="004D3515">
        <w:rPr>
          <w:rFonts w:cs="Arial"/>
          <w:sz w:val="22"/>
          <w:szCs w:val="22"/>
        </w:rPr>
        <w:t>Dosimeters)</w:t>
      </w:r>
    </w:p>
    <w:p w14:paraId="751523F9" w14:textId="77777777" w:rsidR="00554E6B" w:rsidRPr="004D3515" w:rsidRDefault="00554E6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2E5273C9" w14:textId="659A0C2D" w:rsidR="009116DF" w:rsidRPr="004D3515" w:rsidRDefault="003B1D8D" w:rsidP="00625F51">
      <w:pPr>
        <w:widowControl/>
        <w:numPr>
          <w:ilvl w:val="0"/>
          <w:numId w:val="45"/>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18"/>
        <w:rPr>
          <w:rFonts w:cs="Arial"/>
          <w:sz w:val="22"/>
          <w:szCs w:val="22"/>
        </w:rPr>
      </w:pPr>
      <w:r w:rsidRPr="004D3515">
        <w:rPr>
          <w:rFonts w:cs="Arial"/>
          <w:sz w:val="22"/>
          <w:szCs w:val="22"/>
        </w:rPr>
        <w:t xml:space="preserve">Determine if </w:t>
      </w:r>
      <w:r w:rsidR="00554E6B" w:rsidRPr="004D3515">
        <w:rPr>
          <w:rFonts w:cs="Arial"/>
          <w:sz w:val="22"/>
          <w:szCs w:val="22"/>
        </w:rPr>
        <w:t xml:space="preserve">and how bias has been determined to correct the </w:t>
      </w:r>
      <w:r w:rsidRPr="004D3515">
        <w:rPr>
          <w:rFonts w:cs="Arial"/>
          <w:sz w:val="22"/>
          <w:szCs w:val="22"/>
        </w:rPr>
        <w:t xml:space="preserve">response of the </w:t>
      </w:r>
      <w:r w:rsidR="002C5F78" w:rsidRPr="004D3515">
        <w:rPr>
          <w:rFonts w:cs="Arial"/>
          <w:sz w:val="22"/>
          <w:szCs w:val="22"/>
        </w:rPr>
        <w:t xml:space="preserve">electronic </w:t>
      </w:r>
      <w:r w:rsidR="00D166FF" w:rsidRPr="004D3515">
        <w:rPr>
          <w:rFonts w:cs="Arial"/>
          <w:sz w:val="22"/>
          <w:szCs w:val="22"/>
        </w:rPr>
        <w:t xml:space="preserve">alarming </w:t>
      </w:r>
      <w:r w:rsidR="002C5F78" w:rsidRPr="004D3515">
        <w:rPr>
          <w:rFonts w:cs="Arial"/>
          <w:sz w:val="22"/>
          <w:szCs w:val="22"/>
        </w:rPr>
        <w:t xml:space="preserve">dosimeter </w:t>
      </w:r>
      <w:r w:rsidR="00D166FF" w:rsidRPr="004D3515">
        <w:rPr>
          <w:rFonts w:cs="Arial"/>
          <w:sz w:val="22"/>
          <w:szCs w:val="22"/>
        </w:rPr>
        <w:t xml:space="preserve">(EAD) </w:t>
      </w:r>
      <w:r w:rsidRPr="004D3515">
        <w:rPr>
          <w:rFonts w:cs="Arial"/>
          <w:sz w:val="22"/>
          <w:szCs w:val="22"/>
        </w:rPr>
        <w:t>as compared to TLD/OSL</w:t>
      </w:r>
      <w:r w:rsidR="0039782F">
        <w:rPr>
          <w:rFonts w:cs="Arial"/>
          <w:sz w:val="22"/>
          <w:szCs w:val="22"/>
        </w:rPr>
        <w:t xml:space="preserve"> and v</w:t>
      </w:r>
      <w:r w:rsidR="009116DF" w:rsidRPr="004D3515">
        <w:rPr>
          <w:rFonts w:cs="Arial"/>
          <w:sz w:val="22"/>
          <w:szCs w:val="22"/>
        </w:rPr>
        <w:t>erify that the correction factor is based on sound technical principles.</w:t>
      </w:r>
    </w:p>
    <w:p w14:paraId="5E2724D7" w14:textId="77777777" w:rsidR="00554E6B" w:rsidRPr="004D3515" w:rsidRDefault="00554E6B" w:rsidP="00E56F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5A2B5D9" w14:textId="2E9273E4" w:rsidR="00554E6B" w:rsidRDefault="008C5E3A" w:rsidP="00625F51">
      <w:pPr>
        <w:widowControl/>
        <w:numPr>
          <w:ilvl w:val="0"/>
          <w:numId w:val="45"/>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18"/>
        <w:rPr>
          <w:rFonts w:cs="Arial"/>
          <w:sz w:val="22"/>
          <w:szCs w:val="22"/>
        </w:rPr>
      </w:pPr>
      <w:r w:rsidRPr="004D3515">
        <w:rPr>
          <w:rFonts w:cs="Arial"/>
          <w:sz w:val="22"/>
          <w:szCs w:val="22"/>
        </w:rPr>
        <w:t xml:space="preserve">Verify that </w:t>
      </w:r>
      <w:r w:rsidR="00D64D61">
        <w:rPr>
          <w:rFonts w:cs="Arial"/>
          <w:sz w:val="22"/>
          <w:szCs w:val="22"/>
        </w:rPr>
        <w:t>correlations between EADs and passive dosimeter measurements are being performed, and that substantial discrepancies are investigated</w:t>
      </w:r>
      <w:r w:rsidR="00554E6B" w:rsidRPr="004D3515">
        <w:rPr>
          <w:rFonts w:cs="Arial"/>
          <w:sz w:val="22"/>
          <w:szCs w:val="22"/>
        </w:rPr>
        <w:t>.</w:t>
      </w:r>
    </w:p>
    <w:p w14:paraId="372A5227" w14:textId="77777777" w:rsidR="00A77134" w:rsidRDefault="00A77134" w:rsidP="00A77134">
      <w:pPr>
        <w:pStyle w:val="ListParagraph"/>
        <w:rPr>
          <w:rFonts w:cs="Arial"/>
          <w:sz w:val="22"/>
          <w:szCs w:val="22"/>
        </w:rPr>
      </w:pPr>
    </w:p>
    <w:p w14:paraId="0A2E8ED6" w14:textId="77777777" w:rsidR="00A77134" w:rsidRPr="004D3515" w:rsidRDefault="00A77134" w:rsidP="00A7713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B917133" w14:textId="77777777" w:rsidR="00FD21AB" w:rsidRPr="004D3515" w:rsidRDefault="00FD21A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DF2BB48" w14:textId="7DDAD210" w:rsidR="00A832D4" w:rsidRPr="004D3515" w:rsidRDefault="00A832D4" w:rsidP="00E56F37">
      <w:pPr>
        <w:widowControl/>
        <w:numPr>
          <w:ilvl w:val="1"/>
          <w:numId w:val="3"/>
        </w:numPr>
        <w:tabs>
          <w:tab w:val="clear" w:pos="117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u w:val="single"/>
        </w:rPr>
        <w:lastRenderedPageBreak/>
        <w:t>Internal Dosimetr</w:t>
      </w:r>
      <w:r w:rsidR="00594AC1">
        <w:rPr>
          <w:rFonts w:cs="Arial"/>
          <w:sz w:val="22"/>
          <w:szCs w:val="22"/>
          <w:u w:val="single"/>
        </w:rPr>
        <w:t>y</w:t>
      </w:r>
      <w:r w:rsidR="003C30E1" w:rsidRPr="00A77134">
        <w:rPr>
          <w:rFonts w:cs="Arial"/>
          <w:sz w:val="22"/>
          <w:szCs w:val="22"/>
        </w:rPr>
        <w:t xml:space="preserve"> (1 Sample)</w:t>
      </w:r>
    </w:p>
    <w:p w14:paraId="3407776C" w14:textId="77777777" w:rsidR="00A832D4" w:rsidRPr="004D3515" w:rsidRDefault="00A832D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223F7696" w14:textId="77777777" w:rsidR="00E663E4" w:rsidRPr="001524A3" w:rsidRDefault="008C5E3A" w:rsidP="00E56F37">
      <w:pPr>
        <w:widowControl/>
        <w:numPr>
          <w:ilvl w:val="0"/>
          <w:numId w:val="6"/>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1524A3">
        <w:rPr>
          <w:rFonts w:cs="Arial"/>
          <w:sz w:val="22"/>
          <w:szCs w:val="22"/>
        </w:rPr>
        <w:t>Routine Bioassay (in vivo)</w:t>
      </w:r>
    </w:p>
    <w:p w14:paraId="62517526" w14:textId="77777777" w:rsidR="002A430C" w:rsidRDefault="002A430C" w:rsidP="00F97A9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83395E" w14:textId="12321C22" w:rsidR="008C5E3A" w:rsidRPr="004D3515" w:rsidRDefault="00D64D61" w:rsidP="00E56F37">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Review </w:t>
      </w:r>
      <w:r w:rsidR="008C5E3A" w:rsidRPr="004D3515">
        <w:rPr>
          <w:rFonts w:cs="Arial"/>
          <w:sz w:val="22"/>
          <w:szCs w:val="22"/>
        </w:rPr>
        <w:t xml:space="preserve">procedures </w:t>
      </w:r>
      <w:r w:rsidR="006F26F5">
        <w:rPr>
          <w:rFonts w:cs="Arial"/>
          <w:sz w:val="22"/>
          <w:szCs w:val="22"/>
        </w:rPr>
        <w:t>for assessing internal dose</w:t>
      </w:r>
      <w:r w:rsidR="000B201C">
        <w:rPr>
          <w:rFonts w:cs="Arial"/>
          <w:sz w:val="22"/>
          <w:szCs w:val="22"/>
        </w:rPr>
        <w:t xml:space="preserve"> that</w:t>
      </w:r>
      <w:r w:rsidR="006F26F5">
        <w:rPr>
          <w:rFonts w:cs="Arial"/>
          <w:sz w:val="22"/>
          <w:szCs w:val="22"/>
        </w:rPr>
        <w:t xml:space="preserve"> </w:t>
      </w:r>
      <w:r w:rsidR="008C5E3A" w:rsidRPr="004D3515">
        <w:rPr>
          <w:rFonts w:cs="Arial"/>
          <w:sz w:val="22"/>
          <w:szCs w:val="22"/>
        </w:rPr>
        <w:t>address methods for determining if an individual is internally or externally contaminated</w:t>
      </w:r>
      <w:r w:rsidR="006F26F5">
        <w:rPr>
          <w:rFonts w:cs="Arial"/>
          <w:sz w:val="22"/>
          <w:szCs w:val="22"/>
        </w:rPr>
        <w:t>;</w:t>
      </w:r>
      <w:r w:rsidR="008C5E3A" w:rsidRPr="004D3515">
        <w:rPr>
          <w:rFonts w:cs="Arial"/>
          <w:sz w:val="22"/>
          <w:szCs w:val="22"/>
        </w:rPr>
        <w:t xml:space="preserve"> </w:t>
      </w:r>
      <w:r w:rsidR="000122D7">
        <w:rPr>
          <w:rFonts w:cs="Arial"/>
          <w:sz w:val="22"/>
          <w:szCs w:val="22"/>
        </w:rPr>
        <w:t xml:space="preserve">whether the contamination was ingested or inhaled; </w:t>
      </w:r>
      <w:r w:rsidR="008C5E3A" w:rsidRPr="004D3515">
        <w:rPr>
          <w:rFonts w:cs="Arial"/>
          <w:sz w:val="22"/>
          <w:szCs w:val="22"/>
        </w:rPr>
        <w:t>the release of contaminated individuals</w:t>
      </w:r>
      <w:r w:rsidR="006F26F5">
        <w:rPr>
          <w:rFonts w:cs="Arial"/>
          <w:sz w:val="22"/>
          <w:szCs w:val="22"/>
        </w:rPr>
        <w:t>;</w:t>
      </w:r>
      <w:r w:rsidR="000122D7">
        <w:rPr>
          <w:rFonts w:cs="Arial"/>
          <w:sz w:val="22"/>
          <w:szCs w:val="22"/>
        </w:rPr>
        <w:t xml:space="preserve"> </w:t>
      </w:r>
      <w:r w:rsidR="008C5E3A" w:rsidRPr="004D3515">
        <w:rPr>
          <w:rFonts w:cs="Arial"/>
          <w:sz w:val="22"/>
          <w:szCs w:val="22"/>
        </w:rPr>
        <w:t>and assignment of dose.</w:t>
      </w:r>
    </w:p>
    <w:p w14:paraId="373C9A80"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AFFE1B0" w14:textId="434BF8F6" w:rsidR="008C5E3A" w:rsidRPr="004D3515" w:rsidRDefault="008C5E3A" w:rsidP="00E56F37">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If whole body counting is used to routinely verify, or quantify, the intakes of radionuclides</w:t>
      </w:r>
      <w:r w:rsidR="00DF48F9">
        <w:rPr>
          <w:rFonts w:cs="Arial"/>
          <w:sz w:val="22"/>
          <w:szCs w:val="22"/>
        </w:rPr>
        <w:t>,</w:t>
      </w:r>
      <w:r w:rsidRPr="004D3515">
        <w:rPr>
          <w:rFonts w:cs="Arial"/>
          <w:sz w:val="22"/>
          <w:szCs w:val="22"/>
        </w:rPr>
        <w:t xml:space="preserve"> verify that the frequency of such measurements is consistent with the biological half-life of the potential nuclides available for intake.</w:t>
      </w:r>
    </w:p>
    <w:p w14:paraId="3581F7D4"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60D4027" w14:textId="32228E2B" w:rsidR="008C5E3A" w:rsidRPr="004D3515" w:rsidRDefault="008C5E3A" w:rsidP="00E56F37">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If the licensee uses a method other than whole body counting for screening intakes</w:t>
      </w:r>
      <w:r w:rsidR="00FC518B">
        <w:rPr>
          <w:rFonts w:cs="Arial"/>
          <w:sz w:val="22"/>
          <w:szCs w:val="22"/>
        </w:rPr>
        <w:t xml:space="preserve">, verify </w:t>
      </w:r>
      <w:r w:rsidRPr="004D3515">
        <w:rPr>
          <w:rFonts w:cs="Arial"/>
          <w:sz w:val="22"/>
          <w:szCs w:val="22"/>
        </w:rPr>
        <w:t xml:space="preserve">the </w:t>
      </w:r>
      <w:r w:rsidR="00FC518B">
        <w:rPr>
          <w:rFonts w:cs="Arial"/>
          <w:sz w:val="22"/>
          <w:szCs w:val="22"/>
        </w:rPr>
        <w:t>minimum detectable activity (</w:t>
      </w:r>
      <w:r w:rsidRPr="004D3515">
        <w:rPr>
          <w:rFonts w:cs="Arial"/>
          <w:sz w:val="22"/>
          <w:szCs w:val="22"/>
        </w:rPr>
        <w:t>MDA</w:t>
      </w:r>
      <w:r w:rsidR="00FC518B">
        <w:rPr>
          <w:rFonts w:cs="Arial"/>
          <w:sz w:val="22"/>
          <w:szCs w:val="22"/>
        </w:rPr>
        <w:t>)</w:t>
      </w:r>
      <w:r w:rsidRPr="004D3515">
        <w:rPr>
          <w:rFonts w:cs="Arial"/>
          <w:sz w:val="22"/>
          <w:szCs w:val="22"/>
        </w:rPr>
        <w:t xml:space="preserve"> is adequate to determine the potential for internally deposited radionuclides sufficient to prompt additional investigation.</w:t>
      </w:r>
    </w:p>
    <w:p w14:paraId="55630497"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4C48F13" w14:textId="2ABC21AD" w:rsidR="00B63510" w:rsidRDefault="00D64D61" w:rsidP="00E56F37">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Select 3-5 whole body counts, and </w:t>
      </w:r>
      <w:r w:rsidR="00B97A36">
        <w:rPr>
          <w:rFonts w:cs="Arial"/>
          <w:sz w:val="22"/>
          <w:szCs w:val="22"/>
        </w:rPr>
        <w:t>verify</w:t>
      </w:r>
      <w:r>
        <w:rPr>
          <w:rFonts w:cs="Arial"/>
          <w:sz w:val="22"/>
          <w:szCs w:val="22"/>
        </w:rPr>
        <w:t xml:space="preserve"> that the system used in each had sufficient counting time/low background to ensure appropriate sensitivity for the potential radionuclides of interest</w:t>
      </w:r>
      <w:r w:rsidR="00DF48F9">
        <w:rPr>
          <w:rFonts w:cs="Arial"/>
          <w:sz w:val="22"/>
          <w:szCs w:val="22"/>
        </w:rPr>
        <w:t xml:space="preserve">; </w:t>
      </w:r>
      <w:r>
        <w:rPr>
          <w:rFonts w:cs="Arial"/>
          <w:sz w:val="22"/>
          <w:szCs w:val="22"/>
        </w:rPr>
        <w:t>that the approp</w:t>
      </w:r>
      <w:r w:rsidR="00B63510">
        <w:rPr>
          <w:rFonts w:cs="Arial"/>
          <w:sz w:val="22"/>
          <w:szCs w:val="22"/>
        </w:rPr>
        <w:t xml:space="preserve">riate nuclide library was used; and </w:t>
      </w:r>
      <w:r>
        <w:rPr>
          <w:rFonts w:cs="Arial"/>
          <w:sz w:val="22"/>
          <w:szCs w:val="22"/>
        </w:rPr>
        <w:t xml:space="preserve">that any anomalous count peaks/nuclides indicated in each output spectra received appropriate disposition.  </w:t>
      </w:r>
    </w:p>
    <w:p w14:paraId="7F9AEDED" w14:textId="77777777" w:rsidR="00B63510" w:rsidRDefault="00B63510" w:rsidP="00B63510">
      <w:pPr>
        <w:pStyle w:val="ListParagraph"/>
        <w:rPr>
          <w:rFonts w:cs="Arial"/>
          <w:sz w:val="22"/>
          <w:szCs w:val="22"/>
        </w:rPr>
      </w:pPr>
    </w:p>
    <w:p w14:paraId="52B3E853" w14:textId="75A6A28B" w:rsidR="008C5E3A" w:rsidRDefault="00D64D61" w:rsidP="00E56F37">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If the licensee relies solely on whole body counting for assessing internal dose, verify that hard-to-detect </w:t>
      </w:r>
      <w:r w:rsidR="00B63510">
        <w:rPr>
          <w:rFonts w:cs="Arial"/>
          <w:sz w:val="22"/>
          <w:szCs w:val="22"/>
        </w:rPr>
        <w:t xml:space="preserve">(HTD) </w:t>
      </w:r>
      <w:r>
        <w:rPr>
          <w:rFonts w:cs="Arial"/>
          <w:sz w:val="22"/>
          <w:szCs w:val="22"/>
        </w:rPr>
        <w:t>nuclides are accounted for in the dose assessment.</w:t>
      </w:r>
    </w:p>
    <w:p w14:paraId="4E1C869B" w14:textId="77777777" w:rsidR="00D64D61" w:rsidRDefault="00D64D61" w:rsidP="00D64D61">
      <w:pPr>
        <w:pStyle w:val="ListParagraph"/>
        <w:rPr>
          <w:rFonts w:cs="Arial"/>
          <w:sz w:val="22"/>
          <w:szCs w:val="22"/>
        </w:rPr>
      </w:pPr>
    </w:p>
    <w:p w14:paraId="0FC137EE" w14:textId="77777777" w:rsidR="008C5E3A" w:rsidRPr="004D3515" w:rsidRDefault="008C5E3A" w:rsidP="00E56F37">
      <w:pPr>
        <w:widowControl/>
        <w:numPr>
          <w:ilvl w:val="0"/>
          <w:numId w:val="6"/>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Special Bioassay (in vitro)</w:t>
      </w:r>
    </w:p>
    <w:p w14:paraId="028B53D8"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p>
    <w:p w14:paraId="361C49A8" w14:textId="2F4E1D24" w:rsidR="008C5E3A" w:rsidRPr="004D3515" w:rsidRDefault="008C5E3A" w:rsidP="00E56F37">
      <w:pPr>
        <w:widowControl/>
        <w:numPr>
          <w:ilvl w:val="0"/>
          <w:numId w:val="14"/>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For lice</w:t>
      </w:r>
      <w:r w:rsidR="004F74EB">
        <w:rPr>
          <w:rFonts w:cs="Arial"/>
          <w:sz w:val="22"/>
          <w:szCs w:val="22"/>
        </w:rPr>
        <w:t>nsees with a routine in vitro bioassay program</w:t>
      </w:r>
      <w:r w:rsidRPr="004D3515">
        <w:rPr>
          <w:rFonts w:cs="Arial"/>
          <w:sz w:val="22"/>
          <w:szCs w:val="22"/>
        </w:rPr>
        <w:t xml:space="preserve">, </w:t>
      </w:r>
      <w:r w:rsidR="004F74EB">
        <w:rPr>
          <w:rFonts w:cs="Arial"/>
          <w:sz w:val="22"/>
          <w:szCs w:val="22"/>
        </w:rPr>
        <w:t>verify</w:t>
      </w:r>
      <w:r w:rsidRPr="004D3515">
        <w:rPr>
          <w:rFonts w:cs="Arial"/>
          <w:sz w:val="22"/>
          <w:szCs w:val="22"/>
        </w:rPr>
        <w:t xml:space="preserve"> procedures used to assess dose from internally deposited radionuclides address co</w:t>
      </w:r>
      <w:r w:rsidR="00866C0F">
        <w:rPr>
          <w:rFonts w:cs="Arial"/>
          <w:sz w:val="22"/>
          <w:szCs w:val="22"/>
        </w:rPr>
        <w:t>llection and storage of samples; whether the contamination was ingested or inhaled;</w:t>
      </w:r>
      <w:r w:rsidRPr="004D3515">
        <w:rPr>
          <w:rFonts w:cs="Arial"/>
          <w:sz w:val="22"/>
          <w:szCs w:val="22"/>
        </w:rPr>
        <w:t xml:space="preserve"> and assignment of dose.</w:t>
      </w:r>
    </w:p>
    <w:p w14:paraId="764270BF"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35B9332" w14:textId="0FC4F5E6" w:rsidR="003314B2" w:rsidRPr="00B63510" w:rsidRDefault="00B63510" w:rsidP="00847AE2">
      <w:pPr>
        <w:widowControl/>
        <w:numPr>
          <w:ilvl w:val="0"/>
          <w:numId w:val="14"/>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B63510">
        <w:rPr>
          <w:rFonts w:cs="Arial"/>
          <w:sz w:val="22"/>
          <w:szCs w:val="22"/>
        </w:rPr>
        <w:t xml:space="preserve">As available, for 1-2 </w:t>
      </w:r>
      <w:r w:rsidR="00D64D61" w:rsidRPr="00B63510">
        <w:rPr>
          <w:rFonts w:cs="Arial"/>
          <w:sz w:val="22"/>
          <w:szCs w:val="22"/>
        </w:rPr>
        <w:t>internal dose assessments obtained using in vitro monitoring</w:t>
      </w:r>
      <w:r w:rsidRPr="00B63510">
        <w:rPr>
          <w:rFonts w:cs="Arial"/>
          <w:sz w:val="22"/>
          <w:szCs w:val="22"/>
        </w:rPr>
        <w:t xml:space="preserve">, </w:t>
      </w:r>
      <w:r w:rsidR="00D64D61" w:rsidRPr="00B63510">
        <w:rPr>
          <w:rFonts w:cs="Arial"/>
          <w:sz w:val="22"/>
          <w:szCs w:val="22"/>
        </w:rPr>
        <w:t xml:space="preserve">assess the adequacy of the dose </w:t>
      </w:r>
      <w:r w:rsidR="00B97A36" w:rsidRPr="00B63510">
        <w:rPr>
          <w:rFonts w:cs="Arial"/>
          <w:sz w:val="22"/>
          <w:szCs w:val="22"/>
        </w:rPr>
        <w:t>assessments</w:t>
      </w:r>
      <w:r w:rsidR="00D64D61" w:rsidRPr="00B63510">
        <w:rPr>
          <w:rFonts w:cs="Arial"/>
          <w:sz w:val="22"/>
          <w:szCs w:val="22"/>
        </w:rPr>
        <w:t>, beginning with sample collectio</w:t>
      </w:r>
      <w:r w:rsidRPr="00B63510">
        <w:rPr>
          <w:rFonts w:cs="Arial"/>
          <w:sz w:val="22"/>
          <w:szCs w:val="22"/>
        </w:rPr>
        <w:t>n through assignment of dose; assess</w:t>
      </w:r>
      <w:r w:rsidR="00D64D61" w:rsidRPr="00B63510">
        <w:rPr>
          <w:rFonts w:cs="Arial"/>
          <w:sz w:val="22"/>
          <w:szCs w:val="22"/>
        </w:rPr>
        <w:t xml:space="preserve"> the counting lab’s QA program or, if a vendor lab is used, the </w:t>
      </w:r>
      <w:r w:rsidRPr="00B63510">
        <w:rPr>
          <w:rFonts w:cs="Arial"/>
          <w:sz w:val="22"/>
          <w:szCs w:val="22"/>
        </w:rPr>
        <w:t>licensee’s audits of the lab</w:t>
      </w:r>
      <w:r w:rsidR="00D64D61" w:rsidRPr="00B63510">
        <w:rPr>
          <w:rFonts w:cs="Arial"/>
          <w:sz w:val="22"/>
          <w:szCs w:val="22"/>
        </w:rPr>
        <w:t xml:space="preserve">.  </w:t>
      </w:r>
    </w:p>
    <w:p w14:paraId="38DDF534" w14:textId="77777777" w:rsidR="0006193C" w:rsidRPr="004D3515" w:rsidRDefault="0006193C"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801E14C" w14:textId="2451E35B" w:rsidR="0003695B" w:rsidRPr="004D3515" w:rsidRDefault="0003695B" w:rsidP="00E56F37">
      <w:pPr>
        <w:widowControl/>
        <w:numPr>
          <w:ilvl w:val="0"/>
          <w:numId w:val="6"/>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Dose Assessments Based on Airborne Monitoring</w:t>
      </w:r>
    </w:p>
    <w:p w14:paraId="1B2CE698" w14:textId="77777777" w:rsidR="0003695B" w:rsidRPr="004D3515" w:rsidRDefault="0003695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1C3791EA" w14:textId="4D7F99D5" w:rsidR="00B63510" w:rsidRDefault="00B63510" w:rsidP="00B63510">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A</w:t>
      </w:r>
      <w:r w:rsidR="00097D72" w:rsidRPr="00F97A9A">
        <w:rPr>
          <w:rFonts w:cs="Arial"/>
          <w:sz w:val="22"/>
          <w:szCs w:val="22"/>
        </w:rPr>
        <w:t>ssess the adequacy of the licensee’s program for dose assessments based on air</w:t>
      </w:r>
      <w:r w:rsidR="00CA14B4" w:rsidRPr="00F97A9A">
        <w:rPr>
          <w:rFonts w:cs="Arial"/>
          <w:sz w:val="22"/>
          <w:szCs w:val="22"/>
        </w:rPr>
        <w:t xml:space="preserve"> sampl</w:t>
      </w:r>
      <w:r w:rsidR="00943803" w:rsidRPr="00F97A9A">
        <w:rPr>
          <w:rFonts w:cs="Arial"/>
          <w:sz w:val="22"/>
          <w:szCs w:val="22"/>
        </w:rPr>
        <w:t>ing</w:t>
      </w:r>
      <w:r w:rsidR="00575C46" w:rsidRPr="00F97A9A">
        <w:rPr>
          <w:rFonts w:cs="Arial"/>
          <w:sz w:val="22"/>
          <w:szCs w:val="22"/>
        </w:rPr>
        <w:t xml:space="preserve"> and </w:t>
      </w:r>
      <w:r w:rsidR="00D61A19">
        <w:rPr>
          <w:rFonts w:cs="Arial"/>
          <w:sz w:val="22"/>
          <w:szCs w:val="22"/>
        </w:rPr>
        <w:t>derived air concentration (</w:t>
      </w:r>
      <w:r w:rsidR="00097D72" w:rsidRPr="00F97A9A">
        <w:rPr>
          <w:rFonts w:cs="Arial"/>
          <w:sz w:val="22"/>
          <w:szCs w:val="22"/>
        </w:rPr>
        <w:t>DAC</w:t>
      </w:r>
      <w:r w:rsidR="00D61A19">
        <w:rPr>
          <w:rFonts w:cs="Arial"/>
          <w:sz w:val="22"/>
          <w:szCs w:val="22"/>
        </w:rPr>
        <w:t>)</w:t>
      </w:r>
      <w:r w:rsidR="00575C46" w:rsidRPr="00F97A9A">
        <w:rPr>
          <w:rFonts w:cs="Arial"/>
          <w:sz w:val="22"/>
          <w:szCs w:val="22"/>
        </w:rPr>
        <w:t>-h</w:t>
      </w:r>
      <w:r w:rsidR="00D61A19">
        <w:rPr>
          <w:rFonts w:cs="Arial"/>
          <w:sz w:val="22"/>
          <w:szCs w:val="22"/>
        </w:rPr>
        <w:t>our</w:t>
      </w:r>
      <w:r w:rsidR="00097D72" w:rsidRPr="00F97A9A">
        <w:rPr>
          <w:rFonts w:cs="Arial"/>
          <w:sz w:val="22"/>
          <w:szCs w:val="22"/>
        </w:rPr>
        <w:t xml:space="preserve"> monitoring.</w:t>
      </w:r>
    </w:p>
    <w:p w14:paraId="7005CACB" w14:textId="77777777" w:rsidR="00B63510" w:rsidRDefault="00B63510" w:rsidP="00B635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061769C3" w14:textId="1AE576A8" w:rsidR="00632EEF" w:rsidRPr="00B63510" w:rsidRDefault="00097D72" w:rsidP="00B63510">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B63510">
        <w:rPr>
          <w:rFonts w:cs="Arial"/>
          <w:sz w:val="22"/>
          <w:szCs w:val="22"/>
        </w:rPr>
        <w:t xml:space="preserve">Verify that flow rates and/or collection times for fixed head air samplers or lapel breathing zone air samplers are adequate to ensure </w:t>
      </w:r>
      <w:r w:rsidR="00503598" w:rsidRPr="00B63510">
        <w:rPr>
          <w:rFonts w:cs="Arial"/>
          <w:sz w:val="22"/>
          <w:szCs w:val="22"/>
        </w:rPr>
        <w:t xml:space="preserve">that </w:t>
      </w:r>
      <w:r w:rsidRPr="00B63510">
        <w:rPr>
          <w:rFonts w:cs="Arial"/>
          <w:sz w:val="22"/>
          <w:szCs w:val="22"/>
        </w:rPr>
        <w:t xml:space="preserve">appropriate </w:t>
      </w:r>
      <w:r w:rsidR="00665905" w:rsidRPr="00B63510">
        <w:rPr>
          <w:rFonts w:cs="Arial"/>
          <w:sz w:val="22"/>
          <w:szCs w:val="22"/>
        </w:rPr>
        <w:t>lower limits of detection</w:t>
      </w:r>
      <w:r w:rsidR="00503598" w:rsidRPr="00B63510">
        <w:rPr>
          <w:rFonts w:cs="Arial"/>
          <w:sz w:val="22"/>
          <w:szCs w:val="22"/>
        </w:rPr>
        <w:t xml:space="preserve"> (</w:t>
      </w:r>
      <w:r w:rsidRPr="00B63510">
        <w:rPr>
          <w:rFonts w:cs="Arial"/>
          <w:sz w:val="22"/>
          <w:szCs w:val="22"/>
        </w:rPr>
        <w:t>LLDs</w:t>
      </w:r>
      <w:r w:rsidR="00503598" w:rsidRPr="00B63510">
        <w:rPr>
          <w:rFonts w:cs="Arial"/>
          <w:sz w:val="22"/>
          <w:szCs w:val="22"/>
        </w:rPr>
        <w:t>)</w:t>
      </w:r>
      <w:r w:rsidRPr="00B63510">
        <w:rPr>
          <w:rFonts w:cs="Arial"/>
          <w:sz w:val="22"/>
          <w:szCs w:val="22"/>
        </w:rPr>
        <w:t xml:space="preserve"> are obtained.</w:t>
      </w:r>
    </w:p>
    <w:p w14:paraId="1AD4BB81" w14:textId="13C0AD18" w:rsidR="00632EEF" w:rsidRPr="004D3515" w:rsidRDefault="00632EE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rFonts w:cs="Arial"/>
          <w:sz w:val="22"/>
          <w:szCs w:val="22"/>
        </w:rPr>
      </w:pPr>
    </w:p>
    <w:p w14:paraId="772AC386" w14:textId="517B20A3" w:rsidR="00632EEF" w:rsidRPr="004D3515" w:rsidRDefault="007D05B2" w:rsidP="00E56F37">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Review </w:t>
      </w:r>
      <w:r w:rsidR="00503598" w:rsidRPr="004D3515">
        <w:rPr>
          <w:rFonts w:cs="Arial"/>
          <w:sz w:val="22"/>
          <w:szCs w:val="22"/>
        </w:rPr>
        <w:t xml:space="preserve">the </w:t>
      </w:r>
      <w:r w:rsidRPr="004D3515">
        <w:rPr>
          <w:rFonts w:cs="Arial"/>
          <w:sz w:val="22"/>
          <w:szCs w:val="22"/>
        </w:rPr>
        <w:t>adequacy of procedural guidance used to asses</w:t>
      </w:r>
      <w:r w:rsidR="000B0796" w:rsidRPr="004D3515">
        <w:rPr>
          <w:rFonts w:cs="Arial"/>
          <w:sz w:val="22"/>
          <w:szCs w:val="22"/>
        </w:rPr>
        <w:t>s</w:t>
      </w:r>
      <w:r w:rsidRPr="004D3515">
        <w:rPr>
          <w:rFonts w:cs="Arial"/>
          <w:sz w:val="22"/>
          <w:szCs w:val="22"/>
        </w:rPr>
        <w:t xml:space="preserve"> dose when, if using respiratory protection, the licensee applies protection factors.</w:t>
      </w:r>
    </w:p>
    <w:p w14:paraId="7DFFF6EB" w14:textId="77777777" w:rsidR="00632EEF" w:rsidRPr="004D3515" w:rsidRDefault="00632EEF" w:rsidP="00E56F37">
      <w:pPr>
        <w:pStyle w:val="ListParagraph"/>
        <w:rPr>
          <w:rFonts w:cs="Arial"/>
          <w:sz w:val="22"/>
          <w:szCs w:val="22"/>
        </w:rPr>
      </w:pPr>
    </w:p>
    <w:p w14:paraId="12E82B58" w14:textId="7A9A39B9" w:rsidR="005E585A" w:rsidRPr="004D3515" w:rsidRDefault="00FB4CC6" w:rsidP="00E56F37">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If available, for 1-2 </w:t>
      </w:r>
      <w:r w:rsidR="007D05B2" w:rsidRPr="004D3515">
        <w:rPr>
          <w:rFonts w:cs="Arial"/>
          <w:sz w:val="22"/>
          <w:szCs w:val="22"/>
        </w:rPr>
        <w:t>dose assessments performed using air</w:t>
      </w:r>
      <w:r w:rsidR="00CA14B4" w:rsidRPr="004D3515">
        <w:rPr>
          <w:rFonts w:cs="Arial"/>
          <w:sz w:val="22"/>
          <w:szCs w:val="22"/>
        </w:rPr>
        <w:t xml:space="preserve"> sampling</w:t>
      </w:r>
      <w:r w:rsidR="00575C46">
        <w:rPr>
          <w:rFonts w:cs="Arial"/>
          <w:sz w:val="22"/>
          <w:szCs w:val="22"/>
        </w:rPr>
        <w:t xml:space="preserve"> and </w:t>
      </w:r>
      <w:r w:rsidR="007D05B2" w:rsidRPr="004D3515">
        <w:rPr>
          <w:rFonts w:cs="Arial"/>
          <w:sz w:val="22"/>
          <w:szCs w:val="22"/>
        </w:rPr>
        <w:t>DAC</w:t>
      </w:r>
      <w:r w:rsidR="00575C46">
        <w:rPr>
          <w:rFonts w:cs="Arial"/>
          <w:sz w:val="22"/>
          <w:szCs w:val="22"/>
        </w:rPr>
        <w:t>-hr</w:t>
      </w:r>
      <w:r w:rsidR="007D05B2" w:rsidRPr="004D3515">
        <w:rPr>
          <w:rFonts w:cs="Arial"/>
          <w:sz w:val="22"/>
          <w:szCs w:val="22"/>
        </w:rPr>
        <w:t xml:space="preserve"> monitoring</w:t>
      </w:r>
      <w:r w:rsidR="00386629">
        <w:rPr>
          <w:rFonts w:cs="Arial"/>
          <w:sz w:val="22"/>
          <w:szCs w:val="22"/>
        </w:rPr>
        <w:t>,</w:t>
      </w:r>
      <w:r>
        <w:rPr>
          <w:rFonts w:cs="Arial"/>
          <w:sz w:val="22"/>
          <w:szCs w:val="22"/>
        </w:rPr>
        <w:t xml:space="preserve"> v</w:t>
      </w:r>
      <w:r w:rsidR="00D53D6C" w:rsidRPr="004D3515">
        <w:rPr>
          <w:rFonts w:cs="Arial"/>
          <w:sz w:val="22"/>
          <w:szCs w:val="22"/>
        </w:rPr>
        <w:t>erify that the licensee</w:t>
      </w:r>
      <w:r w:rsidR="00503598" w:rsidRPr="004D3515">
        <w:rPr>
          <w:rFonts w:cs="Arial"/>
          <w:sz w:val="22"/>
          <w:szCs w:val="22"/>
        </w:rPr>
        <w:t>’</w:t>
      </w:r>
      <w:r w:rsidR="00D53D6C" w:rsidRPr="004D3515">
        <w:rPr>
          <w:rFonts w:cs="Arial"/>
          <w:sz w:val="22"/>
          <w:szCs w:val="22"/>
        </w:rPr>
        <w:t xml:space="preserve">s DAC calculations are representative of the actual airborne radionuclide mixture, including </w:t>
      </w:r>
      <w:r w:rsidR="000831F8" w:rsidRPr="004D3515">
        <w:rPr>
          <w:rFonts w:cs="Arial"/>
          <w:sz w:val="22"/>
          <w:szCs w:val="22"/>
        </w:rPr>
        <w:t>HTD</w:t>
      </w:r>
      <w:r w:rsidR="00D53D6C" w:rsidRPr="004D3515">
        <w:rPr>
          <w:rFonts w:cs="Arial"/>
          <w:sz w:val="22"/>
          <w:szCs w:val="22"/>
        </w:rPr>
        <w:t xml:space="preserve"> </w:t>
      </w:r>
      <w:r w:rsidR="000831F8" w:rsidRPr="004D3515">
        <w:rPr>
          <w:rFonts w:cs="Arial"/>
          <w:sz w:val="22"/>
          <w:szCs w:val="22"/>
        </w:rPr>
        <w:t>radio</w:t>
      </w:r>
      <w:r w:rsidR="00D53D6C" w:rsidRPr="004D3515">
        <w:rPr>
          <w:rFonts w:cs="Arial"/>
          <w:sz w:val="22"/>
          <w:szCs w:val="22"/>
        </w:rPr>
        <w:t>nuclides, as appropriate.</w:t>
      </w:r>
    </w:p>
    <w:p w14:paraId="76850981" w14:textId="77777777" w:rsidR="003B4694" w:rsidRPr="004D3515" w:rsidRDefault="003B4694" w:rsidP="00E56F37">
      <w:pPr>
        <w:pStyle w:val="ListParagraph"/>
        <w:rPr>
          <w:rFonts w:cs="Arial"/>
          <w:sz w:val="22"/>
          <w:szCs w:val="22"/>
        </w:rPr>
      </w:pPr>
    </w:p>
    <w:p w14:paraId="74981B98" w14:textId="3D41C31D" w:rsidR="00FD37D0" w:rsidRPr="00266A88" w:rsidRDefault="00193444" w:rsidP="00FD37D0">
      <w:pPr>
        <w:widowControl/>
        <w:numPr>
          <w:ilvl w:val="0"/>
          <w:numId w:val="6"/>
        </w:numPr>
        <w:tabs>
          <w:tab w:val="clear" w:pos="81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Internal Dose Assessments</w:t>
      </w:r>
      <w:r>
        <w:rPr>
          <w:rFonts w:cs="Arial"/>
          <w:sz w:val="22"/>
          <w:szCs w:val="22"/>
        </w:rPr>
        <w:br/>
      </w:r>
      <w:r>
        <w:rPr>
          <w:rFonts w:cs="Arial"/>
          <w:sz w:val="22"/>
          <w:szCs w:val="22"/>
        </w:rPr>
        <w:br/>
      </w:r>
      <w:r w:rsidR="00386629">
        <w:rPr>
          <w:rFonts w:cs="Arial"/>
          <w:sz w:val="22"/>
          <w:szCs w:val="22"/>
        </w:rPr>
        <w:t>A</w:t>
      </w:r>
      <w:r w:rsidR="00FD37D0" w:rsidRPr="00266A88">
        <w:rPr>
          <w:rFonts w:cs="Arial"/>
          <w:sz w:val="22"/>
          <w:szCs w:val="22"/>
        </w:rPr>
        <w:t>ssess the adequacy of the licensee’s internal dose assessments for any actual internal e</w:t>
      </w:r>
      <w:r w:rsidR="00386629">
        <w:rPr>
          <w:rFonts w:cs="Arial"/>
          <w:sz w:val="22"/>
          <w:szCs w:val="22"/>
        </w:rPr>
        <w:t>xposure.</w:t>
      </w:r>
    </w:p>
    <w:p w14:paraId="3CEE880D" w14:textId="013B4919" w:rsidR="0003695B" w:rsidRPr="004D3515" w:rsidRDefault="0003695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7CF805B9" w14:textId="4EB9A5E6" w:rsidR="009727D3" w:rsidRPr="004D3515" w:rsidRDefault="009727D3" w:rsidP="00E56F37">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02.0</w:t>
      </w:r>
      <w:r w:rsidR="0006193C">
        <w:rPr>
          <w:rFonts w:cs="Arial"/>
          <w:sz w:val="22"/>
          <w:szCs w:val="22"/>
        </w:rPr>
        <w:t>4</w:t>
      </w:r>
      <w:r w:rsidRPr="004D3515">
        <w:rPr>
          <w:rFonts w:cs="Arial"/>
          <w:sz w:val="22"/>
          <w:szCs w:val="22"/>
        </w:rPr>
        <w:tab/>
      </w:r>
      <w:r w:rsidRPr="004D3515">
        <w:rPr>
          <w:rFonts w:cs="Arial"/>
          <w:sz w:val="22"/>
          <w:szCs w:val="22"/>
          <w:u w:val="single"/>
        </w:rPr>
        <w:t>Special Dosimetric Situation</w:t>
      </w:r>
      <w:r w:rsidR="00122AD4">
        <w:rPr>
          <w:rFonts w:cs="Arial"/>
          <w:sz w:val="22"/>
          <w:szCs w:val="22"/>
          <w:u w:val="single"/>
        </w:rPr>
        <w:t>s</w:t>
      </w:r>
      <w:r w:rsidR="003C30E1" w:rsidRPr="00A77134">
        <w:rPr>
          <w:rFonts w:cs="Arial"/>
          <w:sz w:val="22"/>
          <w:szCs w:val="22"/>
        </w:rPr>
        <w:t xml:space="preserve"> (1 Sample)</w:t>
      </w:r>
    </w:p>
    <w:p w14:paraId="5200773A" w14:textId="77777777" w:rsidR="009727D3" w:rsidRPr="004D3515" w:rsidRDefault="009727D3" w:rsidP="00E56F37">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6EAD0FF" w14:textId="77777777" w:rsidR="007D05B2" w:rsidRPr="004D3515" w:rsidRDefault="009727D3" w:rsidP="00E56F37">
      <w:pPr>
        <w:keepNext/>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Declared </w:t>
      </w:r>
      <w:r w:rsidR="00503598" w:rsidRPr="004D3515">
        <w:rPr>
          <w:rFonts w:cs="Arial"/>
          <w:sz w:val="22"/>
          <w:szCs w:val="22"/>
        </w:rPr>
        <w:t>P</w:t>
      </w:r>
      <w:r w:rsidRPr="004D3515">
        <w:rPr>
          <w:rFonts w:cs="Arial"/>
          <w:sz w:val="22"/>
          <w:szCs w:val="22"/>
        </w:rPr>
        <w:t xml:space="preserve">regnant </w:t>
      </w:r>
      <w:r w:rsidR="00503598" w:rsidRPr="004D3515">
        <w:rPr>
          <w:rFonts w:cs="Arial"/>
          <w:sz w:val="22"/>
          <w:szCs w:val="22"/>
        </w:rPr>
        <w:t>W</w:t>
      </w:r>
      <w:r w:rsidRPr="004D3515">
        <w:rPr>
          <w:rFonts w:cs="Arial"/>
          <w:sz w:val="22"/>
          <w:szCs w:val="22"/>
        </w:rPr>
        <w:t>orkers</w:t>
      </w:r>
    </w:p>
    <w:p w14:paraId="2960BA2E" w14:textId="77777777" w:rsidR="007D05B2" w:rsidRPr="004D3515" w:rsidRDefault="007D05B2" w:rsidP="00E56F37">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 w:val="22"/>
          <w:szCs w:val="22"/>
        </w:rPr>
      </w:pPr>
    </w:p>
    <w:p w14:paraId="7ED32DC8" w14:textId="165D1EFB" w:rsidR="007D05B2" w:rsidRPr="004D3515" w:rsidRDefault="009147A0" w:rsidP="00E56F37">
      <w:pPr>
        <w:keepNext/>
        <w:widowControl/>
        <w:numPr>
          <w:ilvl w:val="0"/>
          <w:numId w:val="1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Verify that</w:t>
      </w:r>
      <w:r w:rsidR="008E0B39" w:rsidRPr="004D3515">
        <w:rPr>
          <w:rFonts w:cs="Arial"/>
          <w:sz w:val="22"/>
          <w:szCs w:val="22"/>
        </w:rPr>
        <w:t xml:space="preserve"> the licensees inform</w:t>
      </w:r>
      <w:r w:rsidR="00DD17F6" w:rsidRPr="004D3515">
        <w:rPr>
          <w:rFonts w:cs="Arial"/>
          <w:sz w:val="22"/>
          <w:szCs w:val="22"/>
        </w:rPr>
        <w:t xml:space="preserve"> </w:t>
      </w:r>
      <w:r w:rsidR="00943803" w:rsidRPr="004D3515">
        <w:rPr>
          <w:rFonts w:cs="Arial"/>
          <w:sz w:val="22"/>
          <w:szCs w:val="22"/>
        </w:rPr>
        <w:t>workers</w:t>
      </w:r>
      <w:r w:rsidR="003B4694" w:rsidRPr="004D3515">
        <w:rPr>
          <w:rFonts w:cs="Arial"/>
          <w:sz w:val="22"/>
          <w:szCs w:val="22"/>
        </w:rPr>
        <w:t>, as appropriate,</w:t>
      </w:r>
      <w:r w:rsidR="008E0B39" w:rsidRPr="004D3515">
        <w:rPr>
          <w:rFonts w:cs="Arial"/>
          <w:sz w:val="22"/>
          <w:szCs w:val="22"/>
        </w:rPr>
        <w:t xml:space="preserve"> of the risks of radiation exposure to the embryo/fetus, the regulatory aspects of declaring a pregnancy, and the specific process to be used for </w:t>
      </w:r>
      <w:r w:rsidR="00EF5EF8" w:rsidRPr="004D3515">
        <w:rPr>
          <w:rFonts w:cs="Arial"/>
          <w:sz w:val="22"/>
          <w:szCs w:val="22"/>
        </w:rPr>
        <w:t xml:space="preserve">(voluntarily) </w:t>
      </w:r>
      <w:r w:rsidR="008E0B39" w:rsidRPr="004D3515">
        <w:rPr>
          <w:rFonts w:cs="Arial"/>
          <w:sz w:val="22"/>
          <w:szCs w:val="22"/>
        </w:rPr>
        <w:t xml:space="preserve">declaring a pregnancy.  </w:t>
      </w:r>
    </w:p>
    <w:p w14:paraId="06903EE8" w14:textId="77777777" w:rsidR="007D05B2" w:rsidRPr="004D3515" w:rsidRDefault="007D05B2"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6C9F776" w14:textId="121A41D6" w:rsidR="009727D3" w:rsidRPr="004D3515" w:rsidRDefault="004771BF" w:rsidP="00E56F37">
      <w:pPr>
        <w:widowControl/>
        <w:numPr>
          <w:ilvl w:val="0"/>
          <w:numId w:val="15"/>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If available, for 1-2 workers</w:t>
      </w:r>
      <w:r w:rsidR="009147A0" w:rsidRPr="004D3515">
        <w:rPr>
          <w:rFonts w:cs="Arial"/>
          <w:sz w:val="22"/>
          <w:szCs w:val="22"/>
        </w:rPr>
        <w:t xml:space="preserve"> </w:t>
      </w:r>
      <w:r w:rsidR="00503598" w:rsidRPr="004D3515">
        <w:rPr>
          <w:rFonts w:cs="Arial"/>
          <w:sz w:val="22"/>
          <w:szCs w:val="22"/>
        </w:rPr>
        <w:t xml:space="preserve">who </w:t>
      </w:r>
      <w:r w:rsidR="009147A0" w:rsidRPr="004D3515">
        <w:rPr>
          <w:rFonts w:cs="Arial"/>
          <w:sz w:val="22"/>
          <w:szCs w:val="22"/>
        </w:rPr>
        <w:t xml:space="preserve">have declared their pregnancy </w:t>
      </w:r>
      <w:r w:rsidR="00D64D61">
        <w:rPr>
          <w:rFonts w:cs="Arial"/>
          <w:sz w:val="22"/>
          <w:szCs w:val="22"/>
        </w:rPr>
        <w:t>since the last inspection</w:t>
      </w:r>
      <w:r w:rsidR="00503598" w:rsidRPr="004D3515">
        <w:rPr>
          <w:rFonts w:cs="Arial"/>
          <w:sz w:val="22"/>
          <w:szCs w:val="22"/>
        </w:rPr>
        <w:t>,</w:t>
      </w:r>
      <w:r w:rsidR="003314B2">
        <w:rPr>
          <w:rFonts w:cs="Arial"/>
          <w:sz w:val="22"/>
          <w:szCs w:val="22"/>
        </w:rPr>
        <w:t xml:space="preserve"> review </w:t>
      </w:r>
      <w:r w:rsidR="008E0B39" w:rsidRPr="004D3515">
        <w:rPr>
          <w:rFonts w:cs="Arial"/>
          <w:sz w:val="22"/>
          <w:szCs w:val="22"/>
        </w:rPr>
        <w:t xml:space="preserve">the </w:t>
      </w:r>
      <w:r w:rsidR="00D90F4E" w:rsidRPr="004D3515">
        <w:rPr>
          <w:rFonts w:cs="Arial"/>
          <w:sz w:val="22"/>
          <w:szCs w:val="22"/>
        </w:rPr>
        <w:t>exposure</w:t>
      </w:r>
      <w:r w:rsidR="008E0B39" w:rsidRPr="004D3515">
        <w:rPr>
          <w:rFonts w:cs="Arial"/>
          <w:sz w:val="22"/>
          <w:szCs w:val="22"/>
        </w:rPr>
        <w:t xml:space="preserve"> results and monitoring controls employed by the licensee </w:t>
      </w:r>
      <w:r w:rsidR="00D90F4E" w:rsidRPr="004D3515">
        <w:rPr>
          <w:rFonts w:cs="Arial"/>
          <w:sz w:val="22"/>
          <w:szCs w:val="22"/>
        </w:rPr>
        <w:t xml:space="preserve">and </w:t>
      </w:r>
      <w:r w:rsidR="003314B2">
        <w:rPr>
          <w:rFonts w:cs="Arial"/>
          <w:sz w:val="22"/>
          <w:szCs w:val="22"/>
        </w:rPr>
        <w:t>verify the monitoring program is adequate to assess the dose to the embryo/fetus</w:t>
      </w:r>
      <w:r w:rsidR="008E0B39" w:rsidRPr="004D3515">
        <w:rPr>
          <w:rFonts w:cs="Arial"/>
          <w:sz w:val="22"/>
          <w:szCs w:val="22"/>
        </w:rPr>
        <w:t>.</w:t>
      </w:r>
    </w:p>
    <w:p w14:paraId="6D275802" w14:textId="77777777" w:rsidR="009727D3" w:rsidRPr="004D3515" w:rsidRDefault="009727D3"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684562" w14:textId="3A4863AB" w:rsidR="00B716B9" w:rsidRPr="004D3515" w:rsidRDefault="009147A0" w:rsidP="00E56F37">
      <w:pPr>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Dosimeter Placement </w:t>
      </w:r>
      <w:r w:rsidR="00B716B9" w:rsidRPr="004D3515">
        <w:rPr>
          <w:rFonts w:cs="Arial"/>
          <w:sz w:val="22"/>
          <w:szCs w:val="22"/>
        </w:rPr>
        <w:t>and Assessment</w:t>
      </w:r>
      <w:r w:rsidR="00D95FDB" w:rsidRPr="004D3515">
        <w:rPr>
          <w:rFonts w:cs="Arial"/>
          <w:sz w:val="22"/>
          <w:szCs w:val="22"/>
        </w:rPr>
        <w:t xml:space="preserve"> of </w:t>
      </w:r>
      <w:r w:rsidR="00503598" w:rsidRPr="004D3515">
        <w:rPr>
          <w:rFonts w:cs="Arial"/>
          <w:sz w:val="22"/>
          <w:szCs w:val="22"/>
        </w:rPr>
        <w:t xml:space="preserve">Effective Dose Equivalent </w:t>
      </w:r>
      <w:r w:rsidRPr="004D3515">
        <w:rPr>
          <w:rFonts w:cs="Arial"/>
          <w:sz w:val="22"/>
          <w:szCs w:val="22"/>
        </w:rPr>
        <w:t>for External Exposure</w:t>
      </w:r>
      <w:r w:rsidR="00D95FDB" w:rsidRPr="004D3515">
        <w:rPr>
          <w:rFonts w:cs="Arial"/>
          <w:sz w:val="22"/>
          <w:szCs w:val="22"/>
        </w:rPr>
        <w:t xml:space="preserve">s </w:t>
      </w:r>
      <w:r w:rsidR="0003695B" w:rsidRPr="004D3515">
        <w:rPr>
          <w:rFonts w:cs="Arial"/>
          <w:sz w:val="22"/>
          <w:szCs w:val="22"/>
        </w:rPr>
        <w:t>(EDEX)</w:t>
      </w:r>
    </w:p>
    <w:p w14:paraId="503A6F6E" w14:textId="77777777" w:rsidR="00B716B9" w:rsidRPr="004D3515" w:rsidRDefault="00B716B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5DB2136" w14:textId="77777777" w:rsidR="00D64D61" w:rsidRDefault="004771BF" w:rsidP="00E56F37">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Evaluate</w:t>
      </w:r>
      <w:r w:rsidR="00B716B9" w:rsidRPr="004D3515">
        <w:rPr>
          <w:rFonts w:cs="Arial"/>
          <w:sz w:val="22"/>
          <w:szCs w:val="22"/>
        </w:rPr>
        <w:t xml:space="preserve"> the licensee’s </w:t>
      </w:r>
      <w:r w:rsidR="00801A2C" w:rsidRPr="004D3515">
        <w:rPr>
          <w:rFonts w:cs="Arial"/>
          <w:sz w:val="22"/>
          <w:szCs w:val="22"/>
        </w:rPr>
        <w:t xml:space="preserve">methodology for monitoring external dose </w:t>
      </w:r>
      <w:r w:rsidR="00FA41CE" w:rsidRPr="004D3515">
        <w:rPr>
          <w:rFonts w:cs="Arial"/>
          <w:sz w:val="22"/>
          <w:szCs w:val="22"/>
        </w:rPr>
        <w:t>in situations in which non</w:t>
      </w:r>
      <w:r w:rsidR="00CA14B4" w:rsidRPr="004D3515">
        <w:rPr>
          <w:rFonts w:cs="Arial"/>
          <w:sz w:val="22"/>
          <w:szCs w:val="22"/>
        </w:rPr>
        <w:t>-</w:t>
      </w:r>
      <w:r w:rsidR="00FA41CE" w:rsidRPr="004D3515">
        <w:rPr>
          <w:rFonts w:cs="Arial"/>
          <w:sz w:val="22"/>
          <w:szCs w:val="22"/>
        </w:rPr>
        <w:t xml:space="preserve">uniform fields are expected or </w:t>
      </w:r>
      <w:r w:rsidR="003314B2">
        <w:rPr>
          <w:rFonts w:cs="Arial"/>
          <w:sz w:val="22"/>
          <w:szCs w:val="22"/>
        </w:rPr>
        <w:t>large dose gradients will exist</w:t>
      </w:r>
      <w:r w:rsidR="00FA41CE" w:rsidRPr="004D3515">
        <w:rPr>
          <w:rFonts w:cs="Arial"/>
          <w:sz w:val="22"/>
          <w:szCs w:val="22"/>
        </w:rPr>
        <w:t xml:space="preserve">.  </w:t>
      </w:r>
    </w:p>
    <w:p w14:paraId="010300FA" w14:textId="77777777" w:rsidR="00D64D61" w:rsidRDefault="00D64D61" w:rsidP="00D64D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764698B7" w14:textId="2694C474" w:rsidR="00E663E4" w:rsidRDefault="00D64D61" w:rsidP="00E56F37">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Verify the licensee has established criteria for determining when alternate monitoring techniques are to be implemented.</w:t>
      </w:r>
      <w:r w:rsidR="00325988" w:rsidRPr="004D3515">
        <w:rPr>
          <w:rFonts w:cs="Arial"/>
          <w:sz w:val="22"/>
          <w:szCs w:val="22"/>
        </w:rPr>
        <w:br/>
      </w:r>
    </w:p>
    <w:p w14:paraId="6201B37E" w14:textId="6C43733C" w:rsidR="007C6ED6" w:rsidRDefault="00122AD4" w:rsidP="00E56F37">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For </w:t>
      </w:r>
      <w:r w:rsidR="001F07C9">
        <w:rPr>
          <w:rFonts w:cs="Arial"/>
          <w:sz w:val="22"/>
          <w:szCs w:val="22"/>
        </w:rPr>
        <w:t>1-2</w:t>
      </w:r>
      <w:r w:rsidR="00D90F4E" w:rsidRPr="004D3515">
        <w:rPr>
          <w:rFonts w:cs="Arial"/>
          <w:sz w:val="22"/>
          <w:szCs w:val="22"/>
        </w:rPr>
        <w:t xml:space="preserve"> dose assessments performed using multi</w:t>
      </w:r>
      <w:r w:rsidR="00CA14B4" w:rsidRPr="004D3515">
        <w:rPr>
          <w:rFonts w:cs="Arial"/>
          <w:sz w:val="22"/>
          <w:szCs w:val="22"/>
        </w:rPr>
        <w:t>-</w:t>
      </w:r>
      <w:r w:rsidR="00D90F4E" w:rsidRPr="004D3515">
        <w:rPr>
          <w:rFonts w:cs="Arial"/>
          <w:sz w:val="22"/>
          <w:szCs w:val="22"/>
        </w:rPr>
        <w:t>badging during t</w:t>
      </w:r>
      <w:r>
        <w:rPr>
          <w:rFonts w:cs="Arial"/>
          <w:sz w:val="22"/>
          <w:szCs w:val="22"/>
        </w:rPr>
        <w:t>he current assessment period v</w:t>
      </w:r>
      <w:r w:rsidR="00D90F4E" w:rsidRPr="004D3515">
        <w:rPr>
          <w:rFonts w:cs="Arial"/>
          <w:sz w:val="22"/>
          <w:szCs w:val="22"/>
        </w:rPr>
        <w:t xml:space="preserve">erify </w:t>
      </w:r>
      <w:r w:rsidR="0001179A" w:rsidRPr="004D3515">
        <w:rPr>
          <w:rFonts w:cs="Arial"/>
          <w:sz w:val="22"/>
          <w:szCs w:val="22"/>
        </w:rPr>
        <w:t xml:space="preserve">that </w:t>
      </w:r>
      <w:r w:rsidR="00D90F4E" w:rsidRPr="004D3515">
        <w:rPr>
          <w:rFonts w:cs="Arial"/>
          <w:sz w:val="22"/>
          <w:szCs w:val="22"/>
        </w:rPr>
        <w:t>the assessment was performed consistent</w:t>
      </w:r>
      <w:r w:rsidR="0001179A" w:rsidRPr="004D3515">
        <w:rPr>
          <w:rFonts w:cs="Arial"/>
          <w:sz w:val="22"/>
          <w:szCs w:val="22"/>
        </w:rPr>
        <w:t>ly</w:t>
      </w:r>
      <w:r w:rsidR="00D90F4E" w:rsidRPr="004D3515">
        <w:rPr>
          <w:rFonts w:cs="Arial"/>
          <w:sz w:val="22"/>
          <w:szCs w:val="22"/>
        </w:rPr>
        <w:t xml:space="preserve"> with licensee procedures and dosimetric standards</w:t>
      </w:r>
      <w:r w:rsidR="00D21432" w:rsidRPr="004D3515">
        <w:rPr>
          <w:rFonts w:cs="Arial"/>
          <w:sz w:val="22"/>
          <w:szCs w:val="22"/>
        </w:rPr>
        <w:t>.</w:t>
      </w:r>
      <w:r w:rsidR="00D90F4E" w:rsidRPr="004D3515">
        <w:rPr>
          <w:rFonts w:cs="Arial"/>
          <w:sz w:val="22"/>
          <w:szCs w:val="22"/>
        </w:rPr>
        <w:t xml:space="preserve"> </w:t>
      </w:r>
    </w:p>
    <w:p w14:paraId="764FD604" w14:textId="77777777" w:rsidR="005E585A" w:rsidRPr="004D3515" w:rsidRDefault="005E585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FD25136" w14:textId="27693A2D" w:rsidR="00E77AA9" w:rsidRPr="004D3515" w:rsidRDefault="00E77AA9" w:rsidP="00E56F37">
      <w:pPr>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Shallow Dose Equivalent</w:t>
      </w:r>
      <w:r w:rsidR="004771BF">
        <w:rPr>
          <w:rFonts w:cs="Arial"/>
          <w:sz w:val="22"/>
          <w:szCs w:val="22"/>
        </w:rPr>
        <w:t xml:space="preserve"> (SDE)</w:t>
      </w:r>
      <w:r w:rsidRPr="004D3515">
        <w:rPr>
          <w:rFonts w:cs="Arial"/>
          <w:sz w:val="22"/>
          <w:szCs w:val="22"/>
        </w:rPr>
        <w:t xml:space="preserve"> </w:t>
      </w:r>
    </w:p>
    <w:p w14:paraId="728264E6" w14:textId="77777777" w:rsidR="00C5710C" w:rsidRPr="004D3515" w:rsidRDefault="00C5710C"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 w:val="22"/>
          <w:szCs w:val="22"/>
        </w:rPr>
      </w:pPr>
    </w:p>
    <w:p w14:paraId="0F65B522" w14:textId="2B9EE0EE" w:rsidR="00C5710C" w:rsidRPr="004D3515" w:rsidRDefault="00122AD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As available, for</w:t>
      </w:r>
      <w:r w:rsidR="004771BF">
        <w:rPr>
          <w:rFonts w:cs="Arial"/>
          <w:sz w:val="22"/>
          <w:szCs w:val="22"/>
        </w:rPr>
        <w:t xml:space="preserve"> 1-2</w:t>
      </w:r>
      <w:r w:rsidR="00DD17F6" w:rsidRPr="004D3515">
        <w:rPr>
          <w:rFonts w:cs="Arial"/>
          <w:sz w:val="22"/>
          <w:szCs w:val="22"/>
        </w:rPr>
        <w:t xml:space="preserve"> </w:t>
      </w:r>
      <w:r w:rsidR="00C5710C" w:rsidRPr="004D3515">
        <w:rPr>
          <w:rFonts w:cs="Arial"/>
          <w:sz w:val="22"/>
          <w:szCs w:val="22"/>
        </w:rPr>
        <w:t>SDE dose assessments</w:t>
      </w:r>
      <w:r w:rsidR="004771BF">
        <w:rPr>
          <w:rFonts w:cs="Arial"/>
          <w:sz w:val="22"/>
          <w:szCs w:val="22"/>
        </w:rPr>
        <w:t xml:space="preserve"> e</w:t>
      </w:r>
      <w:r w:rsidR="00687947" w:rsidRPr="004D3515">
        <w:rPr>
          <w:rFonts w:cs="Arial"/>
          <w:sz w:val="22"/>
          <w:szCs w:val="22"/>
        </w:rPr>
        <w:t xml:space="preserve">valuate the licensee’s </w:t>
      </w:r>
      <w:r w:rsidR="000F1297">
        <w:rPr>
          <w:rFonts w:cs="Arial"/>
          <w:sz w:val="22"/>
          <w:szCs w:val="22"/>
        </w:rPr>
        <w:t>method</w:t>
      </w:r>
      <w:r w:rsidR="00687947" w:rsidRPr="004D3515">
        <w:rPr>
          <w:rFonts w:cs="Arial"/>
          <w:sz w:val="22"/>
          <w:szCs w:val="22"/>
        </w:rPr>
        <w:t xml:space="preserve"> </w:t>
      </w:r>
      <w:r w:rsidR="0001179A" w:rsidRPr="004D3515">
        <w:rPr>
          <w:rFonts w:cs="Arial"/>
          <w:sz w:val="22"/>
          <w:szCs w:val="22"/>
        </w:rPr>
        <w:t xml:space="preserve">for </w:t>
      </w:r>
      <w:r w:rsidR="00687947" w:rsidRPr="004D3515">
        <w:rPr>
          <w:rFonts w:cs="Arial"/>
          <w:sz w:val="22"/>
          <w:szCs w:val="22"/>
        </w:rPr>
        <w:t>calculat</w:t>
      </w:r>
      <w:r w:rsidR="0001179A" w:rsidRPr="004D3515">
        <w:rPr>
          <w:rFonts w:cs="Arial"/>
          <w:sz w:val="22"/>
          <w:szCs w:val="22"/>
        </w:rPr>
        <w:t>ing</w:t>
      </w:r>
      <w:r w:rsidR="00687947" w:rsidRPr="004D3515">
        <w:rPr>
          <w:rFonts w:cs="Arial"/>
          <w:sz w:val="22"/>
          <w:szCs w:val="22"/>
        </w:rPr>
        <w:t xml:space="preserve"> SDE from distributed skin contamination or </w:t>
      </w:r>
      <w:r w:rsidR="00D53D6C" w:rsidRPr="004D3515">
        <w:rPr>
          <w:rFonts w:cs="Arial"/>
          <w:sz w:val="22"/>
          <w:szCs w:val="22"/>
        </w:rPr>
        <w:t>discrete radioactive</w:t>
      </w:r>
      <w:r w:rsidR="00687947" w:rsidRPr="004D3515">
        <w:rPr>
          <w:rFonts w:cs="Arial"/>
          <w:sz w:val="22"/>
          <w:szCs w:val="22"/>
        </w:rPr>
        <w:t xml:space="preserve"> particles</w:t>
      </w:r>
      <w:r w:rsidR="000F1297">
        <w:rPr>
          <w:rFonts w:cs="Arial"/>
          <w:sz w:val="22"/>
          <w:szCs w:val="22"/>
        </w:rPr>
        <w:t xml:space="preserve"> and verify that clear criteria were established for releasing personnel with imbedded radioactive particles</w:t>
      </w:r>
      <w:r w:rsidR="00687947" w:rsidRPr="004D3515">
        <w:rPr>
          <w:rFonts w:cs="Arial"/>
          <w:sz w:val="22"/>
          <w:szCs w:val="22"/>
        </w:rPr>
        <w:t>.</w:t>
      </w:r>
    </w:p>
    <w:p w14:paraId="4BE28A48" w14:textId="77777777" w:rsidR="009727D3" w:rsidRPr="004D3515" w:rsidRDefault="009727D3"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CDFB716" w14:textId="77777777" w:rsidR="00C5710C" w:rsidRPr="004D3515" w:rsidRDefault="00C5710C" w:rsidP="00E56F37">
      <w:pPr>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Neutron </w:t>
      </w:r>
      <w:r w:rsidR="0001179A" w:rsidRPr="004D3515">
        <w:rPr>
          <w:rFonts w:cs="Arial"/>
          <w:sz w:val="22"/>
          <w:szCs w:val="22"/>
        </w:rPr>
        <w:t>D</w:t>
      </w:r>
      <w:r w:rsidRPr="004D3515">
        <w:rPr>
          <w:rFonts w:cs="Arial"/>
          <w:sz w:val="22"/>
          <w:szCs w:val="22"/>
        </w:rPr>
        <w:t>ose Assessment</w:t>
      </w:r>
    </w:p>
    <w:p w14:paraId="3E15F93B" w14:textId="7B24D91A" w:rsidR="00DD17F6" w:rsidRPr="004D3515" w:rsidRDefault="00DD17F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3AEBD06B" w14:textId="5741ADDF" w:rsidR="001F07C9" w:rsidRDefault="001F07C9" w:rsidP="00E56F37">
      <w:pPr>
        <w:widowControl/>
        <w:numPr>
          <w:ilvl w:val="0"/>
          <w:numId w:val="18"/>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As appropriate, evaluate the licensee’s neutron dosimetry program, including dosimeter type(s) and/or survey instrumentation. </w:t>
      </w:r>
    </w:p>
    <w:p w14:paraId="173494EB" w14:textId="77777777" w:rsidR="001F07C9" w:rsidRDefault="001F07C9" w:rsidP="001F07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6C072273" w14:textId="60D09C37" w:rsidR="00990FE7" w:rsidRPr="004D3515" w:rsidRDefault="00ED00FF" w:rsidP="00E56F37">
      <w:pPr>
        <w:widowControl/>
        <w:numPr>
          <w:ilvl w:val="0"/>
          <w:numId w:val="18"/>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As available, select </w:t>
      </w:r>
      <w:r w:rsidR="000F1297">
        <w:rPr>
          <w:rFonts w:cs="Arial"/>
          <w:sz w:val="22"/>
          <w:szCs w:val="22"/>
        </w:rPr>
        <w:t>1-2</w:t>
      </w:r>
      <w:r w:rsidRPr="004D3515">
        <w:rPr>
          <w:rFonts w:cs="Arial"/>
          <w:sz w:val="22"/>
          <w:szCs w:val="22"/>
        </w:rPr>
        <w:t xml:space="preserve"> neutron exposure situations and v</w:t>
      </w:r>
      <w:r w:rsidR="00C5710C" w:rsidRPr="004D3515">
        <w:rPr>
          <w:rFonts w:cs="Arial"/>
          <w:sz w:val="22"/>
          <w:szCs w:val="22"/>
        </w:rPr>
        <w:t>erify</w:t>
      </w:r>
      <w:r w:rsidR="00B82C79" w:rsidRPr="004D3515">
        <w:rPr>
          <w:rFonts w:cs="Arial"/>
          <w:sz w:val="22"/>
          <w:szCs w:val="22"/>
        </w:rPr>
        <w:t xml:space="preserve"> that </w:t>
      </w:r>
      <w:r w:rsidR="0001179A" w:rsidRPr="004D3515">
        <w:rPr>
          <w:rFonts w:cs="Arial"/>
          <w:sz w:val="22"/>
          <w:szCs w:val="22"/>
        </w:rPr>
        <w:t>(</w:t>
      </w:r>
      <w:r w:rsidRPr="004D3515">
        <w:rPr>
          <w:rFonts w:cs="Arial"/>
          <w:sz w:val="22"/>
          <w:szCs w:val="22"/>
        </w:rPr>
        <w:t xml:space="preserve">a) </w:t>
      </w:r>
      <w:r w:rsidR="00B82C79" w:rsidRPr="004D3515">
        <w:rPr>
          <w:rFonts w:cs="Arial"/>
          <w:sz w:val="22"/>
          <w:szCs w:val="22"/>
        </w:rPr>
        <w:t>dosimetry</w:t>
      </w:r>
      <w:r w:rsidRPr="004D3515">
        <w:rPr>
          <w:rFonts w:cs="Arial"/>
          <w:sz w:val="22"/>
          <w:szCs w:val="22"/>
        </w:rPr>
        <w:t xml:space="preserve"> and/or </w:t>
      </w:r>
      <w:r w:rsidR="00B82C79" w:rsidRPr="004D3515">
        <w:rPr>
          <w:rFonts w:cs="Arial"/>
          <w:sz w:val="22"/>
          <w:szCs w:val="22"/>
        </w:rPr>
        <w:t xml:space="preserve">instrumentation is appropriate for the </w:t>
      </w:r>
      <w:r w:rsidR="008301DB" w:rsidRPr="004D3515">
        <w:rPr>
          <w:rFonts w:cs="Arial"/>
          <w:sz w:val="22"/>
          <w:szCs w:val="22"/>
        </w:rPr>
        <w:t xml:space="preserve">expected </w:t>
      </w:r>
      <w:r w:rsidR="00122AD4">
        <w:rPr>
          <w:rFonts w:cs="Arial"/>
          <w:sz w:val="22"/>
          <w:szCs w:val="22"/>
        </w:rPr>
        <w:t>neutron spectra;</w:t>
      </w:r>
      <w:r w:rsidR="00B82C79" w:rsidRPr="004D3515">
        <w:rPr>
          <w:rFonts w:cs="Arial"/>
          <w:sz w:val="22"/>
          <w:szCs w:val="22"/>
        </w:rPr>
        <w:t xml:space="preserve"> </w:t>
      </w:r>
      <w:r w:rsidR="0001179A" w:rsidRPr="004D3515">
        <w:rPr>
          <w:rFonts w:cs="Arial"/>
          <w:sz w:val="22"/>
          <w:szCs w:val="22"/>
        </w:rPr>
        <w:t>(</w:t>
      </w:r>
      <w:r w:rsidRPr="004D3515">
        <w:rPr>
          <w:rFonts w:cs="Arial"/>
          <w:sz w:val="22"/>
          <w:szCs w:val="22"/>
        </w:rPr>
        <w:t xml:space="preserve">b) </w:t>
      </w:r>
      <w:r w:rsidR="0001179A" w:rsidRPr="004D3515">
        <w:rPr>
          <w:rFonts w:cs="Arial"/>
          <w:sz w:val="22"/>
          <w:szCs w:val="22"/>
        </w:rPr>
        <w:t xml:space="preserve">there </w:t>
      </w:r>
      <w:r w:rsidR="0001179A" w:rsidRPr="004D3515">
        <w:rPr>
          <w:rFonts w:cs="Arial"/>
          <w:sz w:val="22"/>
          <w:szCs w:val="22"/>
        </w:rPr>
        <w:lastRenderedPageBreak/>
        <w:t xml:space="preserve">is </w:t>
      </w:r>
      <w:r w:rsidR="00BF374C" w:rsidRPr="004D3515">
        <w:rPr>
          <w:rFonts w:cs="Arial"/>
          <w:sz w:val="22"/>
          <w:szCs w:val="22"/>
        </w:rPr>
        <w:t xml:space="preserve">sufficient sensitivity for low dose </w:t>
      </w:r>
      <w:r w:rsidR="00D84334" w:rsidRPr="004D3515">
        <w:rPr>
          <w:rFonts w:cs="Arial"/>
          <w:sz w:val="22"/>
          <w:szCs w:val="22"/>
        </w:rPr>
        <w:t>and/or dose rate measurement</w:t>
      </w:r>
      <w:r w:rsidR="00122AD4">
        <w:rPr>
          <w:rFonts w:cs="Arial"/>
          <w:sz w:val="22"/>
          <w:szCs w:val="22"/>
        </w:rPr>
        <w:t>;</w:t>
      </w:r>
      <w:r w:rsidR="00B82C79" w:rsidRPr="004D3515">
        <w:rPr>
          <w:rFonts w:cs="Arial"/>
          <w:sz w:val="22"/>
          <w:szCs w:val="22"/>
        </w:rPr>
        <w:t xml:space="preserve"> </w:t>
      </w:r>
      <w:r w:rsidR="0001179A" w:rsidRPr="004D3515">
        <w:rPr>
          <w:rFonts w:cs="Arial"/>
          <w:sz w:val="22"/>
          <w:szCs w:val="22"/>
        </w:rPr>
        <w:t>(</w:t>
      </w:r>
      <w:r w:rsidRPr="004D3515">
        <w:rPr>
          <w:rFonts w:cs="Arial"/>
          <w:sz w:val="22"/>
          <w:szCs w:val="22"/>
        </w:rPr>
        <w:t xml:space="preserve">c) </w:t>
      </w:r>
      <w:r w:rsidR="008E31AB" w:rsidRPr="004D3515">
        <w:rPr>
          <w:rFonts w:cs="Arial"/>
          <w:sz w:val="22"/>
          <w:szCs w:val="22"/>
        </w:rPr>
        <w:t xml:space="preserve">neutron dosimetry </w:t>
      </w:r>
      <w:r w:rsidR="00122AD4">
        <w:rPr>
          <w:rFonts w:cs="Arial"/>
          <w:sz w:val="22"/>
          <w:szCs w:val="22"/>
        </w:rPr>
        <w:t>is properly calibrated; (d)</w:t>
      </w:r>
      <w:r w:rsidR="00E74972">
        <w:rPr>
          <w:rFonts w:cs="Arial"/>
          <w:sz w:val="22"/>
          <w:szCs w:val="22"/>
        </w:rPr>
        <w:t xml:space="preserve"> interference by gamma radiation has been acco</w:t>
      </w:r>
      <w:r w:rsidR="00122AD4">
        <w:rPr>
          <w:rFonts w:cs="Arial"/>
          <w:sz w:val="22"/>
          <w:szCs w:val="22"/>
        </w:rPr>
        <w:t>unted for in the calibration; and (e)</w:t>
      </w:r>
      <w:r w:rsidR="00E74972">
        <w:rPr>
          <w:rFonts w:cs="Arial"/>
          <w:sz w:val="22"/>
          <w:szCs w:val="22"/>
        </w:rPr>
        <w:t xml:space="preserve"> time and motion evaluations are representative of actual neutron exposure events, as applicable. </w:t>
      </w:r>
      <w:r w:rsidR="00B82C79" w:rsidRPr="004D3515">
        <w:rPr>
          <w:rFonts w:cs="Arial"/>
          <w:sz w:val="22"/>
          <w:szCs w:val="22"/>
        </w:rPr>
        <w:t xml:space="preserve">  </w:t>
      </w:r>
    </w:p>
    <w:p w14:paraId="68C183B2" w14:textId="77777777" w:rsidR="00692AA3" w:rsidRPr="004D3515" w:rsidRDefault="00692AA3"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cs="Arial"/>
          <w:sz w:val="22"/>
          <w:szCs w:val="22"/>
        </w:rPr>
      </w:pPr>
    </w:p>
    <w:p w14:paraId="62E62F7C" w14:textId="4F141F98" w:rsidR="00692AA3" w:rsidRPr="004D3515" w:rsidRDefault="000B1790" w:rsidP="00E56F37">
      <w:pPr>
        <w:widowControl/>
        <w:numPr>
          <w:ilvl w:val="0"/>
          <w:numId w:val="7"/>
        </w:numPr>
        <w:tabs>
          <w:tab w:val="clear" w:pos="63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Dose of Record </w:t>
      </w:r>
      <w:r w:rsidR="00DC0D91">
        <w:rPr>
          <w:rFonts w:cs="Arial"/>
          <w:sz w:val="22"/>
          <w:szCs w:val="22"/>
        </w:rPr>
        <w:t>(DLR)</w:t>
      </w:r>
      <w:r w:rsidR="003B4694" w:rsidRPr="004D3515">
        <w:rPr>
          <w:rFonts w:cs="Arial"/>
          <w:sz w:val="22"/>
          <w:szCs w:val="22"/>
        </w:rPr>
        <w:br/>
      </w:r>
      <w:r w:rsidR="003B4694" w:rsidRPr="004D3515">
        <w:rPr>
          <w:rFonts w:cs="Arial"/>
          <w:sz w:val="22"/>
          <w:szCs w:val="22"/>
        </w:rPr>
        <w:br/>
      </w:r>
      <w:r w:rsidR="001C5EE2" w:rsidRPr="004D3515">
        <w:rPr>
          <w:rFonts w:cs="Arial"/>
          <w:sz w:val="22"/>
          <w:szCs w:val="22"/>
        </w:rPr>
        <w:t xml:space="preserve">For the special dosimetric situations reviewed in this section, </w:t>
      </w:r>
      <w:r w:rsidR="002A430C">
        <w:rPr>
          <w:rFonts w:cs="Arial"/>
          <w:sz w:val="22"/>
          <w:szCs w:val="22"/>
        </w:rPr>
        <w:t>evaluate</w:t>
      </w:r>
      <w:r w:rsidR="002A430C" w:rsidRPr="004D3515">
        <w:rPr>
          <w:rFonts w:cs="Arial"/>
          <w:sz w:val="22"/>
          <w:szCs w:val="22"/>
        </w:rPr>
        <w:t xml:space="preserve"> </w:t>
      </w:r>
      <w:r w:rsidR="00692AA3" w:rsidRPr="004D3515">
        <w:rPr>
          <w:rFonts w:cs="Arial"/>
          <w:sz w:val="22"/>
          <w:szCs w:val="22"/>
        </w:rPr>
        <w:t xml:space="preserve">how the licensee </w:t>
      </w:r>
      <w:r w:rsidR="005034F3" w:rsidRPr="004D3515">
        <w:rPr>
          <w:rFonts w:cs="Arial"/>
          <w:sz w:val="22"/>
          <w:szCs w:val="22"/>
        </w:rPr>
        <w:t>assigns</w:t>
      </w:r>
      <w:r w:rsidR="00692AA3" w:rsidRPr="004D3515">
        <w:rPr>
          <w:rFonts w:cs="Arial"/>
          <w:sz w:val="22"/>
          <w:szCs w:val="22"/>
        </w:rPr>
        <w:t xml:space="preserve"> dose of record </w:t>
      </w:r>
      <w:r w:rsidR="000A687A" w:rsidRPr="004D3515">
        <w:rPr>
          <w:rFonts w:cs="Arial"/>
          <w:sz w:val="22"/>
          <w:szCs w:val="22"/>
        </w:rPr>
        <w:t xml:space="preserve">for </w:t>
      </w:r>
      <w:r w:rsidR="0001179A" w:rsidRPr="004D3515">
        <w:rPr>
          <w:rFonts w:cs="Arial"/>
          <w:sz w:val="22"/>
          <w:szCs w:val="22"/>
        </w:rPr>
        <w:t>total effective dose equivalent</w:t>
      </w:r>
      <w:r w:rsidR="000A687A" w:rsidRPr="004D3515">
        <w:rPr>
          <w:rFonts w:cs="Arial"/>
          <w:sz w:val="22"/>
          <w:szCs w:val="22"/>
        </w:rPr>
        <w:t>, SDE, and LDE</w:t>
      </w:r>
      <w:r w:rsidR="00692AA3" w:rsidRPr="004D3515">
        <w:rPr>
          <w:rFonts w:cs="Arial"/>
          <w:sz w:val="22"/>
          <w:szCs w:val="22"/>
        </w:rPr>
        <w:t xml:space="preserve">.  </w:t>
      </w:r>
    </w:p>
    <w:p w14:paraId="33B8907F" w14:textId="77777777" w:rsidR="000351C4" w:rsidRPr="004D3515" w:rsidRDefault="000351C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A8C39EB" w14:textId="26EAFF22" w:rsidR="00013F09" w:rsidRPr="004D3515" w:rsidRDefault="000351C4" w:rsidP="0006193C">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u w:val="single"/>
        </w:rPr>
        <w:t>Problem Identification and Resolutio</w:t>
      </w:r>
      <w:r w:rsidR="00701008">
        <w:rPr>
          <w:rFonts w:cs="Arial"/>
          <w:sz w:val="22"/>
          <w:szCs w:val="22"/>
          <w:u w:val="single"/>
        </w:rPr>
        <w:t>n</w:t>
      </w:r>
    </w:p>
    <w:p w14:paraId="0096C7CA" w14:textId="77777777" w:rsidR="00013F09" w:rsidRPr="004D3515" w:rsidRDefault="00013F09" w:rsidP="00E56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8CB8EA" w14:textId="05239DF5" w:rsidR="006F26F5" w:rsidRPr="00A77134" w:rsidRDefault="003C30E1" w:rsidP="00D32091">
      <w:pPr>
        <w:pStyle w:val="ListParagraph"/>
        <w:ind w:left="810"/>
        <w:rPr>
          <w:sz w:val="22"/>
          <w:szCs w:val="22"/>
        </w:rPr>
      </w:pPr>
      <w:r w:rsidRPr="00A77134">
        <w:rPr>
          <w:sz w:val="22"/>
          <w:szCs w:val="22"/>
        </w:rPr>
        <w:t>For each sample, conduct a routine review of problem identification and resolution activities using Inspection Procedure (IP) 71152, “Problem Identification and Resolution</w:t>
      </w:r>
      <w:r w:rsidRPr="00A77134">
        <w:t>.</w:t>
      </w:r>
      <w:r w:rsidR="002A1BB1">
        <w:t>”</w:t>
      </w:r>
      <w:r w:rsidR="006F26F5" w:rsidRPr="00A77134">
        <w:rPr>
          <w:sz w:val="22"/>
          <w:szCs w:val="22"/>
        </w:rPr>
        <w:t xml:space="preserve">  </w:t>
      </w:r>
    </w:p>
    <w:p w14:paraId="0DFF5F56" w14:textId="77777777" w:rsidR="0006193C" w:rsidRPr="00A77134" w:rsidRDefault="0006193C" w:rsidP="00E56F37">
      <w:pPr>
        <w:tabs>
          <w:tab w:val="left" w:pos="274"/>
          <w:tab w:val="left" w:pos="806"/>
          <w:tab w:val="left" w:pos="1440"/>
          <w:tab w:val="left" w:pos="2074"/>
          <w:tab w:val="left" w:pos="2707"/>
          <w:tab w:val="left" w:pos="3240"/>
          <w:tab w:val="left" w:pos="3874"/>
          <w:tab w:val="left" w:pos="4320"/>
          <w:tab w:val="left" w:pos="4507"/>
          <w:tab w:val="left" w:pos="5040"/>
          <w:tab w:val="left" w:pos="5674"/>
          <w:tab w:val="left" w:pos="6307"/>
          <w:tab w:val="left" w:pos="7474"/>
          <w:tab w:val="left" w:pos="8107"/>
          <w:tab w:val="left" w:pos="8726"/>
        </w:tabs>
        <w:ind w:left="810"/>
        <w:rPr>
          <w:rFonts w:cs="Arial"/>
          <w:sz w:val="22"/>
          <w:szCs w:val="22"/>
        </w:rPr>
      </w:pPr>
    </w:p>
    <w:p w14:paraId="0124A54D" w14:textId="77777777" w:rsidR="0006193C" w:rsidRDefault="0006193C" w:rsidP="00E56F37">
      <w:pPr>
        <w:tabs>
          <w:tab w:val="left" w:pos="274"/>
          <w:tab w:val="left" w:pos="806"/>
          <w:tab w:val="left" w:pos="1440"/>
          <w:tab w:val="left" w:pos="2074"/>
          <w:tab w:val="left" w:pos="2707"/>
          <w:tab w:val="left" w:pos="3240"/>
          <w:tab w:val="left" w:pos="3874"/>
          <w:tab w:val="left" w:pos="4320"/>
          <w:tab w:val="left" w:pos="4507"/>
          <w:tab w:val="left" w:pos="5040"/>
          <w:tab w:val="left" w:pos="5674"/>
          <w:tab w:val="left" w:pos="6307"/>
          <w:tab w:val="left" w:pos="7474"/>
          <w:tab w:val="left" w:pos="8107"/>
          <w:tab w:val="left" w:pos="8726"/>
        </w:tabs>
        <w:ind w:left="810"/>
        <w:rPr>
          <w:rFonts w:cs="Arial"/>
          <w:sz w:val="22"/>
          <w:szCs w:val="22"/>
        </w:rPr>
      </w:pPr>
    </w:p>
    <w:p w14:paraId="43D6C1AE" w14:textId="5A9E08DD" w:rsidR="00A832D4" w:rsidRPr="004D3515" w:rsidRDefault="00734788" w:rsidP="00E56F3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r w:rsidRPr="004D3515">
        <w:rPr>
          <w:rFonts w:cs="Arial"/>
          <w:sz w:val="22"/>
          <w:szCs w:val="22"/>
        </w:rPr>
        <w:t>7112</w:t>
      </w:r>
      <w:r w:rsidR="007B70CE" w:rsidRPr="004D3515">
        <w:rPr>
          <w:rFonts w:cs="Arial"/>
          <w:sz w:val="22"/>
          <w:szCs w:val="22"/>
        </w:rPr>
        <w:t>4</w:t>
      </w:r>
      <w:r w:rsidRPr="004D3515">
        <w:rPr>
          <w:rFonts w:cs="Arial"/>
          <w:sz w:val="22"/>
          <w:szCs w:val="22"/>
        </w:rPr>
        <w:t>.0</w:t>
      </w:r>
      <w:r w:rsidR="00A832D4" w:rsidRPr="004D3515">
        <w:rPr>
          <w:rFonts w:cs="Arial"/>
          <w:sz w:val="22"/>
          <w:szCs w:val="22"/>
        </w:rPr>
        <w:t>4</w:t>
      </w:r>
      <w:r w:rsidRPr="004D3515">
        <w:rPr>
          <w:rFonts w:cs="Arial"/>
          <w:sz w:val="22"/>
          <w:szCs w:val="22"/>
        </w:rPr>
        <w:t>-0</w:t>
      </w:r>
      <w:r w:rsidR="00B5410F" w:rsidRPr="004D3515">
        <w:rPr>
          <w:rFonts w:cs="Arial"/>
          <w:sz w:val="22"/>
          <w:szCs w:val="22"/>
        </w:rPr>
        <w:t>3</w:t>
      </w:r>
      <w:r w:rsidR="00A832D4" w:rsidRPr="004D3515">
        <w:rPr>
          <w:rFonts w:cs="Arial"/>
          <w:sz w:val="22"/>
          <w:szCs w:val="22"/>
        </w:rPr>
        <w:t xml:space="preserve"> </w:t>
      </w:r>
      <w:r w:rsidR="00A832D4" w:rsidRPr="004D3515">
        <w:rPr>
          <w:rFonts w:cs="Arial"/>
          <w:sz w:val="22"/>
          <w:szCs w:val="22"/>
        </w:rPr>
        <w:tab/>
        <w:t>INSPECTION GUIDANCE</w:t>
      </w:r>
    </w:p>
    <w:p w14:paraId="20D11837" w14:textId="77777777" w:rsidR="00B5410F" w:rsidRPr="004D3515" w:rsidRDefault="00B5410F" w:rsidP="00E56F3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p>
    <w:p w14:paraId="109AADF5" w14:textId="2922A515" w:rsidR="00CF5B39" w:rsidRPr="004D3515" w:rsidRDefault="0006193C" w:rsidP="0006193C">
      <w:pPr>
        <w:keepNext/>
        <w:keepLines/>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b/>
      </w:r>
      <w:r w:rsidR="003608FB" w:rsidRPr="004D3515">
        <w:rPr>
          <w:rFonts w:cs="Arial"/>
          <w:sz w:val="22"/>
          <w:szCs w:val="22"/>
          <w:u w:val="single"/>
        </w:rPr>
        <w:t>Inspection Planning</w:t>
      </w:r>
    </w:p>
    <w:p w14:paraId="2C14E139" w14:textId="32DDA7B2" w:rsidR="00BD1DEE" w:rsidRDefault="00BD1DEE" w:rsidP="00F97A9A">
      <w:pPr>
        <w:widowControl/>
        <w:tabs>
          <w:tab w:val="left" w:pos="810"/>
        </w:tabs>
        <w:rPr>
          <w:rFonts w:cs="Arial"/>
          <w:sz w:val="22"/>
          <w:szCs w:val="22"/>
        </w:rPr>
      </w:pPr>
    </w:p>
    <w:p w14:paraId="6242E7AD" w14:textId="3BBEC252" w:rsidR="00237ED0" w:rsidRDefault="00237ED0" w:rsidP="00F97A9A">
      <w:pPr>
        <w:widowControl/>
        <w:numPr>
          <w:ilvl w:val="0"/>
          <w:numId w:val="49"/>
        </w:numPr>
        <w:tabs>
          <w:tab w:val="left" w:pos="810"/>
        </w:tabs>
        <w:ind w:left="807" w:hanging="533"/>
        <w:rPr>
          <w:rFonts w:cs="Arial"/>
          <w:sz w:val="22"/>
          <w:szCs w:val="22"/>
        </w:rPr>
      </w:pPr>
      <w:r>
        <w:rPr>
          <w:rFonts w:cs="Arial"/>
          <w:sz w:val="22"/>
          <w:szCs w:val="22"/>
        </w:rPr>
        <w:t>R</w:t>
      </w:r>
      <w:r w:rsidRPr="004D3515">
        <w:rPr>
          <w:rFonts w:cs="Arial"/>
          <w:sz w:val="22"/>
          <w:szCs w:val="22"/>
        </w:rPr>
        <w:t>eview the results of radiation protection program audits related to internal and external dosimetry.</w:t>
      </w:r>
    </w:p>
    <w:p w14:paraId="2031A1E7" w14:textId="77777777" w:rsidR="00237ED0" w:rsidRDefault="00237ED0" w:rsidP="00237ED0">
      <w:pPr>
        <w:widowControl/>
        <w:tabs>
          <w:tab w:val="left" w:pos="810"/>
        </w:tabs>
        <w:ind w:left="807"/>
        <w:rPr>
          <w:rFonts w:cs="Arial"/>
          <w:sz w:val="22"/>
          <w:szCs w:val="22"/>
        </w:rPr>
      </w:pPr>
    </w:p>
    <w:p w14:paraId="1F25E137" w14:textId="7C762CD5" w:rsidR="00CC2E80" w:rsidRDefault="00BE5BBE" w:rsidP="00237ED0">
      <w:pPr>
        <w:widowControl/>
        <w:tabs>
          <w:tab w:val="left" w:pos="810"/>
        </w:tabs>
        <w:ind w:left="807"/>
        <w:rPr>
          <w:rFonts w:cs="Arial"/>
          <w:sz w:val="22"/>
          <w:szCs w:val="22"/>
        </w:rPr>
      </w:pPr>
      <w:r>
        <w:rPr>
          <w:rFonts w:cs="Arial"/>
          <w:sz w:val="22"/>
          <w:szCs w:val="22"/>
        </w:rPr>
        <w:t xml:space="preserve">The </w:t>
      </w:r>
      <w:r w:rsidRPr="004D3515">
        <w:rPr>
          <w:rFonts w:cs="Arial"/>
          <w:sz w:val="22"/>
          <w:szCs w:val="22"/>
        </w:rPr>
        <w:t>results of the reviews should be used to gain insights into overall licensee performance in the area of dose assessment and focus the inspector’s activities consistent with the principle of “smart sampling.”</w:t>
      </w:r>
      <w:r w:rsidR="001971BA">
        <w:rPr>
          <w:rFonts w:cs="Arial"/>
          <w:sz w:val="22"/>
          <w:szCs w:val="22"/>
        </w:rPr>
        <w:t xml:space="preserve">  Consider reviewing documents such as </w:t>
      </w:r>
      <w:r w:rsidR="001971BA" w:rsidRPr="004D3515">
        <w:rPr>
          <w:rFonts w:cs="Arial"/>
          <w:sz w:val="22"/>
          <w:szCs w:val="22"/>
        </w:rPr>
        <w:t>licensee’s quality assurance (QA) audits, self</w:t>
      </w:r>
      <w:r w:rsidR="001971BA" w:rsidRPr="004D3515">
        <w:rPr>
          <w:rFonts w:cs="Arial"/>
          <w:sz w:val="22"/>
          <w:szCs w:val="22"/>
        </w:rPr>
        <w:noBreakHyphen/>
        <w:t>assessments</w:t>
      </w:r>
      <w:r w:rsidR="001971BA">
        <w:rPr>
          <w:rFonts w:cs="Arial"/>
          <w:sz w:val="22"/>
          <w:szCs w:val="22"/>
        </w:rPr>
        <w:t>, or other independent audits.</w:t>
      </w:r>
    </w:p>
    <w:p w14:paraId="15902507" w14:textId="77777777" w:rsidR="00BE5BBE" w:rsidRDefault="00BE5BBE" w:rsidP="00F97A9A">
      <w:pPr>
        <w:widowControl/>
        <w:tabs>
          <w:tab w:val="left" w:pos="810"/>
        </w:tabs>
        <w:ind w:left="807"/>
        <w:rPr>
          <w:rFonts w:cs="Arial"/>
          <w:sz w:val="22"/>
          <w:szCs w:val="22"/>
        </w:rPr>
      </w:pPr>
    </w:p>
    <w:p w14:paraId="55E94998" w14:textId="199AA630" w:rsidR="00BE5BBE" w:rsidRDefault="00237ED0" w:rsidP="00F97A9A">
      <w:pPr>
        <w:widowControl/>
        <w:numPr>
          <w:ilvl w:val="0"/>
          <w:numId w:val="49"/>
        </w:numPr>
        <w:tabs>
          <w:tab w:val="left" w:pos="810"/>
        </w:tabs>
        <w:ind w:left="807" w:hanging="533"/>
        <w:rPr>
          <w:rFonts w:cs="Arial"/>
          <w:sz w:val="22"/>
          <w:szCs w:val="22"/>
        </w:rPr>
      </w:pPr>
      <w:r>
        <w:rPr>
          <w:rFonts w:cs="Arial"/>
          <w:sz w:val="22"/>
          <w:szCs w:val="22"/>
        </w:rPr>
        <w:t>Determine the st</w:t>
      </w:r>
      <w:r w:rsidR="00454975">
        <w:rPr>
          <w:rFonts w:cs="Arial"/>
          <w:sz w:val="22"/>
          <w:szCs w:val="22"/>
        </w:rPr>
        <w:t>atus of the licensee’s or contr</w:t>
      </w:r>
      <w:r>
        <w:rPr>
          <w:rFonts w:cs="Arial"/>
          <w:sz w:val="22"/>
          <w:szCs w:val="22"/>
        </w:rPr>
        <w:t xml:space="preserve">actor’s National Voluntary Laboratory </w:t>
      </w:r>
      <w:r w:rsidR="00B97A36">
        <w:rPr>
          <w:rFonts w:cs="Arial"/>
          <w:sz w:val="22"/>
          <w:szCs w:val="22"/>
        </w:rPr>
        <w:t>Accreditation</w:t>
      </w:r>
      <w:r>
        <w:rPr>
          <w:rFonts w:cs="Arial"/>
          <w:sz w:val="22"/>
          <w:szCs w:val="22"/>
        </w:rPr>
        <w:t xml:space="preserve"> Program (NVLAP) </w:t>
      </w:r>
      <w:r w:rsidR="00B97A36">
        <w:rPr>
          <w:rFonts w:cs="Arial"/>
          <w:sz w:val="22"/>
          <w:szCs w:val="22"/>
        </w:rPr>
        <w:t>accreditation</w:t>
      </w:r>
      <w:r>
        <w:rPr>
          <w:rFonts w:cs="Arial"/>
          <w:sz w:val="22"/>
          <w:szCs w:val="22"/>
        </w:rPr>
        <w:t xml:space="preserve">.  </w:t>
      </w:r>
      <w:r w:rsidR="00BE5BBE">
        <w:rPr>
          <w:rFonts w:cs="Arial"/>
          <w:sz w:val="22"/>
          <w:szCs w:val="22"/>
        </w:rPr>
        <w:t xml:space="preserve">Inspectors should review </w:t>
      </w:r>
      <w:r w:rsidR="00BE5BBE" w:rsidRPr="004D3515">
        <w:rPr>
          <w:rFonts w:cs="Arial"/>
          <w:sz w:val="22"/>
          <w:szCs w:val="22"/>
        </w:rPr>
        <w:t xml:space="preserve">the most </w:t>
      </w:r>
      <w:r>
        <w:rPr>
          <w:rFonts w:cs="Arial"/>
          <w:sz w:val="22"/>
          <w:szCs w:val="22"/>
        </w:rPr>
        <w:t>recent NVLAP</w:t>
      </w:r>
      <w:r w:rsidR="00BE5BBE" w:rsidRPr="004D3515">
        <w:rPr>
          <w:rFonts w:cs="Arial"/>
          <w:sz w:val="22"/>
          <w:szCs w:val="22"/>
        </w:rPr>
        <w:t xml:space="preserve"> accreditation report on the licensee or, if dosimetry is provided by a vendor, review the</w:t>
      </w:r>
      <w:r w:rsidR="00454975">
        <w:rPr>
          <w:rFonts w:cs="Arial"/>
          <w:sz w:val="22"/>
          <w:szCs w:val="22"/>
        </w:rPr>
        <w:t xml:space="preserve"> vendor’s most recent results.</w:t>
      </w:r>
    </w:p>
    <w:p w14:paraId="0EECDB49" w14:textId="77777777" w:rsidR="00BE5BBE" w:rsidRDefault="00BE5BBE" w:rsidP="00F97A9A">
      <w:pPr>
        <w:widowControl/>
        <w:tabs>
          <w:tab w:val="left" w:pos="810"/>
        </w:tabs>
        <w:ind w:left="807"/>
        <w:rPr>
          <w:rFonts w:cs="Arial"/>
          <w:sz w:val="22"/>
          <w:szCs w:val="22"/>
        </w:rPr>
      </w:pPr>
    </w:p>
    <w:p w14:paraId="298A74EB" w14:textId="5BB2E009" w:rsidR="00BE5BBE" w:rsidRDefault="00237ED0" w:rsidP="00F97A9A">
      <w:pPr>
        <w:widowControl/>
        <w:numPr>
          <w:ilvl w:val="0"/>
          <w:numId w:val="49"/>
        </w:numPr>
        <w:tabs>
          <w:tab w:val="left" w:pos="810"/>
        </w:tabs>
        <w:ind w:left="807" w:hanging="533"/>
        <w:rPr>
          <w:rFonts w:cs="Arial"/>
          <w:sz w:val="22"/>
          <w:szCs w:val="22"/>
        </w:rPr>
      </w:pPr>
      <w:r>
        <w:rPr>
          <w:rFonts w:cs="Arial"/>
          <w:sz w:val="22"/>
          <w:szCs w:val="22"/>
        </w:rPr>
        <w:t xml:space="preserve">Review the licensee procedures associated with dosimetry operations.  </w:t>
      </w:r>
      <w:r w:rsidR="00BE5BBE">
        <w:rPr>
          <w:rFonts w:cs="Arial"/>
          <w:sz w:val="22"/>
          <w:szCs w:val="22"/>
        </w:rPr>
        <w:t>Inspectors should consider</w:t>
      </w:r>
      <w:r w:rsidR="00BE5BBE" w:rsidRPr="004D3515">
        <w:rPr>
          <w:rFonts w:cs="Arial"/>
          <w:sz w:val="22"/>
          <w:szCs w:val="22"/>
        </w:rPr>
        <w:t xml:space="preserve"> issuance/use of external dosimetry (routine, multibadgin</w:t>
      </w:r>
      <w:r w:rsidR="00454975">
        <w:rPr>
          <w:rFonts w:cs="Arial"/>
          <w:sz w:val="22"/>
          <w:szCs w:val="22"/>
        </w:rPr>
        <w:t>g, extremity, neutron, etc.);</w:t>
      </w:r>
      <w:r w:rsidR="00BE5BBE" w:rsidRPr="004D3515">
        <w:rPr>
          <w:rFonts w:cs="Arial"/>
          <w:sz w:val="22"/>
          <w:szCs w:val="22"/>
        </w:rPr>
        <w:t xml:space="preserve"> assessment of internal dose (operation of whole body counter, assignment of dose based on </w:t>
      </w:r>
      <w:r w:rsidR="00454975">
        <w:rPr>
          <w:rFonts w:cs="Arial"/>
          <w:sz w:val="22"/>
          <w:szCs w:val="22"/>
        </w:rPr>
        <w:t>DAC-hours, urinalysis, etc.);</w:t>
      </w:r>
      <w:r w:rsidR="00BE5BBE" w:rsidRPr="004D3515">
        <w:rPr>
          <w:rFonts w:cs="Arial"/>
          <w:sz w:val="22"/>
          <w:szCs w:val="22"/>
        </w:rPr>
        <w:t xml:space="preserve"> and evaluation of and dose assessment for radiological incidents (distributed contamination, hot particles, loss of dosimetry, etc.).</w:t>
      </w:r>
    </w:p>
    <w:p w14:paraId="2851993C" w14:textId="77777777" w:rsidR="00BE5BBE" w:rsidRDefault="00BE5BBE" w:rsidP="00F97A9A">
      <w:pPr>
        <w:widowControl/>
        <w:tabs>
          <w:tab w:val="left" w:pos="810"/>
        </w:tabs>
        <w:ind w:left="807"/>
        <w:rPr>
          <w:rFonts w:cs="Arial"/>
          <w:sz w:val="22"/>
          <w:szCs w:val="22"/>
        </w:rPr>
      </w:pPr>
    </w:p>
    <w:p w14:paraId="074955ED" w14:textId="4973018C" w:rsidR="00BE5BBE" w:rsidRDefault="00237ED0" w:rsidP="00F97A9A">
      <w:pPr>
        <w:widowControl/>
        <w:numPr>
          <w:ilvl w:val="0"/>
          <w:numId w:val="49"/>
        </w:numPr>
        <w:tabs>
          <w:tab w:val="left" w:pos="810"/>
        </w:tabs>
        <w:ind w:left="807" w:hanging="533"/>
        <w:rPr>
          <w:rFonts w:cs="Arial"/>
          <w:sz w:val="22"/>
          <w:szCs w:val="22"/>
        </w:rPr>
      </w:pPr>
      <w:r>
        <w:rPr>
          <w:rFonts w:cs="Arial"/>
          <w:sz w:val="22"/>
          <w:szCs w:val="22"/>
        </w:rPr>
        <w:t xml:space="preserve">Review licensee procedures </w:t>
      </w:r>
      <w:r w:rsidR="0006193C">
        <w:rPr>
          <w:rFonts w:cs="Arial"/>
          <w:sz w:val="22"/>
          <w:szCs w:val="22"/>
        </w:rPr>
        <w:t xml:space="preserve">for determining when external and internal dosimetry is required.  </w:t>
      </w:r>
      <w:r w:rsidR="00BE5BBE">
        <w:rPr>
          <w:rFonts w:cs="Arial"/>
          <w:sz w:val="22"/>
          <w:szCs w:val="22"/>
        </w:rPr>
        <w:t xml:space="preserve">Unless </w:t>
      </w:r>
      <w:r w:rsidR="00BE5BBE" w:rsidRPr="0000551F">
        <w:rPr>
          <w:rFonts w:cs="Arial"/>
          <w:sz w:val="22"/>
          <w:szCs w:val="22"/>
        </w:rPr>
        <w:t xml:space="preserve">there is a documented prospective evaluation that individual monitoring was not required (i.e., planned exposure or intakes would not meet any of the criteria in 10 CFR 20.1502(a) or (b)), the fact that monitoring was provided is considered de facto evidence that the licensee had previously determined the monitoring was required by 10 CFR 20.1502.  </w:t>
      </w:r>
    </w:p>
    <w:p w14:paraId="72EE7712" w14:textId="77777777" w:rsidR="00A77134" w:rsidRDefault="00A77134" w:rsidP="00A77134">
      <w:pPr>
        <w:pStyle w:val="ListParagraph"/>
        <w:rPr>
          <w:rFonts w:cs="Arial"/>
          <w:sz w:val="22"/>
          <w:szCs w:val="22"/>
        </w:rPr>
      </w:pPr>
    </w:p>
    <w:p w14:paraId="6D9E74A9" w14:textId="77777777" w:rsidR="00A77134" w:rsidRDefault="00A77134" w:rsidP="00A77134">
      <w:pPr>
        <w:widowControl/>
        <w:tabs>
          <w:tab w:val="left" w:pos="810"/>
        </w:tabs>
        <w:ind w:left="807"/>
        <w:rPr>
          <w:rFonts w:cs="Arial"/>
          <w:sz w:val="22"/>
          <w:szCs w:val="22"/>
        </w:rPr>
      </w:pPr>
    </w:p>
    <w:p w14:paraId="1E2ACC2E" w14:textId="3E4A8273" w:rsidR="00896919" w:rsidRPr="004D3515" w:rsidRDefault="00896919" w:rsidP="00E56F3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DDA5031" w14:textId="4B9C956C" w:rsidR="0003695B" w:rsidRPr="004D3515" w:rsidRDefault="0003695B" w:rsidP="00E56F3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03.0</w:t>
      </w:r>
      <w:r w:rsidR="0006193C">
        <w:rPr>
          <w:rFonts w:cs="Arial"/>
          <w:sz w:val="22"/>
          <w:szCs w:val="22"/>
        </w:rPr>
        <w:t>1</w:t>
      </w:r>
      <w:r w:rsidRPr="004D3515">
        <w:rPr>
          <w:rFonts w:cs="Arial"/>
          <w:sz w:val="22"/>
          <w:szCs w:val="22"/>
        </w:rPr>
        <w:tab/>
      </w:r>
      <w:r w:rsidRPr="004D3515">
        <w:rPr>
          <w:rFonts w:cs="Arial"/>
          <w:sz w:val="22"/>
          <w:szCs w:val="22"/>
          <w:u w:val="single"/>
        </w:rPr>
        <w:t>Source Term</w:t>
      </w:r>
      <w:r w:rsidR="00EA589D" w:rsidRPr="004D3515">
        <w:rPr>
          <w:rFonts w:cs="Arial"/>
          <w:sz w:val="22"/>
          <w:szCs w:val="22"/>
          <w:u w:val="single"/>
        </w:rPr>
        <w:t xml:space="preserve"> Characterizatio</w:t>
      </w:r>
      <w:r w:rsidR="00781C08">
        <w:rPr>
          <w:rFonts w:cs="Arial"/>
          <w:sz w:val="22"/>
          <w:szCs w:val="22"/>
          <w:u w:val="single"/>
        </w:rPr>
        <w:t>n</w:t>
      </w:r>
    </w:p>
    <w:p w14:paraId="7B433F77" w14:textId="77777777" w:rsidR="0003695B" w:rsidRPr="004D3515" w:rsidRDefault="0003695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B1E44E" w14:textId="77777777" w:rsidR="00BE5BBE" w:rsidRDefault="00603B97" w:rsidP="00193444">
      <w:pPr>
        <w:widowControl/>
        <w:numPr>
          <w:ilvl w:val="0"/>
          <w:numId w:val="43"/>
        </w:numPr>
        <w:tabs>
          <w:tab w:val="clear" w:pos="634"/>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36"/>
        <w:rPr>
          <w:rFonts w:cs="Arial"/>
          <w:sz w:val="22"/>
          <w:szCs w:val="22"/>
        </w:rPr>
      </w:pPr>
      <w:r w:rsidRPr="004D3515">
        <w:rPr>
          <w:rFonts w:cs="Arial"/>
          <w:sz w:val="22"/>
          <w:szCs w:val="22"/>
        </w:rPr>
        <w:t>Source Term</w:t>
      </w:r>
      <w:r w:rsidR="00EA589D" w:rsidRPr="004D3515">
        <w:rPr>
          <w:rFonts w:cs="Arial"/>
          <w:sz w:val="22"/>
          <w:szCs w:val="22"/>
        </w:rPr>
        <w:t xml:space="preserve"> </w:t>
      </w:r>
      <w:r w:rsidR="003B4694" w:rsidRPr="004D3515">
        <w:rPr>
          <w:rFonts w:cs="Arial"/>
          <w:sz w:val="22"/>
          <w:szCs w:val="22"/>
        </w:rPr>
        <w:br/>
      </w:r>
      <w:r w:rsidR="003B4694" w:rsidRPr="004D3515">
        <w:rPr>
          <w:rFonts w:cs="Arial"/>
          <w:sz w:val="22"/>
          <w:szCs w:val="22"/>
        </w:rPr>
        <w:br/>
      </w:r>
      <w:r w:rsidR="00BE5BBE" w:rsidRPr="004D3515">
        <w:rPr>
          <w:rFonts w:cs="Arial"/>
          <w:sz w:val="22"/>
          <w:szCs w:val="22"/>
        </w:rPr>
        <w:t>The licensee should have knowledge of the gamma (photon) spectrum, the beta spectrum and average beta energy of the beta spectrum, the hard-to-detect (HTD) component of beta/gamma activity, and the alpha transuranic component of the source term.  In addition, verify that the neutron spectrum has been determined.</w:t>
      </w:r>
    </w:p>
    <w:p w14:paraId="279670B3" w14:textId="77777777" w:rsidR="00BE5BBE" w:rsidRDefault="00BE5BBE" w:rsidP="00F97A9A">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544008B6" w14:textId="19905BB4" w:rsidR="0003695B" w:rsidRPr="004D3515" w:rsidRDefault="003B4694" w:rsidP="00F97A9A">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4D3515">
        <w:rPr>
          <w:rFonts w:cs="Arial"/>
          <w:sz w:val="22"/>
          <w:szCs w:val="22"/>
        </w:rPr>
        <w:t>K</w:t>
      </w:r>
      <w:r w:rsidR="00A02129" w:rsidRPr="004D3515">
        <w:rPr>
          <w:rFonts w:cs="Arial"/>
          <w:sz w:val="22"/>
          <w:szCs w:val="22"/>
        </w:rPr>
        <w:t xml:space="preserve">nowledge of the types and energies of radiation being monitored are critical to the correct selection and use (calibration and/or dose assessment) of dosimeters.  Additionally, with power uprates, increased frequency of at-power containment entries, and expansion of ISFSI facilities, changes in water chemistry, etc., the source term may have changed over the years.  Information Notice 2014-05 reminds licensees of their responsibility for ensuring that all applicable factors that may affect the accuracy of a dosimetry evaluation have been considered and taken into account, including the proper characterization of the radiation fields that are to be monitored. </w:t>
      </w:r>
    </w:p>
    <w:p w14:paraId="7FF7087B" w14:textId="77777777" w:rsidR="00CF0C67" w:rsidRPr="004D3515" w:rsidRDefault="00CF0C6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3F0D445A" w14:textId="73EFCA1E" w:rsidR="00A02129" w:rsidRPr="004D3515" w:rsidRDefault="00EA589D" w:rsidP="00193444">
      <w:pPr>
        <w:widowControl/>
        <w:numPr>
          <w:ilvl w:val="0"/>
          <w:numId w:val="43"/>
        </w:numPr>
        <w:tabs>
          <w:tab w:val="clear" w:pos="634"/>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Scaling Factors </w:t>
      </w:r>
      <w:r w:rsidR="00193444">
        <w:rPr>
          <w:rFonts w:cs="Arial"/>
          <w:sz w:val="22"/>
          <w:szCs w:val="22"/>
        </w:rPr>
        <w:br/>
      </w:r>
      <w:r w:rsidR="00193444">
        <w:rPr>
          <w:rFonts w:cs="Arial"/>
          <w:sz w:val="22"/>
          <w:szCs w:val="22"/>
        </w:rPr>
        <w:br/>
      </w:r>
      <w:r w:rsidR="00A02129" w:rsidRPr="004D3515">
        <w:rPr>
          <w:rFonts w:cs="Arial"/>
          <w:sz w:val="22"/>
          <w:szCs w:val="22"/>
        </w:rPr>
        <w:t xml:space="preserve">Review the licensee’s 10 CFR Part 61, “Licensing Requirements for Land Disposal of Radioactive Waste,” analyses to determine appropriate scaling factors for </w:t>
      </w:r>
      <w:r w:rsidR="000831F8" w:rsidRPr="004D3515">
        <w:rPr>
          <w:rFonts w:cs="Arial"/>
          <w:sz w:val="22"/>
          <w:szCs w:val="22"/>
        </w:rPr>
        <w:t>HTD</w:t>
      </w:r>
      <w:r w:rsidR="00A02129" w:rsidRPr="004D3515">
        <w:rPr>
          <w:rFonts w:cs="Arial"/>
          <w:sz w:val="22"/>
          <w:szCs w:val="22"/>
        </w:rPr>
        <w:t xml:space="preserve"> and alpha-emitting radionuclides.  </w:t>
      </w:r>
    </w:p>
    <w:p w14:paraId="379B0675" w14:textId="77777777" w:rsidR="0003695B" w:rsidRPr="004D3515" w:rsidRDefault="0003695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799345B" w14:textId="29D2E404" w:rsidR="00B5410F" w:rsidRPr="004D3515" w:rsidRDefault="00B5410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03.0</w:t>
      </w:r>
      <w:r w:rsidR="0006193C">
        <w:rPr>
          <w:rFonts w:cs="Arial"/>
          <w:sz w:val="22"/>
          <w:szCs w:val="22"/>
        </w:rPr>
        <w:t>2</w:t>
      </w:r>
      <w:r w:rsidR="003608FB" w:rsidRPr="004D3515">
        <w:rPr>
          <w:rFonts w:cs="Arial"/>
          <w:sz w:val="22"/>
          <w:szCs w:val="22"/>
        </w:rPr>
        <w:tab/>
      </w:r>
      <w:r w:rsidR="003608FB" w:rsidRPr="004D3515">
        <w:rPr>
          <w:rFonts w:cs="Arial"/>
          <w:sz w:val="22"/>
          <w:szCs w:val="22"/>
          <w:u w:val="single"/>
        </w:rPr>
        <w:t>External Dosimetr</w:t>
      </w:r>
      <w:r w:rsidR="00781C08">
        <w:rPr>
          <w:rFonts w:cs="Arial"/>
          <w:sz w:val="22"/>
          <w:szCs w:val="22"/>
          <w:u w:val="single"/>
        </w:rPr>
        <w:t>y</w:t>
      </w:r>
    </w:p>
    <w:p w14:paraId="2B7A70C9" w14:textId="77777777" w:rsidR="00BD52C8" w:rsidRPr="004D3515" w:rsidRDefault="00BD52C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E131F5" w14:textId="666FF38B" w:rsidR="0034648D" w:rsidRPr="004D3515" w:rsidRDefault="00AB3848" w:rsidP="00E56F37">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NVLAP Accreditation </w:t>
      </w:r>
      <w:r w:rsidR="005400F1">
        <w:rPr>
          <w:rFonts w:cs="Arial"/>
          <w:sz w:val="22"/>
          <w:szCs w:val="22"/>
        </w:rPr>
        <w:br/>
      </w:r>
      <w:r w:rsidR="005400F1">
        <w:rPr>
          <w:rFonts w:cs="Arial"/>
          <w:sz w:val="22"/>
          <w:szCs w:val="22"/>
        </w:rPr>
        <w:br/>
      </w:r>
      <w:r w:rsidR="00BA06F9" w:rsidRPr="004D3515">
        <w:rPr>
          <w:rFonts w:cs="Arial"/>
          <w:sz w:val="22"/>
          <w:szCs w:val="22"/>
        </w:rPr>
        <w:t xml:space="preserve">Obtain the NVLAP certification documentation to verify the dosimeters are processed by a NVLAP accredited processor.  </w:t>
      </w:r>
    </w:p>
    <w:p w14:paraId="3F6BDD18" w14:textId="77777777" w:rsidR="0034648D" w:rsidRPr="004D3515" w:rsidRDefault="0034648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69F87E77" w14:textId="324B052A" w:rsidR="00E663E4" w:rsidRDefault="000C4B6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4D3515">
        <w:rPr>
          <w:rFonts w:cs="Arial"/>
          <w:sz w:val="22"/>
          <w:szCs w:val="22"/>
        </w:rPr>
        <w:t>Verify that the approved irradiation test categories for each type of personnel dosimeter used are consistent with the types and energies of the radiation present, and the way that the dosimeter is being used.</w:t>
      </w:r>
      <w:r>
        <w:rPr>
          <w:rFonts w:cs="Arial"/>
          <w:sz w:val="22"/>
          <w:szCs w:val="22"/>
        </w:rPr>
        <w:t xml:space="preserve">  </w:t>
      </w:r>
      <w:r w:rsidR="00BA06F9" w:rsidRPr="004D3515">
        <w:rPr>
          <w:rFonts w:cs="Arial"/>
          <w:sz w:val="22"/>
          <w:szCs w:val="22"/>
        </w:rPr>
        <w:t>Relevant test categories are Categories I (accident photons), Category II (Photon mixture), Category III (betas), and Category IV (photon/beta mixtures), Category V.C (moderated Cf-252 neutrons and photon</w:t>
      </w:r>
      <w:r w:rsidR="00A8023B" w:rsidRPr="004D3515">
        <w:rPr>
          <w:rFonts w:cs="Arial"/>
          <w:sz w:val="22"/>
          <w:szCs w:val="22"/>
        </w:rPr>
        <w:t>s</w:t>
      </w:r>
      <w:r w:rsidR="00BA06F9" w:rsidRPr="004D3515">
        <w:rPr>
          <w:rFonts w:cs="Arial"/>
          <w:sz w:val="22"/>
          <w:szCs w:val="22"/>
        </w:rPr>
        <w:t>), and possibly Categories V.A (neutron/photon mixture</w:t>
      </w:r>
      <w:r w:rsidR="00A731F6" w:rsidRPr="004D3515">
        <w:rPr>
          <w:rFonts w:cs="Arial"/>
          <w:sz w:val="22"/>
          <w:szCs w:val="22"/>
        </w:rPr>
        <w:t>s</w:t>
      </w:r>
      <w:r w:rsidR="00BA06F9" w:rsidRPr="004D3515">
        <w:rPr>
          <w:rFonts w:cs="Arial"/>
          <w:sz w:val="22"/>
          <w:szCs w:val="22"/>
        </w:rPr>
        <w:t>)</w:t>
      </w:r>
      <w:r w:rsidR="003D3EB1" w:rsidRPr="004D3515">
        <w:rPr>
          <w:rFonts w:cs="Arial"/>
          <w:sz w:val="22"/>
          <w:szCs w:val="22"/>
        </w:rPr>
        <w:t xml:space="preserve"> and </w:t>
      </w:r>
      <w:r w:rsidR="001318B2" w:rsidRPr="004D3515">
        <w:rPr>
          <w:rFonts w:cs="Arial"/>
          <w:sz w:val="22"/>
          <w:szCs w:val="22"/>
        </w:rPr>
        <w:t xml:space="preserve">possibly Category </w:t>
      </w:r>
      <w:r w:rsidR="003D3EB1" w:rsidRPr="004D3515">
        <w:rPr>
          <w:rFonts w:cs="Arial"/>
          <w:sz w:val="22"/>
          <w:szCs w:val="22"/>
        </w:rPr>
        <w:t>V.B</w:t>
      </w:r>
      <w:r w:rsidR="001318B2" w:rsidRPr="004D3515">
        <w:rPr>
          <w:rFonts w:cs="Arial"/>
          <w:sz w:val="22"/>
          <w:szCs w:val="22"/>
        </w:rPr>
        <w:t xml:space="preserve"> </w:t>
      </w:r>
      <w:r w:rsidR="003D3EB1" w:rsidRPr="004D3515">
        <w:rPr>
          <w:rFonts w:cs="Arial"/>
          <w:sz w:val="22"/>
          <w:szCs w:val="22"/>
        </w:rPr>
        <w:t>(unmoderated Cf-252 neutrons and photon</w:t>
      </w:r>
      <w:r w:rsidR="001318B2" w:rsidRPr="004D3515">
        <w:rPr>
          <w:rFonts w:cs="Arial"/>
          <w:sz w:val="22"/>
          <w:szCs w:val="22"/>
        </w:rPr>
        <w:t>s</w:t>
      </w:r>
      <w:r w:rsidR="003D3EB1" w:rsidRPr="004D3515">
        <w:rPr>
          <w:rFonts w:cs="Arial"/>
          <w:sz w:val="22"/>
          <w:szCs w:val="22"/>
        </w:rPr>
        <w:t>)</w:t>
      </w:r>
      <w:r w:rsidR="00A731F6" w:rsidRPr="004D3515">
        <w:rPr>
          <w:rFonts w:cs="Arial"/>
          <w:sz w:val="22"/>
          <w:szCs w:val="22"/>
        </w:rPr>
        <w:t>.</w:t>
      </w:r>
      <w:r w:rsidR="00BA06F9" w:rsidRPr="004D3515">
        <w:rPr>
          <w:rFonts w:cs="Arial"/>
          <w:sz w:val="22"/>
          <w:szCs w:val="22"/>
        </w:rPr>
        <w:t xml:space="preserve">  Note:  The test categories for low energy photon exposure is not important for the radiation spectrum in nuclear power plants. </w:t>
      </w:r>
    </w:p>
    <w:p w14:paraId="558DD376" w14:textId="77777777" w:rsidR="002A430C" w:rsidRDefault="002A430C"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13458DD0" w14:textId="32AAECC7" w:rsidR="00BD52C8" w:rsidRPr="004D3515" w:rsidRDefault="00A731F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r w:rsidRPr="004D3515">
        <w:rPr>
          <w:rFonts w:cs="Arial"/>
          <w:sz w:val="22"/>
          <w:szCs w:val="22"/>
        </w:rPr>
        <w:t xml:space="preserve">Additional guidance is provided in </w:t>
      </w:r>
      <w:r w:rsidR="00974866" w:rsidRPr="004D3515">
        <w:rPr>
          <w:rFonts w:cs="Arial"/>
          <w:sz w:val="22"/>
          <w:szCs w:val="22"/>
        </w:rPr>
        <w:t>American National Standards Institute (ANSI) N13.11-200</w:t>
      </w:r>
      <w:r w:rsidR="001318B2" w:rsidRPr="004D3515">
        <w:rPr>
          <w:rFonts w:cs="Arial"/>
          <w:sz w:val="22"/>
          <w:szCs w:val="22"/>
        </w:rPr>
        <w:t>9</w:t>
      </w:r>
      <w:r w:rsidR="00974866" w:rsidRPr="004D3515">
        <w:rPr>
          <w:rFonts w:cs="Arial"/>
          <w:sz w:val="22"/>
          <w:szCs w:val="22"/>
        </w:rPr>
        <w:t>, “Personnel Dosimetry Performance</w:t>
      </w:r>
      <w:r w:rsidR="009F4514" w:rsidRPr="004D3515">
        <w:rPr>
          <w:rFonts w:cs="Arial"/>
          <w:sz w:val="22"/>
          <w:szCs w:val="22"/>
        </w:rPr>
        <w:t xml:space="preserve"> - </w:t>
      </w:r>
      <w:r w:rsidR="00974866" w:rsidRPr="004D3515">
        <w:rPr>
          <w:rFonts w:cs="Arial"/>
          <w:sz w:val="22"/>
          <w:szCs w:val="22"/>
        </w:rPr>
        <w:t xml:space="preserve">Criteria for Testing,” </w:t>
      </w:r>
      <w:r w:rsidR="0034648D" w:rsidRPr="004D3515">
        <w:rPr>
          <w:rFonts w:cs="Arial"/>
          <w:sz w:val="22"/>
          <w:szCs w:val="22"/>
        </w:rPr>
        <w:t>and</w:t>
      </w:r>
      <w:r w:rsidR="00BA06F9" w:rsidRPr="004D3515">
        <w:rPr>
          <w:rFonts w:cs="Arial"/>
          <w:sz w:val="22"/>
          <w:szCs w:val="22"/>
        </w:rPr>
        <w:t xml:space="preserve"> Information Notice 2014-05, “Verifying Appropriate Dosimetry Evaluation</w:t>
      </w:r>
      <w:r w:rsidRPr="004D3515">
        <w:rPr>
          <w:rFonts w:cs="Arial"/>
          <w:sz w:val="22"/>
          <w:szCs w:val="22"/>
        </w:rPr>
        <w:t>.</w:t>
      </w:r>
      <w:r w:rsidR="00BA06F9" w:rsidRPr="004D3515">
        <w:rPr>
          <w:rFonts w:cs="Arial"/>
          <w:sz w:val="22"/>
          <w:szCs w:val="22"/>
        </w:rPr>
        <w:t>”</w:t>
      </w:r>
      <w:r w:rsidR="0034648D" w:rsidRPr="004D3515">
        <w:rPr>
          <w:rFonts w:cs="Arial"/>
          <w:sz w:val="22"/>
          <w:szCs w:val="22"/>
        </w:rPr>
        <w:t xml:space="preserve"> </w:t>
      </w:r>
    </w:p>
    <w:p w14:paraId="6E5E2047" w14:textId="77777777" w:rsidR="00BD52C8" w:rsidRPr="004D3515" w:rsidRDefault="00BD52C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2C093B15" w14:textId="3B34CA79" w:rsidR="00BD52C8" w:rsidRPr="004D3515" w:rsidRDefault="00BA06F9" w:rsidP="00E56F37">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Passive dosimeters (e.g. TLD, OSL)</w:t>
      </w:r>
    </w:p>
    <w:p w14:paraId="3FC0F155" w14:textId="77777777" w:rsidR="00BA06F9" w:rsidRPr="004D3515" w:rsidRDefault="00BA06F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7DC32488" w14:textId="77777777" w:rsidR="00BA06F9" w:rsidRPr="004D3515" w:rsidRDefault="00BA06F9" w:rsidP="00E56F37">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sidRPr="004D3515">
        <w:rPr>
          <w:rFonts w:cs="Arial"/>
          <w:sz w:val="22"/>
          <w:szCs w:val="22"/>
        </w:rPr>
        <w:t xml:space="preserve">Storage of dosimeters prior to issuance and after the monitoring period (prior to processing) should </w:t>
      </w:r>
      <w:r w:rsidRPr="004D3515">
        <w:rPr>
          <w:rStyle w:val="List-Alpha1Char"/>
          <w:rFonts w:cs="Arial"/>
          <w:sz w:val="22"/>
          <w:szCs w:val="22"/>
        </w:rPr>
        <w:t>be</w:t>
      </w:r>
      <w:r w:rsidRPr="004D3515">
        <w:rPr>
          <w:rFonts w:cs="Arial"/>
          <w:sz w:val="22"/>
          <w:szCs w:val="22"/>
        </w:rPr>
        <w:t xml:space="preserve"> in a low dose rate area.  </w:t>
      </w:r>
    </w:p>
    <w:p w14:paraId="67F72271" w14:textId="77777777" w:rsidR="00BA06F9" w:rsidRPr="004D3515" w:rsidRDefault="00BA06F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D2490CA" w14:textId="77777777" w:rsidR="0034648D" w:rsidRPr="004D3515" w:rsidRDefault="00BA06F9" w:rsidP="00E56F37">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sidRPr="004D3515">
        <w:rPr>
          <w:rFonts w:cs="Arial"/>
          <w:sz w:val="22"/>
          <w:szCs w:val="22"/>
        </w:rPr>
        <w:lastRenderedPageBreak/>
        <w:t xml:space="preserve">Dosimeters in use that are stored in racks on-site during non-wear periods should be in a low dose rate area with control dosimeters.   </w:t>
      </w:r>
    </w:p>
    <w:p w14:paraId="522A9AB0" w14:textId="77777777" w:rsidR="0034648D" w:rsidRPr="004D3515" w:rsidRDefault="0034648D" w:rsidP="00E56F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9B3D40" w14:textId="09247BDD" w:rsidR="00BA06F9" w:rsidRPr="004D3515" w:rsidRDefault="0039782F" w:rsidP="00E56F37">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Pr>
          <w:rFonts w:cs="Arial"/>
          <w:sz w:val="22"/>
          <w:szCs w:val="22"/>
        </w:rPr>
        <w:t xml:space="preserve">For </w:t>
      </w:r>
      <w:r w:rsidR="008B452E">
        <w:rPr>
          <w:rFonts w:cs="Arial"/>
          <w:sz w:val="22"/>
          <w:szCs w:val="22"/>
        </w:rPr>
        <w:t xml:space="preserve">issued </w:t>
      </w:r>
      <w:r w:rsidR="00BA06F9" w:rsidRPr="004D3515">
        <w:rPr>
          <w:rFonts w:cs="Arial"/>
          <w:sz w:val="22"/>
          <w:szCs w:val="22"/>
        </w:rPr>
        <w:t>dosimeters</w:t>
      </w:r>
      <w:r w:rsidR="008B452E">
        <w:rPr>
          <w:rFonts w:cs="Arial"/>
          <w:sz w:val="22"/>
          <w:szCs w:val="22"/>
        </w:rPr>
        <w:t xml:space="preserve"> not stored on</w:t>
      </w:r>
      <w:r w:rsidR="00534561">
        <w:rPr>
          <w:rFonts w:cs="Arial"/>
          <w:sz w:val="22"/>
          <w:szCs w:val="22"/>
        </w:rPr>
        <w:t>-</w:t>
      </w:r>
      <w:r w:rsidR="008B452E">
        <w:rPr>
          <w:rFonts w:cs="Arial"/>
          <w:sz w:val="22"/>
          <w:szCs w:val="22"/>
        </w:rPr>
        <w:t>site</w:t>
      </w:r>
      <w:r w:rsidR="00575C46">
        <w:rPr>
          <w:rFonts w:cs="Arial"/>
          <w:sz w:val="22"/>
          <w:szCs w:val="22"/>
        </w:rPr>
        <w:t xml:space="preserve"> during the wear period</w:t>
      </w:r>
      <w:r w:rsidR="00BA06F9" w:rsidRPr="004D3515">
        <w:rPr>
          <w:rFonts w:cs="Arial"/>
          <w:sz w:val="22"/>
          <w:szCs w:val="22"/>
        </w:rPr>
        <w:t xml:space="preserve">, guidance </w:t>
      </w:r>
      <w:r w:rsidR="008B452E">
        <w:rPr>
          <w:rFonts w:cs="Arial"/>
          <w:sz w:val="22"/>
          <w:szCs w:val="22"/>
        </w:rPr>
        <w:t xml:space="preserve">should be </w:t>
      </w:r>
      <w:r w:rsidR="00BA06F9" w:rsidRPr="004D3515">
        <w:rPr>
          <w:rFonts w:cs="Arial"/>
          <w:sz w:val="22"/>
          <w:szCs w:val="22"/>
        </w:rPr>
        <w:t xml:space="preserve">provided </w:t>
      </w:r>
      <w:r w:rsidR="008B452E">
        <w:rPr>
          <w:rFonts w:cs="Arial"/>
          <w:sz w:val="22"/>
          <w:szCs w:val="22"/>
        </w:rPr>
        <w:t xml:space="preserve">to </w:t>
      </w:r>
      <w:r w:rsidR="00BA06F9" w:rsidRPr="004D3515">
        <w:rPr>
          <w:rFonts w:cs="Arial"/>
          <w:sz w:val="22"/>
          <w:szCs w:val="22"/>
        </w:rPr>
        <w:t xml:space="preserve">workers </w:t>
      </w:r>
      <w:r w:rsidR="008B452E">
        <w:rPr>
          <w:rFonts w:cs="Arial"/>
          <w:sz w:val="22"/>
          <w:szCs w:val="22"/>
        </w:rPr>
        <w:t xml:space="preserve">on </w:t>
      </w:r>
      <w:r w:rsidR="00BA06F9" w:rsidRPr="004D3515">
        <w:rPr>
          <w:rFonts w:cs="Arial"/>
          <w:sz w:val="22"/>
          <w:szCs w:val="22"/>
        </w:rPr>
        <w:t>acceptable storage conditions (e.g., to avoid hanging from rear view mirrors, excessive heat (cars/trucks), and storage on granite countertops).</w:t>
      </w:r>
    </w:p>
    <w:p w14:paraId="5427201A" w14:textId="77777777" w:rsidR="00BA06F9" w:rsidRPr="004D3515" w:rsidRDefault="00BA06F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3D3FA1A" w14:textId="30FFD8E3" w:rsidR="00BD52C8" w:rsidRDefault="0034648D" w:rsidP="00E56F37">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Active Dosimeters (Electronic </w:t>
      </w:r>
      <w:r w:rsidR="00D166FF" w:rsidRPr="004D3515">
        <w:rPr>
          <w:rFonts w:cs="Arial"/>
          <w:sz w:val="22"/>
          <w:szCs w:val="22"/>
        </w:rPr>
        <w:t xml:space="preserve">Alarming </w:t>
      </w:r>
      <w:r w:rsidRPr="004D3515">
        <w:rPr>
          <w:rFonts w:cs="Arial"/>
          <w:sz w:val="22"/>
          <w:szCs w:val="22"/>
        </w:rPr>
        <w:t>Dosimeters)</w:t>
      </w:r>
    </w:p>
    <w:p w14:paraId="415ADB29" w14:textId="77777777" w:rsidR="00A77134" w:rsidRPr="004D3515" w:rsidRDefault="00A77134" w:rsidP="00A7713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653CE790" w14:textId="258F98AC" w:rsidR="00534561" w:rsidRPr="00266A88" w:rsidRDefault="00534561" w:rsidP="00FA65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266A88">
        <w:rPr>
          <w:rFonts w:cs="Arial"/>
          <w:sz w:val="22"/>
          <w:szCs w:val="22"/>
        </w:rPr>
        <w:t xml:space="preserve">Note that if used for underwater diving, </w:t>
      </w:r>
      <w:r w:rsidR="00042516">
        <w:rPr>
          <w:rFonts w:cs="Arial"/>
          <w:sz w:val="22"/>
          <w:szCs w:val="22"/>
        </w:rPr>
        <w:t>EADs</w:t>
      </w:r>
      <w:r w:rsidRPr="00266A88">
        <w:rPr>
          <w:rFonts w:cs="Arial"/>
          <w:sz w:val="22"/>
          <w:szCs w:val="22"/>
        </w:rPr>
        <w:t xml:space="preserve"> may be subject to different (lower) energy levels due to scattering in the water medium. This may also impact dosimetry of record (e.g., TLDs)</w:t>
      </w:r>
      <w:r>
        <w:rPr>
          <w:rFonts w:cs="Arial"/>
          <w:sz w:val="22"/>
          <w:szCs w:val="22"/>
        </w:rPr>
        <w:t xml:space="preserve">. </w:t>
      </w:r>
    </w:p>
    <w:p w14:paraId="6C8C5986" w14:textId="77777777" w:rsidR="00534561" w:rsidRDefault="00534561" w:rsidP="00534561">
      <w:pPr>
        <w:pStyle w:val="List-Num1"/>
        <w:numPr>
          <w:ilvl w:val="0"/>
          <w:numId w:val="0"/>
        </w:numPr>
        <w:tabs>
          <w:tab w:val="clear" w:pos="12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1440"/>
        <w:rPr>
          <w:rFonts w:cs="Arial"/>
          <w:sz w:val="22"/>
          <w:szCs w:val="22"/>
        </w:rPr>
      </w:pPr>
    </w:p>
    <w:p w14:paraId="470FD864" w14:textId="7CA10C62" w:rsidR="002A430C" w:rsidRDefault="00534561" w:rsidP="00F97A9A">
      <w:pPr>
        <w:widowControl/>
        <w:numPr>
          <w:ilvl w:val="0"/>
          <w:numId w:val="32"/>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18"/>
        <w:rPr>
          <w:rFonts w:cs="Arial"/>
          <w:sz w:val="22"/>
          <w:szCs w:val="22"/>
        </w:rPr>
      </w:pPr>
      <w:r w:rsidRPr="00F97A9A">
        <w:rPr>
          <w:rFonts w:cs="Arial"/>
          <w:sz w:val="22"/>
          <w:szCs w:val="22"/>
        </w:rPr>
        <w:t xml:space="preserve">A bias is normally established for </w:t>
      </w:r>
      <w:r w:rsidR="00042516" w:rsidRPr="00F97A9A">
        <w:rPr>
          <w:rFonts w:cs="Arial"/>
          <w:sz w:val="22"/>
          <w:szCs w:val="22"/>
        </w:rPr>
        <w:t>EADs</w:t>
      </w:r>
      <w:r w:rsidR="0039782F">
        <w:rPr>
          <w:rFonts w:cs="Arial"/>
          <w:sz w:val="22"/>
          <w:szCs w:val="22"/>
        </w:rPr>
        <w:t xml:space="preserve"> </w:t>
      </w:r>
      <w:r w:rsidRPr="00F97A9A">
        <w:rPr>
          <w:rFonts w:cs="Arial"/>
          <w:sz w:val="22"/>
          <w:szCs w:val="22"/>
        </w:rPr>
        <w:t xml:space="preserve">to adjust readings to account for a geometric bias and a conservative factor.  These two correction factors are normally a geometry correction and a conservative factor (conservative with respect to TLD/OSL measurements).  </w:t>
      </w:r>
      <w:r w:rsidRPr="00F97A9A">
        <w:rPr>
          <w:rFonts w:cs="Arial"/>
          <w:sz w:val="22"/>
          <w:szCs w:val="22"/>
        </w:rPr>
        <w:br/>
      </w:r>
      <w:r w:rsidRPr="00F97A9A">
        <w:rPr>
          <w:rFonts w:cs="Arial"/>
          <w:sz w:val="22"/>
          <w:szCs w:val="22"/>
          <w:highlight w:val="yellow"/>
        </w:rPr>
        <w:br/>
      </w:r>
      <w:r w:rsidRPr="00F97A9A">
        <w:rPr>
          <w:rFonts w:cs="Arial"/>
          <w:sz w:val="22"/>
          <w:szCs w:val="22"/>
        </w:rPr>
        <w:t>The geometry correction factor is typically a 5 – 10% positive bias to account for the fact that the E</w:t>
      </w:r>
      <w:r w:rsidR="00042516" w:rsidRPr="00F97A9A">
        <w:rPr>
          <w:rFonts w:cs="Arial"/>
          <w:sz w:val="22"/>
          <w:szCs w:val="22"/>
        </w:rPr>
        <w:t>A</w:t>
      </w:r>
      <w:r w:rsidRPr="00F97A9A">
        <w:rPr>
          <w:rFonts w:cs="Arial"/>
          <w:sz w:val="22"/>
          <w:szCs w:val="22"/>
        </w:rPr>
        <w:t xml:space="preserve">D </w:t>
      </w:r>
      <w:r w:rsidR="00042516" w:rsidRPr="00F97A9A">
        <w:rPr>
          <w:rFonts w:cs="Arial"/>
          <w:sz w:val="22"/>
          <w:szCs w:val="22"/>
        </w:rPr>
        <w:t xml:space="preserve">physical size and </w:t>
      </w:r>
      <w:r w:rsidRPr="00F97A9A">
        <w:rPr>
          <w:rFonts w:cs="Arial"/>
          <w:sz w:val="22"/>
          <w:szCs w:val="22"/>
        </w:rPr>
        <w:t>geometry is larger than the passive dosimeter.  The E</w:t>
      </w:r>
      <w:r w:rsidR="00042516" w:rsidRPr="00F97A9A">
        <w:rPr>
          <w:rFonts w:cs="Arial"/>
          <w:sz w:val="22"/>
          <w:szCs w:val="22"/>
        </w:rPr>
        <w:t>A</w:t>
      </w:r>
      <w:r w:rsidRPr="00F97A9A">
        <w:rPr>
          <w:rFonts w:cs="Arial"/>
          <w:sz w:val="22"/>
          <w:szCs w:val="22"/>
        </w:rPr>
        <w:t>D batteries and electronics provides some self-shielding, since the instrument response is directionally dependent (i.e., when the exposure angle is not perpendicular to the face of the E</w:t>
      </w:r>
      <w:r w:rsidR="00042516" w:rsidRPr="00F97A9A">
        <w:rPr>
          <w:rFonts w:cs="Arial"/>
          <w:sz w:val="22"/>
          <w:szCs w:val="22"/>
        </w:rPr>
        <w:t>A</w:t>
      </w:r>
      <w:r w:rsidRPr="00F97A9A">
        <w:rPr>
          <w:rFonts w:cs="Arial"/>
          <w:sz w:val="22"/>
          <w:szCs w:val="22"/>
        </w:rPr>
        <w:t xml:space="preserve">D).  </w:t>
      </w:r>
      <w:r w:rsidRPr="00F97A9A">
        <w:rPr>
          <w:rFonts w:cs="Arial"/>
          <w:sz w:val="22"/>
          <w:szCs w:val="22"/>
        </w:rPr>
        <w:br/>
      </w:r>
      <w:r w:rsidRPr="00F97A9A">
        <w:rPr>
          <w:rFonts w:cs="Arial"/>
          <w:sz w:val="22"/>
          <w:szCs w:val="22"/>
        </w:rPr>
        <w:br/>
        <w:t>The second factor is a conservative factor (~5%) commonly used to ensure the real-time dose tracking used for worker exposure control is conservative (i.e., the E</w:t>
      </w:r>
      <w:r w:rsidR="00042516" w:rsidRPr="00F97A9A">
        <w:rPr>
          <w:rFonts w:cs="Arial"/>
          <w:sz w:val="22"/>
          <w:szCs w:val="22"/>
        </w:rPr>
        <w:t>A</w:t>
      </w:r>
      <w:r w:rsidRPr="00F97A9A">
        <w:rPr>
          <w:rFonts w:cs="Arial"/>
          <w:sz w:val="22"/>
          <w:szCs w:val="22"/>
        </w:rPr>
        <w:t>D measurements will be higher than the TLD/OSL dose measurements normally used for dose of legal record).</w:t>
      </w:r>
      <w:r w:rsidRPr="00F97A9A">
        <w:rPr>
          <w:rFonts w:cs="Arial"/>
          <w:sz w:val="22"/>
          <w:szCs w:val="22"/>
        </w:rPr>
        <w:br/>
      </w:r>
      <w:r w:rsidRPr="00F97A9A">
        <w:rPr>
          <w:rFonts w:cs="Arial"/>
          <w:sz w:val="22"/>
          <w:szCs w:val="22"/>
        </w:rPr>
        <w:br/>
        <w:t xml:space="preserve">These two factors of a conservative bias and a geometry bias may be better understood </w:t>
      </w:r>
      <w:r w:rsidR="0039782F">
        <w:rPr>
          <w:rFonts w:cs="Arial"/>
          <w:sz w:val="22"/>
          <w:szCs w:val="22"/>
        </w:rPr>
        <w:t xml:space="preserve">if </w:t>
      </w:r>
      <w:r w:rsidRPr="00F97A9A">
        <w:rPr>
          <w:rFonts w:cs="Arial"/>
          <w:sz w:val="22"/>
          <w:szCs w:val="22"/>
        </w:rPr>
        <w:t xml:space="preserve">field </w:t>
      </w:r>
      <w:r w:rsidR="0039782F">
        <w:rPr>
          <w:rFonts w:cs="Arial"/>
          <w:sz w:val="22"/>
          <w:szCs w:val="22"/>
        </w:rPr>
        <w:t xml:space="preserve">comparisons of RO-2 surveys, </w:t>
      </w:r>
      <w:r w:rsidRPr="00F97A9A">
        <w:rPr>
          <w:rFonts w:cs="Arial"/>
          <w:sz w:val="22"/>
          <w:szCs w:val="22"/>
        </w:rPr>
        <w:t>electronic dosimeter and TLD/OSL evaluations are performed.</w:t>
      </w:r>
    </w:p>
    <w:p w14:paraId="1335FF9F" w14:textId="77777777" w:rsidR="002A430C" w:rsidRDefault="002A430C"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C4A46D9" w14:textId="7F1C953D" w:rsidR="006F26F5" w:rsidRPr="00F97A9A" w:rsidRDefault="00D64D61" w:rsidP="00F97A9A">
      <w:pPr>
        <w:widowControl/>
        <w:numPr>
          <w:ilvl w:val="0"/>
          <w:numId w:val="32"/>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18"/>
        <w:rPr>
          <w:rFonts w:cs="Arial"/>
          <w:sz w:val="22"/>
          <w:szCs w:val="22"/>
        </w:rPr>
      </w:pPr>
      <w:r>
        <w:rPr>
          <w:rFonts w:cs="Arial"/>
          <w:sz w:val="22"/>
          <w:szCs w:val="22"/>
        </w:rPr>
        <w:t>Potential discrepancies</w:t>
      </w:r>
      <w:r w:rsidR="006F26F5" w:rsidRPr="00F97A9A">
        <w:rPr>
          <w:rFonts w:cs="Arial"/>
          <w:sz w:val="22"/>
          <w:szCs w:val="22"/>
        </w:rPr>
        <w:t xml:space="preserve"> may indicate that the assigned deep-dose equivalent was not measured for the part of the body receiving the hi</w:t>
      </w:r>
      <w:r>
        <w:rPr>
          <w:rFonts w:cs="Arial"/>
          <w:sz w:val="22"/>
          <w:szCs w:val="22"/>
        </w:rPr>
        <w:t>ghest exposure</w:t>
      </w:r>
      <w:r w:rsidR="006F26F5" w:rsidRPr="00F97A9A">
        <w:rPr>
          <w:rFonts w:cs="Arial"/>
          <w:sz w:val="22"/>
          <w:szCs w:val="22"/>
        </w:rPr>
        <w:t>.</w:t>
      </w:r>
    </w:p>
    <w:p w14:paraId="794A7A0C" w14:textId="77777777" w:rsidR="006F26F5" w:rsidRDefault="006F26F5"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7A36E23E" w14:textId="688CB6B7" w:rsidR="00534561" w:rsidRDefault="00534561"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266A88">
        <w:rPr>
          <w:rFonts w:cs="Arial"/>
          <w:sz w:val="22"/>
          <w:szCs w:val="22"/>
        </w:rPr>
        <w:t xml:space="preserve">The evaluations of discrepancies between active and passive dosimeters may identify the cause of differences in measured values, such as due to passive dosimeter handling, storage, or processing errors, or due to electronic dosimeter misuse or other causes.  Justifiable differences can occur even for the same exposure conditions, even if the active and passive dosimeters were co-located on the monitored individual.  For example, the active dosimeter may have been calibrated with a positive bias to compensate for its inherent geometric under-response in field conditions (e.g., geometry factors such as its larger size and electrical components that can shield the internal detector).  In addition, an additional positive bias may have been applied to the active dosimeter to ensure conservative exposure measurement for dose control purposes. Investigations may indicate that that one or both of the dosimeters were not used correctly, or were not working correctly, or that one or both of the dosimeters may have been </w:t>
      </w:r>
      <w:r w:rsidRPr="00266A88">
        <w:rPr>
          <w:rFonts w:cs="Arial"/>
          <w:sz w:val="22"/>
          <w:szCs w:val="22"/>
        </w:rPr>
        <w:lastRenderedPageBreak/>
        <w:t>subject to unexpected radiation exposure, or that the required dosimeter was not appropriately placed at the highest exposed part of the whole body.</w:t>
      </w:r>
    </w:p>
    <w:p w14:paraId="1A2F7A84" w14:textId="77777777" w:rsidR="00832FC2" w:rsidRPr="004D3515" w:rsidRDefault="00832FC2" w:rsidP="00E56F37">
      <w:pPr>
        <w:pStyle w:val="List-Num1"/>
        <w:widowControl/>
        <w:numPr>
          <w:ilvl w:val="0"/>
          <w:numId w:val="0"/>
        </w:numPr>
        <w:tabs>
          <w:tab w:val="clear" w:pos="12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rPr>
          <w:rFonts w:cs="Arial"/>
          <w:sz w:val="22"/>
          <w:szCs w:val="22"/>
        </w:rPr>
      </w:pPr>
    </w:p>
    <w:p w14:paraId="20E20DB7" w14:textId="33C11639" w:rsidR="003608FB" w:rsidRPr="004D3515" w:rsidRDefault="003608F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03.0</w:t>
      </w:r>
      <w:r w:rsidR="0006193C">
        <w:rPr>
          <w:rFonts w:cs="Arial"/>
          <w:sz w:val="22"/>
          <w:szCs w:val="22"/>
        </w:rPr>
        <w:t>3</w:t>
      </w:r>
      <w:r w:rsidRPr="004D3515">
        <w:rPr>
          <w:rFonts w:cs="Arial"/>
          <w:sz w:val="22"/>
          <w:szCs w:val="22"/>
        </w:rPr>
        <w:tab/>
      </w:r>
      <w:r w:rsidR="006F6B1F" w:rsidRPr="004D3515">
        <w:rPr>
          <w:rFonts w:cs="Arial"/>
          <w:sz w:val="22"/>
          <w:szCs w:val="22"/>
          <w:u w:val="single"/>
        </w:rPr>
        <w:t>In</w:t>
      </w:r>
      <w:r w:rsidRPr="004D3515">
        <w:rPr>
          <w:rFonts w:cs="Arial"/>
          <w:sz w:val="22"/>
          <w:szCs w:val="22"/>
          <w:u w:val="single"/>
        </w:rPr>
        <w:t>ternal Dosimetr</w:t>
      </w:r>
      <w:r w:rsidR="00122AD4">
        <w:rPr>
          <w:rFonts w:cs="Arial"/>
          <w:sz w:val="22"/>
          <w:szCs w:val="22"/>
          <w:u w:val="single"/>
        </w:rPr>
        <w:t>y</w:t>
      </w:r>
    </w:p>
    <w:p w14:paraId="1B34E5FF" w14:textId="77777777" w:rsidR="00FB2F06" w:rsidRPr="004D3515" w:rsidRDefault="00FB2F0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13C2A3D" w14:textId="77777777" w:rsidR="003B4694" w:rsidRPr="004D3515" w:rsidRDefault="003B4694" w:rsidP="00E56F37">
      <w:pPr>
        <w:widowControl/>
        <w:numPr>
          <w:ilvl w:val="0"/>
          <w:numId w:val="9"/>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Routine Bioassay (in vivo)</w:t>
      </w:r>
    </w:p>
    <w:p w14:paraId="3C2D459F" w14:textId="77777777" w:rsidR="003B4694" w:rsidRPr="004D3515" w:rsidRDefault="003B4694" w:rsidP="00E56F3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p>
    <w:p w14:paraId="2FD4A7F9" w14:textId="77777777" w:rsidR="003B4694" w:rsidRPr="004D3515" w:rsidRDefault="003B4694" w:rsidP="00E56F37">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Methods of assessing internal dose are provided in RG 8.34. “Monitoring Criteria and Methods to Calculate Occupational Radiation Doses.”  Also see guidance in RG 8.9, “Acceptable Concepts, Models, Equations, and Assumptions for a Bioassay Program,” and ANSI N13.30-1996, “Performance Criteria for Radiobioassay.”</w:t>
      </w:r>
    </w:p>
    <w:p w14:paraId="0C3CD2AD" w14:textId="77777777" w:rsidR="003B4694" w:rsidRPr="004D3515" w:rsidRDefault="003B4694" w:rsidP="00E56F3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p>
    <w:p w14:paraId="146AFAD0" w14:textId="5CB03A3E" w:rsidR="003B4694" w:rsidRPr="004D3515" w:rsidRDefault="003B4694" w:rsidP="00E56F3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4D3515">
        <w:rPr>
          <w:rFonts w:cs="Arial"/>
          <w:sz w:val="22"/>
          <w:szCs w:val="22"/>
        </w:rPr>
        <w:t>A common method for determining the location of personnel contamination is identifying the contaminated area via a hand held frisker and identifying the zone where beta contamination monitor alarms.  Prompt whole body counts, as well as follow-up whole body counts can be used to determine if the residual contamination level follows the retention functions in NUREG/CR-4484 inhalation or ingestion models, and contamination removal from skin via showering and dead skin layer sluffing off.</w:t>
      </w:r>
    </w:p>
    <w:p w14:paraId="6724A75F" w14:textId="77777777" w:rsidR="003B4694" w:rsidRPr="004D3515" w:rsidRDefault="003B4694" w:rsidP="00F97A9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0435CEFE" w14:textId="65BB3C47" w:rsidR="003B4694" w:rsidRPr="004D3515" w:rsidRDefault="00FC518B" w:rsidP="00E56F37">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Be especially mindful of instances following personnel </w:t>
      </w:r>
      <w:r w:rsidRPr="004D3515">
        <w:rPr>
          <w:rFonts w:cs="Arial"/>
          <w:sz w:val="22"/>
          <w:szCs w:val="22"/>
        </w:rPr>
        <w:t>entry into a high airborne radioactivity area, or following the use of respiratory protection equipment</w:t>
      </w:r>
      <w:r>
        <w:rPr>
          <w:rFonts w:cs="Arial"/>
          <w:sz w:val="22"/>
          <w:szCs w:val="22"/>
        </w:rPr>
        <w:t>.</w:t>
      </w:r>
    </w:p>
    <w:p w14:paraId="1F5293D5" w14:textId="77777777" w:rsidR="003B4694" w:rsidRPr="004D3515" w:rsidRDefault="003B4694" w:rsidP="00F97A9A">
      <w:pPr>
        <w:pStyle w:val="List-Num1"/>
        <w:numPr>
          <w:ilvl w:val="0"/>
          <w:numId w:val="0"/>
        </w:numPr>
        <w:tabs>
          <w:tab w:val="clear" w:pos="12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1440"/>
        <w:rPr>
          <w:rFonts w:cs="Arial"/>
          <w:sz w:val="22"/>
          <w:szCs w:val="22"/>
        </w:rPr>
      </w:pPr>
    </w:p>
    <w:p w14:paraId="1AB756A4" w14:textId="7CC0C7FC" w:rsidR="000122D7" w:rsidRDefault="003B4694" w:rsidP="000122D7">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Some licensees have procedures for the use of personnel contamination monitors in lieu of routine WBCs.  Review licensee evaluations to determine if the passive monitoring can identify intakes exceeding the evaluation level defined in RG 8.9 of 2% of an ALI, or 100 mrem CEDE.  This review should include any potential HTD contribution to CEDE as this will not be detected by passive monitoring.</w:t>
      </w:r>
    </w:p>
    <w:p w14:paraId="7E915BE2" w14:textId="77777777" w:rsidR="000122D7" w:rsidRDefault="000122D7" w:rsidP="00DF48F9"/>
    <w:p w14:paraId="15AFBCC8" w14:textId="02911852" w:rsidR="000122D7" w:rsidRPr="00B63510" w:rsidRDefault="000122D7" w:rsidP="00006B73">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D64D61">
        <w:rPr>
          <w:sz w:val="22"/>
          <w:szCs w:val="22"/>
        </w:rPr>
        <w:t>WBC systems and gamma spectroscopy systems commonly have different radionuclide libraries for different exposure conditions and / or analytical needs.  Selectively review the radionuclide libraries to verify that the licensee has analytical capabilities for fission products, natural occurring radioactive materials, and failed fuel conditions.</w:t>
      </w:r>
    </w:p>
    <w:p w14:paraId="3C7EBBA0" w14:textId="77777777" w:rsidR="00B63510" w:rsidRPr="00B63510" w:rsidRDefault="00B63510" w:rsidP="00B63510">
      <w:pPr>
        <w:pStyle w:val="ListParagraph"/>
        <w:rPr>
          <w:rFonts w:cs="Arial"/>
          <w:sz w:val="22"/>
          <w:szCs w:val="22"/>
        </w:rPr>
      </w:pPr>
    </w:p>
    <w:p w14:paraId="14B69BAB" w14:textId="7507B3D0" w:rsidR="00B63510" w:rsidRPr="00D64D61" w:rsidRDefault="00B63510" w:rsidP="00006B73">
      <w:pPr>
        <w:pStyle w:val="ListParagraph"/>
        <w:widowControl/>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No inspection guidance.</w:t>
      </w:r>
    </w:p>
    <w:p w14:paraId="7AFD9E4B"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EAEA625" w14:textId="77777777" w:rsidR="003B4694" w:rsidRPr="004D3515" w:rsidRDefault="003B4694" w:rsidP="00E56F37">
      <w:pPr>
        <w:widowControl/>
        <w:numPr>
          <w:ilvl w:val="0"/>
          <w:numId w:val="9"/>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Special Bioassay (in vitro)</w:t>
      </w:r>
    </w:p>
    <w:p w14:paraId="3D28BFDE"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5F558D2D" w14:textId="087DD2B0" w:rsidR="003B4694" w:rsidRPr="004D3515" w:rsidRDefault="003B4694" w:rsidP="00E56F37">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In addition to the references cited </w:t>
      </w:r>
      <w:r w:rsidR="00770023">
        <w:rPr>
          <w:rFonts w:cs="Arial"/>
          <w:sz w:val="22"/>
          <w:szCs w:val="22"/>
        </w:rPr>
        <w:t xml:space="preserve">above </w:t>
      </w:r>
      <w:r w:rsidR="00B63510">
        <w:rPr>
          <w:rFonts w:cs="Arial"/>
          <w:sz w:val="22"/>
          <w:szCs w:val="22"/>
        </w:rPr>
        <w:t>in section 03.03</w:t>
      </w:r>
      <w:r w:rsidR="00770023">
        <w:rPr>
          <w:rFonts w:cs="Arial"/>
          <w:sz w:val="22"/>
          <w:szCs w:val="22"/>
        </w:rPr>
        <w:t>.</w:t>
      </w:r>
      <w:r w:rsidR="00B97A36">
        <w:rPr>
          <w:rFonts w:cs="Arial"/>
          <w:sz w:val="22"/>
          <w:szCs w:val="22"/>
        </w:rPr>
        <w:t>a</w:t>
      </w:r>
      <w:r w:rsidRPr="004D3515">
        <w:rPr>
          <w:rFonts w:cs="Arial"/>
          <w:sz w:val="22"/>
          <w:szCs w:val="22"/>
        </w:rPr>
        <w:t xml:space="preserve">, Regulatory Guide 8.26, “Applications of Bioassay for Fission and Activation Products,” and Regulatory Guide 8.32, “Criteria for Establishing a Tritium Bioassay Program,” provide relevant guidance for in vitro monitoring programs. </w:t>
      </w:r>
    </w:p>
    <w:p w14:paraId="7015D5E8" w14:textId="77777777" w:rsidR="003B4694" w:rsidRPr="004D3515" w:rsidRDefault="003B4694" w:rsidP="00E56F3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sz w:val="22"/>
          <w:szCs w:val="22"/>
        </w:rPr>
      </w:pPr>
    </w:p>
    <w:p w14:paraId="10BC07F7" w14:textId="3516E472" w:rsidR="003B4694" w:rsidRPr="004D3515" w:rsidRDefault="00B63510"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b/>
      </w:r>
      <w:r>
        <w:rPr>
          <w:rFonts w:cs="Arial"/>
          <w:sz w:val="22"/>
          <w:szCs w:val="22"/>
        </w:rPr>
        <w:tab/>
      </w:r>
      <w:r>
        <w:rPr>
          <w:rFonts w:cs="Arial"/>
          <w:sz w:val="22"/>
          <w:szCs w:val="22"/>
        </w:rPr>
        <w:tab/>
        <w:t>T</w:t>
      </w:r>
      <w:r w:rsidR="003B4694" w:rsidRPr="004D3515">
        <w:rPr>
          <w:rFonts w:cs="Arial"/>
          <w:sz w:val="22"/>
          <w:szCs w:val="22"/>
        </w:rPr>
        <w:t xml:space="preserve">he licensee’s sample collection procedures </w:t>
      </w:r>
      <w:r>
        <w:rPr>
          <w:rFonts w:cs="Arial"/>
          <w:sz w:val="22"/>
          <w:szCs w:val="22"/>
        </w:rPr>
        <w:t xml:space="preserve">should </w:t>
      </w:r>
      <w:r w:rsidR="003B4694" w:rsidRPr="004D3515">
        <w:rPr>
          <w:rFonts w:cs="Arial"/>
          <w:sz w:val="22"/>
          <w:szCs w:val="22"/>
        </w:rPr>
        <w:t>ensure the following:</w:t>
      </w:r>
    </w:p>
    <w:p w14:paraId="188A4AC0"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C626E30" w14:textId="0D612BC2" w:rsidR="003B4694" w:rsidRPr="004D3515" w:rsidRDefault="000F1297" w:rsidP="00E56F37">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C</w:t>
      </w:r>
      <w:r w:rsidR="003B4694" w:rsidRPr="004D3515">
        <w:rPr>
          <w:rFonts w:cs="Arial"/>
          <w:sz w:val="22"/>
          <w:szCs w:val="22"/>
        </w:rPr>
        <w:t xml:space="preserve">ollection and preservation of samples in a manner such that the loss of activity on the walls of the container is minimal and sample contamination is prevented, </w:t>
      </w:r>
    </w:p>
    <w:p w14:paraId="3729D106"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A44A5C0" w14:textId="7E6F4447" w:rsidR="003B4694" w:rsidRPr="004D3515" w:rsidRDefault="000F1297" w:rsidP="00E56F37">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A</w:t>
      </w:r>
      <w:r w:rsidR="003B4694" w:rsidRPr="004D3515">
        <w:rPr>
          <w:rFonts w:cs="Arial"/>
          <w:sz w:val="22"/>
          <w:szCs w:val="22"/>
        </w:rPr>
        <w:t xml:space="preserve"> sample of adequate size for each type of analysis requested, including adequate amounts to allow verification or additional analysis if needed,</w:t>
      </w:r>
    </w:p>
    <w:p w14:paraId="16979709"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089F768" w14:textId="192FFE8B" w:rsidR="003B4694" w:rsidRPr="004D3515" w:rsidRDefault="000F1297" w:rsidP="00E56F37">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C</w:t>
      </w:r>
      <w:r w:rsidR="003B4694" w:rsidRPr="004D3515">
        <w:rPr>
          <w:rFonts w:cs="Arial"/>
          <w:sz w:val="22"/>
          <w:szCs w:val="22"/>
        </w:rPr>
        <w:t xml:space="preserve">ontainers that are free of external and internal contamination, </w:t>
      </w:r>
    </w:p>
    <w:p w14:paraId="57E52107"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0C30F7FE" w14:textId="2BCECAE4" w:rsidR="003B4694" w:rsidRPr="004D3515" w:rsidRDefault="000F1297" w:rsidP="00E56F37">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P</w:t>
      </w:r>
      <w:r w:rsidR="003B4694" w:rsidRPr="004D3515">
        <w:rPr>
          <w:rFonts w:cs="Arial"/>
          <w:sz w:val="22"/>
          <w:szCs w:val="22"/>
        </w:rPr>
        <w:t xml:space="preserve">recautions to ensure the integrity of the container and prevent leakage from the container and/or cross-contamination of samples during the shipment and storage of samples, and </w:t>
      </w:r>
    </w:p>
    <w:p w14:paraId="4DA674B5"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05D82EC1" w14:textId="3BDBA519" w:rsidR="003B4694" w:rsidRPr="004D3515" w:rsidRDefault="000F1297" w:rsidP="00E56F37">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A</w:t>
      </w:r>
      <w:r w:rsidR="003B4694" w:rsidRPr="004D3515">
        <w:rPr>
          <w:rFonts w:cs="Arial"/>
          <w:sz w:val="22"/>
          <w:szCs w:val="22"/>
        </w:rPr>
        <w:t xml:space="preserve">ccurate and unambiguous identification of samples.  In addition, the licensee should specify the required LLDs and the reporting requirements, including standard error or confidence interval estimates, and alert the service laboratory of potentially “highly contaminated” samples, samples that may contain additives and/or preservatives, or samples that may contain extremely insoluble material.  </w:t>
      </w:r>
    </w:p>
    <w:p w14:paraId="51866446" w14:textId="77777777" w:rsidR="003B4694" w:rsidRPr="004D3515" w:rsidRDefault="003B469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BC1BA2E" w14:textId="4623CFB1" w:rsidR="003B4694" w:rsidRPr="004D3515" w:rsidRDefault="00B63510" w:rsidP="00E56F37">
      <w:pPr>
        <w:pStyle w:val="ListParagraph"/>
        <w:widowControl/>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Labs should participate in an analysis cross-check program and out-of-tolerance results should be evaluated and resolved appropriately</w:t>
      </w:r>
      <w:r w:rsidR="00FB4CC6" w:rsidRPr="004D3515">
        <w:rPr>
          <w:rFonts w:cs="Arial"/>
          <w:sz w:val="22"/>
          <w:szCs w:val="22"/>
        </w:rPr>
        <w:t>.</w:t>
      </w:r>
    </w:p>
    <w:p w14:paraId="05751242" w14:textId="77777777" w:rsidR="00EC07E8" w:rsidRPr="004D3515" w:rsidRDefault="00EC07E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41498A69" w14:textId="72B296EE" w:rsidR="00E663E4" w:rsidRDefault="00AB3848" w:rsidP="00E56F37">
      <w:pPr>
        <w:widowControl/>
        <w:numPr>
          <w:ilvl w:val="0"/>
          <w:numId w:val="9"/>
        </w:numPr>
        <w:tabs>
          <w:tab w:val="clear" w:pos="72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Dose Assessments Based on Airborne Monitoring</w:t>
      </w:r>
      <w:r w:rsidRPr="004D3515">
        <w:rPr>
          <w:rFonts w:cs="Arial"/>
          <w:sz w:val="22"/>
          <w:szCs w:val="22"/>
        </w:rPr>
        <w:br/>
      </w:r>
      <w:r w:rsidRPr="004D3515">
        <w:rPr>
          <w:rFonts w:cs="Arial"/>
          <w:sz w:val="22"/>
          <w:szCs w:val="22"/>
        </w:rPr>
        <w:br/>
      </w:r>
      <w:r w:rsidR="006D21D5" w:rsidRPr="004D3515">
        <w:rPr>
          <w:rFonts w:cs="Arial"/>
          <w:sz w:val="22"/>
          <w:szCs w:val="22"/>
        </w:rPr>
        <w:t>Note that requirements in this section may overlap requirements in Inspection Procedure</w:t>
      </w:r>
      <w:r w:rsidR="005C5F65" w:rsidRPr="004D3515">
        <w:rPr>
          <w:rFonts w:cs="Arial"/>
          <w:sz w:val="22"/>
          <w:szCs w:val="22"/>
        </w:rPr>
        <w:t>s</w:t>
      </w:r>
      <w:r w:rsidR="006D21D5" w:rsidRPr="004D3515">
        <w:rPr>
          <w:rFonts w:cs="Arial"/>
          <w:sz w:val="22"/>
          <w:szCs w:val="22"/>
        </w:rPr>
        <w:t xml:space="preserve"> 71124.01 and 71124.03.  </w:t>
      </w:r>
      <w:r w:rsidR="000244AC" w:rsidRPr="004D3515">
        <w:rPr>
          <w:rFonts w:cs="Arial"/>
          <w:sz w:val="22"/>
          <w:szCs w:val="22"/>
        </w:rPr>
        <w:t>A</w:t>
      </w:r>
      <w:r w:rsidR="006D21D5" w:rsidRPr="004D3515">
        <w:rPr>
          <w:rFonts w:cs="Arial"/>
          <w:sz w:val="22"/>
          <w:szCs w:val="22"/>
        </w:rPr>
        <w:t xml:space="preserve">void duplication of effort to the extent possible. </w:t>
      </w:r>
    </w:p>
    <w:p w14:paraId="310C486B" w14:textId="77777777"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2C045F27" w14:textId="4181F121"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1.</w:t>
      </w:r>
      <w:r>
        <w:rPr>
          <w:rFonts w:cs="Arial"/>
          <w:sz w:val="22"/>
          <w:szCs w:val="22"/>
        </w:rPr>
        <w:tab/>
        <w:t>No inspection guidance.</w:t>
      </w:r>
    </w:p>
    <w:p w14:paraId="3F430B03" w14:textId="77777777"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340DFDA8" w14:textId="29C04CF2"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2.</w:t>
      </w:r>
      <w:r>
        <w:rPr>
          <w:rFonts w:cs="Arial"/>
          <w:sz w:val="22"/>
          <w:szCs w:val="22"/>
        </w:rPr>
        <w:tab/>
      </w:r>
      <w:r w:rsidR="00386629">
        <w:rPr>
          <w:rFonts w:cs="Arial"/>
          <w:sz w:val="22"/>
          <w:szCs w:val="22"/>
        </w:rPr>
        <w:t>No inspection guidance.</w:t>
      </w:r>
    </w:p>
    <w:p w14:paraId="13928E80" w14:textId="77777777"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3686E1F8" w14:textId="389DE759"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3.</w:t>
      </w:r>
      <w:r>
        <w:rPr>
          <w:rFonts w:cs="Arial"/>
          <w:sz w:val="22"/>
          <w:szCs w:val="22"/>
        </w:rPr>
        <w:tab/>
      </w:r>
      <w:r w:rsidR="00386629">
        <w:rPr>
          <w:rFonts w:cs="Arial"/>
          <w:sz w:val="22"/>
          <w:szCs w:val="22"/>
        </w:rPr>
        <w:t>No inspection guidance.</w:t>
      </w:r>
    </w:p>
    <w:p w14:paraId="367119A6" w14:textId="77777777"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2941BDB1" w14:textId="37A0D421" w:rsidR="00B63510" w:rsidRDefault="00B63510" w:rsidP="00B6351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Pr>
          <w:rFonts w:cs="Arial"/>
          <w:sz w:val="22"/>
          <w:szCs w:val="22"/>
        </w:rPr>
        <w:t>4</w:t>
      </w:r>
      <w:r w:rsidR="00386629">
        <w:rPr>
          <w:rFonts w:cs="Arial"/>
          <w:sz w:val="22"/>
          <w:szCs w:val="22"/>
        </w:rPr>
        <w:t>.</w:t>
      </w:r>
      <w:r w:rsidR="00386629">
        <w:rPr>
          <w:rFonts w:cs="Arial"/>
          <w:sz w:val="22"/>
          <w:szCs w:val="22"/>
        </w:rPr>
        <w:tab/>
        <w:t>No inspection guidance.</w:t>
      </w:r>
    </w:p>
    <w:p w14:paraId="217BBC26" w14:textId="77777777" w:rsidR="003314B2" w:rsidRDefault="003314B2" w:rsidP="003314B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5BD24BC7" w14:textId="66C75F19" w:rsidR="003314B2" w:rsidRDefault="00386629" w:rsidP="00E56F37">
      <w:pPr>
        <w:widowControl/>
        <w:numPr>
          <w:ilvl w:val="0"/>
          <w:numId w:val="9"/>
        </w:numPr>
        <w:tabs>
          <w:tab w:val="clear" w:pos="72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 xml:space="preserve">Limit these assessments to no more than two intake events with similar nuclide mixes.  </w:t>
      </w:r>
      <w:r w:rsidRPr="00266A88">
        <w:rPr>
          <w:rFonts w:cs="Arial"/>
          <w:sz w:val="22"/>
          <w:szCs w:val="22"/>
        </w:rPr>
        <w:t>Determine if the affected personnel were properly monitored with calibrated equipment and if the data were analyzed and internal exposures properly assessed in accordance with licensee procedures.</w:t>
      </w:r>
      <w:r>
        <w:rPr>
          <w:rFonts w:cs="Arial"/>
          <w:sz w:val="22"/>
          <w:szCs w:val="22"/>
        </w:rPr>
        <w:t xml:space="preserve">  </w:t>
      </w:r>
    </w:p>
    <w:p w14:paraId="1D2EB22D" w14:textId="77777777" w:rsidR="00A603FD" w:rsidRDefault="00A603FD" w:rsidP="00F97A9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F84FE8" w14:textId="47BD008C" w:rsidR="006F6B1F" w:rsidRPr="00F97A9A" w:rsidRDefault="00571844" w:rsidP="0006193C">
      <w:pPr>
        <w:pStyle w:val="ListParagraph"/>
        <w:widowControl/>
        <w:numPr>
          <w:ilvl w:val="1"/>
          <w:numId w:val="5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97A9A">
        <w:rPr>
          <w:rFonts w:cs="Arial"/>
          <w:sz w:val="22"/>
          <w:szCs w:val="22"/>
          <w:u w:val="single"/>
        </w:rPr>
        <w:t xml:space="preserve">Special </w:t>
      </w:r>
      <w:r w:rsidR="00161ABB" w:rsidRPr="00F97A9A">
        <w:rPr>
          <w:rFonts w:cs="Arial"/>
          <w:sz w:val="22"/>
          <w:szCs w:val="22"/>
          <w:u w:val="single"/>
        </w:rPr>
        <w:t>Dosimetry</w:t>
      </w:r>
      <w:r w:rsidRPr="00F97A9A">
        <w:rPr>
          <w:rFonts w:cs="Arial"/>
          <w:sz w:val="22"/>
          <w:szCs w:val="22"/>
          <w:u w:val="single"/>
        </w:rPr>
        <w:t xml:space="preserve"> Situation</w:t>
      </w:r>
      <w:r w:rsidR="00122AD4">
        <w:rPr>
          <w:rFonts w:cs="Arial"/>
          <w:sz w:val="22"/>
          <w:szCs w:val="22"/>
          <w:u w:val="single"/>
        </w:rPr>
        <w:t>s</w:t>
      </w:r>
    </w:p>
    <w:p w14:paraId="601E5FCE" w14:textId="77777777" w:rsidR="007C6ED6" w:rsidRPr="004D3515" w:rsidRDefault="007C6ED6"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12DD4553" w14:textId="77777777" w:rsidR="004D3515" w:rsidRPr="004D3515" w:rsidRDefault="004D3515" w:rsidP="00FD37D0">
      <w:pPr>
        <w:widowControl/>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Declared Pregnant Workers</w:t>
      </w:r>
      <w:r w:rsidRPr="004D3515">
        <w:rPr>
          <w:rFonts w:cs="Arial"/>
          <w:sz w:val="22"/>
          <w:szCs w:val="22"/>
        </w:rPr>
        <w:br/>
      </w:r>
      <w:r w:rsidRPr="004D3515">
        <w:rPr>
          <w:rFonts w:cs="Arial"/>
          <w:sz w:val="22"/>
          <w:szCs w:val="22"/>
        </w:rPr>
        <w:br/>
        <w:t xml:space="preserve">See the guidance in Regulatory Guide 8.36, “Radiation Dose to the Embryo/Fetus,” Regulatory Guide 8.13, “Instruction Concerning Prenatal Radiation Exposure,” and Regulatory Guide 8.34, “Monitoring Criteria and Methods to Calculate Occupational Radiation Doses. </w:t>
      </w:r>
    </w:p>
    <w:p w14:paraId="4DB947CF" w14:textId="77777777" w:rsidR="004D3515" w:rsidRPr="004D3515" w:rsidRDefault="004D3515"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5804B50D" w14:textId="3F64373D" w:rsidR="004D3515" w:rsidRDefault="004D3515" w:rsidP="00CA7A8A">
      <w:pPr>
        <w:widowControl/>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64D61">
        <w:rPr>
          <w:rFonts w:cs="Arial"/>
          <w:sz w:val="22"/>
          <w:szCs w:val="22"/>
        </w:rPr>
        <w:t>Dosimeter Placement and Assessment of Effective Dose Equivalent for External Exposures (EDEX)</w:t>
      </w:r>
      <w:r w:rsidRPr="00D64D61">
        <w:rPr>
          <w:rFonts w:cs="Arial"/>
          <w:sz w:val="22"/>
          <w:szCs w:val="22"/>
        </w:rPr>
        <w:br/>
      </w:r>
      <w:r w:rsidRPr="00D64D61">
        <w:rPr>
          <w:rFonts w:cs="Arial"/>
          <w:sz w:val="22"/>
          <w:szCs w:val="22"/>
        </w:rPr>
        <w:br/>
        <w:t xml:space="preserve">See the guidance on several NRC-approved methods for assessing EDEX contained in </w:t>
      </w:r>
      <w:r w:rsidRPr="00D64D61">
        <w:rPr>
          <w:rFonts w:cs="Arial"/>
          <w:sz w:val="22"/>
          <w:szCs w:val="22"/>
        </w:rPr>
        <w:lastRenderedPageBreak/>
        <w:t>Regulatory Issue Summary (RIS) 2003-04, “Use of the Effective Dose Equivalent in Place of the Deep Dose Equivalent in Dose Assessments,” dated February 13, 2003; RIS 2004-01, “Method for Estimating Effective Dose Equivalent from External Radiation Sources Using Two Dosimeters,” dated February 17, 2004; RIS 2009-09, “Use of Multiple Dosimetry and Compartment Factors in Determining Effective Dose Equivalent From External Radiation Exposures,” dated July 13, 2009; and Regulatory Guide 8.40, “Methods for Measuring Effective Dose Equivalent from External Exposure.”, dated July 2010</w:t>
      </w:r>
      <w:r w:rsidR="00770023" w:rsidRPr="00D64D61">
        <w:rPr>
          <w:rFonts w:cs="Arial"/>
          <w:sz w:val="22"/>
          <w:szCs w:val="22"/>
        </w:rPr>
        <w:t>.</w:t>
      </w:r>
    </w:p>
    <w:p w14:paraId="4D1A4631" w14:textId="77777777" w:rsidR="00122AD4" w:rsidRDefault="00122AD4" w:rsidP="00122AD4">
      <w:pPr>
        <w:pStyle w:val="ListParagraph"/>
        <w:rPr>
          <w:rFonts w:cs="Arial"/>
          <w:sz w:val="22"/>
          <w:szCs w:val="22"/>
        </w:rPr>
      </w:pPr>
    </w:p>
    <w:p w14:paraId="02B0A0ED" w14:textId="77FD65BC" w:rsidR="00122AD4" w:rsidRDefault="00122AD4" w:rsidP="00122AD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Pr>
          <w:rFonts w:cs="Arial"/>
          <w:sz w:val="22"/>
          <w:szCs w:val="22"/>
        </w:rPr>
        <w:t>1.</w:t>
      </w:r>
      <w:r>
        <w:rPr>
          <w:rFonts w:cs="Arial"/>
          <w:sz w:val="22"/>
          <w:szCs w:val="22"/>
        </w:rPr>
        <w:tab/>
        <w:t>No inspection guidance.</w:t>
      </w:r>
    </w:p>
    <w:p w14:paraId="495C60E1" w14:textId="77777777" w:rsidR="00122AD4" w:rsidRDefault="00122AD4" w:rsidP="00122AD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14:paraId="4F34E0DF" w14:textId="66A9E220" w:rsidR="00122AD4" w:rsidRDefault="00122AD4" w:rsidP="00122AD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Pr>
          <w:rFonts w:cs="Arial"/>
          <w:sz w:val="22"/>
          <w:szCs w:val="22"/>
        </w:rPr>
        <w:t>2.</w:t>
      </w:r>
      <w:r>
        <w:rPr>
          <w:rFonts w:cs="Arial"/>
          <w:sz w:val="22"/>
          <w:szCs w:val="22"/>
        </w:rPr>
        <w:tab/>
        <w:t>No inspection guidance.</w:t>
      </w:r>
    </w:p>
    <w:p w14:paraId="6F99499C" w14:textId="77777777" w:rsidR="00122AD4" w:rsidRDefault="00122AD4" w:rsidP="00122AD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14:paraId="1E54DA97" w14:textId="4D66339D" w:rsidR="00122AD4" w:rsidRPr="00D64D61" w:rsidRDefault="00122AD4" w:rsidP="00122AD4">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Pr>
          <w:rFonts w:cs="Arial"/>
          <w:sz w:val="22"/>
          <w:szCs w:val="22"/>
        </w:rPr>
        <w:t>3.</w:t>
      </w:r>
      <w:r>
        <w:rPr>
          <w:rFonts w:cs="Arial"/>
          <w:sz w:val="22"/>
          <w:szCs w:val="22"/>
        </w:rPr>
        <w:tab/>
        <w:t>No inspection guidance.</w:t>
      </w:r>
    </w:p>
    <w:p w14:paraId="344150F6" w14:textId="77777777" w:rsidR="00D64D61" w:rsidRPr="004D3515" w:rsidRDefault="00D64D61" w:rsidP="00F97A9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14:paraId="44EC3EA7" w14:textId="594BDCB5" w:rsidR="004D3515" w:rsidRPr="004D3515" w:rsidRDefault="004D3515" w:rsidP="00FD37D0">
      <w:pPr>
        <w:widowControl/>
        <w:numPr>
          <w:ilvl w:val="0"/>
          <w:numId w:val="4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46"/>
        <w:rPr>
          <w:rFonts w:cs="Arial"/>
          <w:sz w:val="22"/>
          <w:szCs w:val="22"/>
        </w:rPr>
      </w:pPr>
      <w:r w:rsidRPr="004D3515">
        <w:rPr>
          <w:rFonts w:cs="Arial"/>
          <w:sz w:val="22"/>
          <w:szCs w:val="22"/>
        </w:rPr>
        <w:t xml:space="preserve">Shallow Dose Equivalent </w:t>
      </w:r>
      <w:r w:rsidRPr="004D3515">
        <w:rPr>
          <w:rFonts w:cs="Arial"/>
          <w:sz w:val="22"/>
          <w:szCs w:val="22"/>
        </w:rPr>
        <w:br/>
      </w:r>
      <w:r w:rsidRPr="004D3515">
        <w:rPr>
          <w:rFonts w:cs="Arial"/>
          <w:sz w:val="22"/>
          <w:szCs w:val="22"/>
        </w:rPr>
        <w:br/>
        <w:t xml:space="preserve">SDE </w:t>
      </w:r>
      <w:r w:rsidR="000F1297">
        <w:rPr>
          <w:rFonts w:cs="Arial"/>
          <w:sz w:val="22"/>
          <w:szCs w:val="22"/>
        </w:rPr>
        <w:t>is</w:t>
      </w:r>
      <w:r w:rsidRPr="004D3515">
        <w:rPr>
          <w:rFonts w:cs="Arial"/>
          <w:sz w:val="22"/>
          <w:szCs w:val="22"/>
        </w:rPr>
        <w:t xml:space="preserve"> the dose averaged over the 10 square centimeters of skin r</w:t>
      </w:r>
      <w:r w:rsidR="00122AD4">
        <w:rPr>
          <w:rFonts w:cs="Arial"/>
          <w:sz w:val="22"/>
          <w:szCs w:val="22"/>
        </w:rPr>
        <w:t xml:space="preserve">eceiving the highest exposure.  </w:t>
      </w:r>
      <w:r w:rsidRPr="004D3515">
        <w:rPr>
          <w:rFonts w:cs="Arial"/>
          <w:sz w:val="22"/>
          <w:szCs w:val="22"/>
        </w:rPr>
        <w:t xml:space="preserve">This should combine contributions from distributed skin contamination, gamma contributions from clothing contamination (if significant), as well as Discrete Radioactive Particles (DRPs), into one dosimetric quantity.  If licensees are keeping track of DRP dose separately from SDE, then they are not meeting the intent of the 2002 rule change to SDE evaluation.  </w:t>
      </w:r>
      <w:r w:rsidRPr="00701008">
        <w:rPr>
          <w:rFonts w:cs="Arial"/>
          <w:sz w:val="22"/>
          <w:szCs w:val="22"/>
        </w:rPr>
        <w:t>See the Federal Register notice dated April 5, 2002 (67</w:t>
      </w:r>
      <w:r w:rsidR="00770023" w:rsidRPr="00701008">
        <w:rPr>
          <w:rFonts w:cs="Arial"/>
          <w:sz w:val="22"/>
          <w:szCs w:val="22"/>
        </w:rPr>
        <w:t xml:space="preserve"> </w:t>
      </w:r>
      <w:r w:rsidRPr="00701008">
        <w:rPr>
          <w:rFonts w:cs="Arial"/>
          <w:sz w:val="22"/>
          <w:szCs w:val="22"/>
        </w:rPr>
        <w:t>FR</w:t>
      </w:r>
      <w:r w:rsidR="00770023" w:rsidRPr="00701008">
        <w:rPr>
          <w:rFonts w:cs="Arial"/>
          <w:sz w:val="22"/>
          <w:szCs w:val="22"/>
        </w:rPr>
        <w:t xml:space="preserve"> </w:t>
      </w:r>
      <w:r w:rsidRPr="00701008">
        <w:rPr>
          <w:rFonts w:cs="Arial"/>
          <w:sz w:val="22"/>
          <w:szCs w:val="22"/>
        </w:rPr>
        <w:t>16304), for a more detailed discussion</w:t>
      </w:r>
      <w:r w:rsidRPr="004D3515">
        <w:rPr>
          <w:rFonts w:cs="Arial"/>
          <w:sz w:val="22"/>
          <w:szCs w:val="22"/>
        </w:rPr>
        <w:t>.</w:t>
      </w:r>
    </w:p>
    <w:p w14:paraId="362C6B9A" w14:textId="77777777" w:rsidR="004D3515" w:rsidRPr="004D3515" w:rsidRDefault="004D3515"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6128D21A" w14:textId="37B13BB6" w:rsidR="004D3515" w:rsidRDefault="000F1297" w:rsidP="00FD37D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r>
        <w:rPr>
          <w:rFonts w:cs="Arial"/>
          <w:sz w:val="22"/>
          <w:szCs w:val="22"/>
        </w:rPr>
        <w:t>Consider if</w:t>
      </w:r>
      <w:r w:rsidR="004D3515" w:rsidRPr="004D3515">
        <w:rPr>
          <w:rFonts w:cs="Arial"/>
          <w:sz w:val="22"/>
          <w:szCs w:val="22"/>
        </w:rPr>
        <w:t xml:space="preserve"> the licensee has established procedures for wound monitoring, and dose assessment from imbedded sources.  </w:t>
      </w:r>
      <w:r>
        <w:rPr>
          <w:rFonts w:cs="Arial"/>
          <w:sz w:val="22"/>
          <w:szCs w:val="22"/>
        </w:rPr>
        <w:t>Clear criteria should be</w:t>
      </w:r>
      <w:r w:rsidR="004D3515" w:rsidRPr="004D3515">
        <w:rPr>
          <w:rFonts w:cs="Arial"/>
          <w:sz w:val="22"/>
          <w:szCs w:val="22"/>
        </w:rPr>
        <w:t xml:space="preserve"> established for releasing from the site personnel with imbedded radioactive particles.</w:t>
      </w:r>
    </w:p>
    <w:p w14:paraId="2EE481C0" w14:textId="77777777" w:rsidR="00454B87" w:rsidRDefault="00454B87" w:rsidP="00FD37D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14:paraId="48928990" w14:textId="1E8255D1" w:rsidR="00AB3848" w:rsidRPr="004D3515" w:rsidRDefault="00400147" w:rsidP="00400147">
      <w:pPr>
        <w:widowControl/>
        <w:tabs>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r>
        <w:rPr>
          <w:rFonts w:cs="Arial"/>
          <w:sz w:val="22"/>
          <w:szCs w:val="22"/>
        </w:rPr>
        <w:t>d.</w:t>
      </w:r>
      <w:r>
        <w:rPr>
          <w:rFonts w:cs="Arial"/>
          <w:sz w:val="22"/>
          <w:szCs w:val="22"/>
        </w:rPr>
        <w:tab/>
      </w:r>
      <w:r w:rsidR="00AB3848" w:rsidRPr="004D3515">
        <w:rPr>
          <w:rFonts w:cs="Arial"/>
          <w:sz w:val="22"/>
          <w:szCs w:val="22"/>
        </w:rPr>
        <w:t>Neutron Dose Assessment</w:t>
      </w:r>
      <w:r w:rsidR="000B1790" w:rsidRPr="004D3515">
        <w:rPr>
          <w:rFonts w:cs="Arial"/>
          <w:sz w:val="22"/>
          <w:szCs w:val="22"/>
        </w:rPr>
        <w:br/>
      </w:r>
    </w:p>
    <w:p w14:paraId="43FB764B" w14:textId="04F5B552" w:rsidR="00454B87" w:rsidRDefault="00454B87" w:rsidP="008770E6">
      <w:pPr>
        <w:pStyle w:val="List-Num1"/>
        <w:widowControl/>
        <w:numPr>
          <w:ilvl w:val="0"/>
          <w:numId w:val="0"/>
        </w:numPr>
        <w:tabs>
          <w:tab w:val="clear" w:pos="12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720"/>
        <w:rPr>
          <w:rFonts w:cs="Arial"/>
          <w:sz w:val="22"/>
          <w:szCs w:val="22"/>
        </w:rPr>
      </w:pPr>
      <w:r>
        <w:rPr>
          <w:rFonts w:cs="Arial"/>
          <w:sz w:val="22"/>
          <w:szCs w:val="22"/>
        </w:rPr>
        <w:t>Situations to consider include independent spent fuel storage installation operations or at-power containment entries.</w:t>
      </w:r>
    </w:p>
    <w:p w14:paraId="20F5F191" w14:textId="77777777" w:rsidR="00454B87" w:rsidRDefault="00454B87" w:rsidP="008770E6">
      <w:pPr>
        <w:pStyle w:val="List-Num1"/>
        <w:widowControl/>
        <w:numPr>
          <w:ilvl w:val="0"/>
          <w:numId w:val="0"/>
        </w:numPr>
        <w:tabs>
          <w:tab w:val="clear" w:pos="12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720"/>
        <w:rPr>
          <w:rFonts w:cs="Arial"/>
          <w:sz w:val="22"/>
          <w:szCs w:val="22"/>
        </w:rPr>
      </w:pPr>
    </w:p>
    <w:p w14:paraId="3F138E75" w14:textId="3E477D0B" w:rsidR="000B1790" w:rsidRPr="004D3515" w:rsidRDefault="00101D99" w:rsidP="008770E6">
      <w:pPr>
        <w:pStyle w:val="List-Num1"/>
        <w:widowControl/>
        <w:numPr>
          <w:ilvl w:val="0"/>
          <w:numId w:val="0"/>
        </w:numPr>
        <w:tabs>
          <w:tab w:val="clear" w:pos="1260"/>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ind w:left="720"/>
        <w:rPr>
          <w:rFonts w:cs="Arial"/>
          <w:sz w:val="22"/>
          <w:szCs w:val="22"/>
        </w:rPr>
      </w:pPr>
      <w:r w:rsidRPr="004D3515">
        <w:rPr>
          <w:rFonts w:cs="Arial"/>
          <w:sz w:val="22"/>
          <w:szCs w:val="22"/>
        </w:rPr>
        <w:t>See g</w:t>
      </w:r>
      <w:r w:rsidR="00BD52C8" w:rsidRPr="004D3515">
        <w:rPr>
          <w:rFonts w:cs="Arial"/>
          <w:sz w:val="22"/>
          <w:szCs w:val="22"/>
        </w:rPr>
        <w:t xml:space="preserve">uidance </w:t>
      </w:r>
      <w:r w:rsidR="00FD77E9" w:rsidRPr="004D3515">
        <w:rPr>
          <w:rFonts w:cs="Arial"/>
          <w:sz w:val="22"/>
          <w:szCs w:val="22"/>
        </w:rPr>
        <w:t xml:space="preserve">on neutron dosimeters </w:t>
      </w:r>
      <w:r w:rsidR="00BD52C8" w:rsidRPr="004D3515">
        <w:rPr>
          <w:rFonts w:cs="Arial"/>
          <w:sz w:val="22"/>
          <w:szCs w:val="22"/>
        </w:rPr>
        <w:t>in</w:t>
      </w:r>
      <w:r w:rsidR="00DC789C" w:rsidRPr="004D3515">
        <w:rPr>
          <w:rFonts w:cs="Arial"/>
          <w:sz w:val="22"/>
          <w:szCs w:val="22"/>
        </w:rPr>
        <w:t xml:space="preserve"> </w:t>
      </w:r>
      <w:r w:rsidR="00BD52C8" w:rsidRPr="004D3515">
        <w:rPr>
          <w:rFonts w:cs="Arial"/>
          <w:sz w:val="22"/>
          <w:szCs w:val="22"/>
        </w:rPr>
        <w:t>ANSI N13.52</w:t>
      </w:r>
      <w:r w:rsidR="00554573" w:rsidRPr="004D3515">
        <w:rPr>
          <w:rFonts w:cs="Arial"/>
          <w:sz w:val="22"/>
          <w:szCs w:val="22"/>
        </w:rPr>
        <w:t>-1999</w:t>
      </w:r>
      <w:r w:rsidR="006F3C96" w:rsidRPr="004D3515">
        <w:rPr>
          <w:rFonts w:cs="Arial"/>
          <w:sz w:val="22"/>
          <w:szCs w:val="22"/>
        </w:rPr>
        <w:t xml:space="preserve"> (Reaffirmed August, 2010)</w:t>
      </w:r>
      <w:r w:rsidR="007C6A10" w:rsidRPr="004D3515">
        <w:rPr>
          <w:rFonts w:cs="Arial"/>
          <w:sz w:val="22"/>
          <w:szCs w:val="22"/>
        </w:rPr>
        <w:t>, “Personnel Neutron Dosimeters (Neutron Energies Less Than 20 MeV)</w:t>
      </w:r>
      <w:r w:rsidR="00DC789C" w:rsidRPr="004D3515">
        <w:rPr>
          <w:rFonts w:cs="Arial"/>
          <w:sz w:val="22"/>
          <w:szCs w:val="22"/>
        </w:rPr>
        <w:t>.</w:t>
      </w:r>
      <w:r w:rsidR="007C6A10" w:rsidRPr="004D3515">
        <w:rPr>
          <w:rFonts w:cs="Arial"/>
          <w:sz w:val="22"/>
          <w:szCs w:val="22"/>
        </w:rPr>
        <w:t>”</w:t>
      </w:r>
      <w:r w:rsidR="006D21D5" w:rsidRPr="004D3515">
        <w:rPr>
          <w:rFonts w:cs="Arial"/>
          <w:sz w:val="22"/>
          <w:szCs w:val="22"/>
        </w:rPr>
        <w:t xml:space="preserve"> </w:t>
      </w:r>
    </w:p>
    <w:p w14:paraId="5E6DFACD" w14:textId="77777777" w:rsidR="000F7352" w:rsidRPr="004D3515" w:rsidRDefault="000F7352"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1EC1EDF" w14:textId="520CE2C9" w:rsidR="002A430C" w:rsidRDefault="00400147" w:rsidP="0040014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r>
        <w:rPr>
          <w:rFonts w:cs="Arial"/>
          <w:sz w:val="22"/>
          <w:szCs w:val="22"/>
        </w:rPr>
        <w:t>e.</w:t>
      </w:r>
      <w:r>
        <w:rPr>
          <w:rFonts w:cs="Arial"/>
          <w:sz w:val="22"/>
          <w:szCs w:val="22"/>
        </w:rPr>
        <w:tab/>
      </w:r>
      <w:r w:rsidR="000B1790" w:rsidRPr="004D3515">
        <w:rPr>
          <w:rFonts w:cs="Arial"/>
          <w:sz w:val="22"/>
          <w:szCs w:val="22"/>
        </w:rPr>
        <w:t>Dose of Record</w:t>
      </w:r>
      <w:r w:rsidR="00DC0D91">
        <w:rPr>
          <w:rFonts w:cs="Arial"/>
          <w:sz w:val="22"/>
          <w:szCs w:val="22"/>
        </w:rPr>
        <w:t xml:space="preserve"> (DLR)</w:t>
      </w:r>
      <w:r w:rsidR="000B1790" w:rsidRPr="004D3515">
        <w:rPr>
          <w:rFonts w:cs="Arial"/>
          <w:sz w:val="22"/>
          <w:szCs w:val="22"/>
        </w:rPr>
        <w:t xml:space="preserve"> - </w:t>
      </w:r>
      <w:r w:rsidR="002A430C" w:rsidRPr="004D3515">
        <w:rPr>
          <w:rFonts w:cs="Arial"/>
          <w:sz w:val="22"/>
          <w:szCs w:val="22"/>
        </w:rPr>
        <w:t xml:space="preserve">This </w:t>
      </w:r>
      <w:r w:rsidR="002A430C">
        <w:rPr>
          <w:rFonts w:cs="Arial"/>
          <w:sz w:val="22"/>
          <w:szCs w:val="22"/>
        </w:rPr>
        <w:t xml:space="preserve">evaluation </w:t>
      </w:r>
      <w:r w:rsidR="002A430C" w:rsidRPr="004D3515">
        <w:rPr>
          <w:rFonts w:cs="Arial"/>
          <w:sz w:val="22"/>
          <w:szCs w:val="22"/>
        </w:rPr>
        <w:t>should include assessment of external and internal monitoring results, supplementary information on individual exposures (e.g., radiation incident investigation reports and skin contamination reports), and radiation surveys and/or air monitoring results when dosimetry is based on these techniques.</w:t>
      </w:r>
    </w:p>
    <w:p w14:paraId="36804611" w14:textId="77777777" w:rsidR="002A430C" w:rsidRDefault="002A430C" w:rsidP="0040014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r>
        <w:rPr>
          <w:rFonts w:cs="Arial"/>
          <w:sz w:val="22"/>
          <w:szCs w:val="22"/>
        </w:rPr>
        <w:tab/>
      </w:r>
      <w:r>
        <w:rPr>
          <w:rFonts w:cs="Arial"/>
          <w:sz w:val="22"/>
          <w:szCs w:val="22"/>
        </w:rPr>
        <w:tab/>
      </w:r>
    </w:p>
    <w:p w14:paraId="35BC96F2" w14:textId="1812A339" w:rsidR="00E663E4" w:rsidRDefault="002A430C" w:rsidP="0040014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r>
        <w:rPr>
          <w:rFonts w:cs="Arial"/>
          <w:sz w:val="22"/>
          <w:szCs w:val="22"/>
        </w:rPr>
        <w:tab/>
      </w:r>
      <w:r>
        <w:rPr>
          <w:rFonts w:cs="Arial"/>
          <w:sz w:val="22"/>
          <w:szCs w:val="22"/>
        </w:rPr>
        <w:tab/>
      </w:r>
      <w:r w:rsidR="009E308C" w:rsidRPr="004D3515">
        <w:rPr>
          <w:rFonts w:cs="Arial"/>
          <w:sz w:val="22"/>
          <w:szCs w:val="22"/>
        </w:rPr>
        <w:t>See g</w:t>
      </w:r>
      <w:r w:rsidR="00BD52C8" w:rsidRPr="004D3515">
        <w:rPr>
          <w:rFonts w:cs="Arial"/>
          <w:sz w:val="22"/>
          <w:szCs w:val="22"/>
        </w:rPr>
        <w:t>uidance in</w:t>
      </w:r>
      <w:r w:rsidR="0048453A" w:rsidRPr="004D3515">
        <w:rPr>
          <w:rFonts w:cs="Arial"/>
          <w:sz w:val="22"/>
          <w:szCs w:val="22"/>
        </w:rPr>
        <w:t xml:space="preserve"> </w:t>
      </w:r>
      <w:r w:rsidR="00950025" w:rsidRPr="004D3515">
        <w:rPr>
          <w:rFonts w:cs="Arial"/>
          <w:sz w:val="22"/>
          <w:szCs w:val="22"/>
        </w:rPr>
        <w:t xml:space="preserve">Regulatory Guide 8.7, “Instructions for Recording and Reporting Occupational Radiation Exposure Data” and </w:t>
      </w:r>
      <w:r w:rsidR="0048453A" w:rsidRPr="004D3515">
        <w:rPr>
          <w:rFonts w:cs="Arial"/>
          <w:sz w:val="22"/>
          <w:szCs w:val="22"/>
        </w:rPr>
        <w:t>ANSI N13.6-</w:t>
      </w:r>
      <w:r w:rsidR="004D3515" w:rsidRPr="004D3515">
        <w:rPr>
          <w:rFonts w:cs="Arial"/>
          <w:sz w:val="22"/>
          <w:szCs w:val="22"/>
        </w:rPr>
        <w:t>2010</w:t>
      </w:r>
      <w:r w:rsidR="0048453A" w:rsidRPr="004D3515">
        <w:rPr>
          <w:rFonts w:cs="Arial"/>
          <w:sz w:val="22"/>
          <w:szCs w:val="22"/>
        </w:rPr>
        <w:t xml:space="preserve">, </w:t>
      </w:r>
      <w:r w:rsidR="009E308C" w:rsidRPr="004D3515">
        <w:rPr>
          <w:rFonts w:cs="Arial"/>
          <w:sz w:val="22"/>
          <w:szCs w:val="22"/>
        </w:rPr>
        <w:t>“</w:t>
      </w:r>
      <w:r w:rsidR="0048453A" w:rsidRPr="004D3515">
        <w:rPr>
          <w:rFonts w:cs="Arial"/>
          <w:sz w:val="22"/>
          <w:szCs w:val="22"/>
        </w:rPr>
        <w:t>Practice for Occupational Radiation Exposure Records Systems.</w:t>
      </w:r>
      <w:r w:rsidR="009E308C" w:rsidRPr="004D3515">
        <w:rPr>
          <w:rFonts w:cs="Arial"/>
          <w:sz w:val="22"/>
          <w:szCs w:val="22"/>
        </w:rPr>
        <w:t>”</w:t>
      </w:r>
    </w:p>
    <w:p w14:paraId="5D26112E" w14:textId="77777777" w:rsidR="002A430C" w:rsidRDefault="002A430C" w:rsidP="0040014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50"/>
        <w:rPr>
          <w:rFonts w:cs="Arial"/>
          <w:sz w:val="22"/>
          <w:szCs w:val="22"/>
        </w:rPr>
      </w:pPr>
    </w:p>
    <w:p w14:paraId="20C77970" w14:textId="41BD437B" w:rsidR="00B5410F" w:rsidRPr="00D32091" w:rsidRDefault="003904C6" w:rsidP="00D32091">
      <w:pPr>
        <w:pStyle w:val="ListParagraph"/>
        <w:widowControl/>
        <w:numPr>
          <w:ilvl w:val="1"/>
          <w:numId w:val="51"/>
        </w:numPr>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32091">
        <w:rPr>
          <w:rFonts w:cs="Arial"/>
          <w:sz w:val="22"/>
          <w:szCs w:val="22"/>
          <w:u w:val="single"/>
        </w:rPr>
        <w:t>Problem Identification and Resolutio</w:t>
      </w:r>
      <w:r w:rsidR="00701008" w:rsidRPr="00D32091">
        <w:rPr>
          <w:rFonts w:cs="Arial"/>
          <w:sz w:val="22"/>
          <w:szCs w:val="22"/>
          <w:u w:val="single"/>
        </w:rPr>
        <w:t>n</w:t>
      </w:r>
    </w:p>
    <w:p w14:paraId="3798E254" w14:textId="77777777" w:rsidR="009F4514" w:rsidRPr="004D3515" w:rsidRDefault="009F451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ABB969" w14:textId="03B0807A" w:rsidR="00454B87" w:rsidRPr="00454B87" w:rsidRDefault="004E4128" w:rsidP="004E4128">
      <w:pPr>
        <w:ind w:left="720"/>
      </w:pPr>
      <w:r w:rsidRPr="004E4128">
        <w:rPr>
          <w:sz w:val="22"/>
          <w:szCs w:val="22"/>
        </w:rPr>
        <w:t>Per IP 71152, it is expected that routine reviews of PI&amp;R activities should equate to</w:t>
      </w:r>
      <w:r>
        <w:rPr>
          <w:sz w:val="22"/>
          <w:szCs w:val="22"/>
        </w:rPr>
        <w:t xml:space="preserve"> </w:t>
      </w:r>
      <w:r w:rsidRPr="004E4128">
        <w:rPr>
          <w:sz w:val="22"/>
          <w:szCs w:val="22"/>
        </w:rPr>
        <w:t xml:space="preserve">approximately 10 to 15 percent of the resources estimated for the associated baseline </w:t>
      </w:r>
      <w:r>
        <w:rPr>
          <w:sz w:val="22"/>
          <w:szCs w:val="22"/>
        </w:rPr>
        <w:t xml:space="preserve"> </w:t>
      </w:r>
      <w:r w:rsidRPr="004E4128">
        <w:rPr>
          <w:sz w:val="22"/>
          <w:szCs w:val="22"/>
        </w:rPr>
        <w:t xml:space="preserve">ornerstone procedures, this is a general estimate only based on the overall effort </w:t>
      </w:r>
      <w:r w:rsidRPr="004E4128">
        <w:rPr>
          <w:sz w:val="22"/>
          <w:szCs w:val="22"/>
        </w:rPr>
        <w:lastRenderedPageBreak/>
        <w:t>expected to be expended in each strategic performance area.  It is anticipated that the actual hours required to be expended may vary significantly from attachment to attachment, depending on the nature and complexity of the issues that arise at the particular facility.  Overall, an effort should be made to remain within the 10 to 15 percent estimate on a strategic performance area basis.  Inspection time spent assessing PI&amp;R as part of the baseline procedure attachments should be charged to the corresponding baseline procedure.</w:t>
      </w:r>
    </w:p>
    <w:p w14:paraId="53AE2E95" w14:textId="77777777" w:rsidR="00A832D4" w:rsidRDefault="00A832D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p>
    <w:p w14:paraId="7868F243" w14:textId="77777777" w:rsidR="002A430C" w:rsidRPr="004D3515" w:rsidRDefault="002A430C"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p>
    <w:p w14:paraId="5C3DE863" w14:textId="702EAA39" w:rsidR="00734788" w:rsidRPr="004D3515" w:rsidRDefault="00B5410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r w:rsidRPr="004D3515">
        <w:rPr>
          <w:rFonts w:cs="Arial"/>
          <w:sz w:val="22"/>
          <w:szCs w:val="22"/>
        </w:rPr>
        <w:t>7112</w:t>
      </w:r>
      <w:r w:rsidR="003C0A00" w:rsidRPr="004D3515">
        <w:rPr>
          <w:rFonts w:cs="Arial"/>
          <w:sz w:val="22"/>
          <w:szCs w:val="22"/>
        </w:rPr>
        <w:t>4</w:t>
      </w:r>
      <w:r w:rsidRPr="004D3515">
        <w:rPr>
          <w:rFonts w:cs="Arial"/>
          <w:sz w:val="22"/>
          <w:szCs w:val="22"/>
        </w:rPr>
        <w:t>.04-</w:t>
      </w:r>
      <w:r w:rsidR="0078007D" w:rsidRPr="004D3515">
        <w:rPr>
          <w:rFonts w:cs="Arial"/>
          <w:sz w:val="22"/>
          <w:szCs w:val="22"/>
        </w:rPr>
        <w:t>04</w:t>
      </w:r>
      <w:r w:rsidR="00734788" w:rsidRPr="004D3515">
        <w:rPr>
          <w:rFonts w:cs="Arial"/>
          <w:sz w:val="22"/>
          <w:szCs w:val="22"/>
        </w:rPr>
        <w:tab/>
        <w:t>RESOURCE ESTIMATE</w:t>
      </w:r>
    </w:p>
    <w:p w14:paraId="4E090B23" w14:textId="77777777" w:rsidR="00734788"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BFD0A24" w14:textId="2EF73E25" w:rsidR="00734788" w:rsidRPr="004D3515" w:rsidRDefault="00734788" w:rsidP="00CD0296">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For planning purposes</w:t>
      </w:r>
      <w:r w:rsidR="009E308C" w:rsidRPr="004D3515">
        <w:rPr>
          <w:rFonts w:cs="Arial"/>
          <w:sz w:val="22"/>
          <w:szCs w:val="22"/>
        </w:rPr>
        <w:t>,</w:t>
      </w:r>
      <w:r w:rsidRPr="004D3515">
        <w:rPr>
          <w:rFonts w:cs="Arial"/>
          <w:sz w:val="22"/>
          <w:szCs w:val="22"/>
        </w:rPr>
        <w:t xml:space="preserve"> it is estimated to take </w:t>
      </w:r>
      <w:r w:rsidR="00E05A13" w:rsidRPr="004D3515">
        <w:rPr>
          <w:rFonts w:cs="Arial"/>
          <w:sz w:val="22"/>
          <w:szCs w:val="22"/>
        </w:rPr>
        <w:t>20</w:t>
      </w:r>
      <w:r w:rsidR="009E308C" w:rsidRPr="004D3515">
        <w:rPr>
          <w:rFonts w:cs="Arial"/>
          <w:sz w:val="22"/>
          <w:szCs w:val="22"/>
        </w:rPr>
        <w:t> </w:t>
      </w:r>
      <w:r w:rsidRPr="004D3515">
        <w:rPr>
          <w:rFonts w:cs="Arial"/>
          <w:sz w:val="22"/>
          <w:szCs w:val="22"/>
        </w:rPr>
        <w:t xml:space="preserve">hours, on average (with a range of </w:t>
      </w:r>
      <w:r w:rsidR="001B2E8E" w:rsidRPr="004D3515">
        <w:rPr>
          <w:rFonts w:cs="Arial"/>
          <w:sz w:val="22"/>
          <w:szCs w:val="22"/>
        </w:rPr>
        <w:t>1</w:t>
      </w:r>
      <w:r w:rsidR="004D3515" w:rsidRPr="004D3515">
        <w:rPr>
          <w:rFonts w:cs="Arial"/>
          <w:sz w:val="22"/>
          <w:szCs w:val="22"/>
        </w:rPr>
        <w:t>6</w:t>
      </w:r>
      <w:r w:rsidR="005346B4" w:rsidRPr="004D3515">
        <w:rPr>
          <w:rFonts w:cs="Arial"/>
          <w:sz w:val="22"/>
          <w:szCs w:val="22"/>
        </w:rPr>
        <w:t> </w:t>
      </w:r>
      <w:r w:rsidRPr="004D3515">
        <w:rPr>
          <w:rFonts w:cs="Arial"/>
          <w:sz w:val="22"/>
          <w:szCs w:val="22"/>
        </w:rPr>
        <w:t xml:space="preserve">to </w:t>
      </w:r>
      <w:r w:rsidR="00E05A13" w:rsidRPr="004D3515">
        <w:rPr>
          <w:rFonts w:cs="Arial"/>
          <w:sz w:val="22"/>
          <w:szCs w:val="22"/>
        </w:rPr>
        <w:t>2</w:t>
      </w:r>
      <w:r w:rsidR="004D3515" w:rsidRPr="004D3515">
        <w:rPr>
          <w:rFonts w:cs="Arial"/>
          <w:sz w:val="22"/>
          <w:szCs w:val="22"/>
        </w:rPr>
        <w:t>4</w:t>
      </w:r>
      <w:r w:rsidR="009E308C" w:rsidRPr="004D3515">
        <w:rPr>
          <w:rFonts w:cs="Arial"/>
          <w:sz w:val="22"/>
          <w:szCs w:val="22"/>
        </w:rPr>
        <w:t> </w:t>
      </w:r>
      <w:r w:rsidRPr="004D3515">
        <w:rPr>
          <w:rFonts w:cs="Arial"/>
          <w:sz w:val="22"/>
          <w:szCs w:val="22"/>
        </w:rPr>
        <w:t>hours) to perform the requirements of this attachment.</w:t>
      </w:r>
    </w:p>
    <w:p w14:paraId="457AEB68" w14:textId="77777777" w:rsidR="00734788"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7A5D6F1" w14:textId="77777777" w:rsidR="00734788"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0338D14" w14:textId="494542F2" w:rsidR="0033571D"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r w:rsidRPr="004D3515">
        <w:rPr>
          <w:rFonts w:cs="Arial"/>
          <w:sz w:val="22"/>
          <w:szCs w:val="22"/>
        </w:rPr>
        <w:t>7112</w:t>
      </w:r>
      <w:r w:rsidR="003C0A00" w:rsidRPr="004D3515">
        <w:rPr>
          <w:rFonts w:cs="Arial"/>
          <w:sz w:val="22"/>
          <w:szCs w:val="22"/>
        </w:rPr>
        <w:t>4</w:t>
      </w:r>
      <w:r w:rsidRPr="004D3515">
        <w:rPr>
          <w:rFonts w:cs="Arial"/>
          <w:sz w:val="22"/>
          <w:szCs w:val="22"/>
        </w:rPr>
        <w:t>.0</w:t>
      </w:r>
      <w:r w:rsidR="00A832D4" w:rsidRPr="004D3515">
        <w:rPr>
          <w:rFonts w:cs="Arial"/>
          <w:sz w:val="22"/>
          <w:szCs w:val="22"/>
        </w:rPr>
        <w:t>4</w:t>
      </w:r>
      <w:r w:rsidRPr="004D3515">
        <w:rPr>
          <w:rFonts w:cs="Arial"/>
          <w:sz w:val="22"/>
          <w:szCs w:val="22"/>
        </w:rPr>
        <w:t>-</w:t>
      </w:r>
      <w:r w:rsidR="0078007D" w:rsidRPr="004D3515">
        <w:rPr>
          <w:rFonts w:cs="Arial"/>
          <w:sz w:val="22"/>
          <w:szCs w:val="22"/>
        </w:rPr>
        <w:t>05</w:t>
      </w:r>
      <w:r w:rsidRPr="004D3515">
        <w:rPr>
          <w:rFonts w:cs="Arial"/>
          <w:sz w:val="22"/>
          <w:szCs w:val="22"/>
        </w:rPr>
        <w:tab/>
        <w:t>COMPLETION STATUS</w:t>
      </w:r>
      <w:r w:rsidR="008D5D1A" w:rsidRPr="004D3515">
        <w:rPr>
          <w:rFonts w:cs="Arial"/>
          <w:sz w:val="22"/>
          <w:szCs w:val="22"/>
        </w:rPr>
        <w:t xml:space="preserve"> </w:t>
      </w:r>
    </w:p>
    <w:p w14:paraId="64B81493" w14:textId="77777777" w:rsidR="0033571D" w:rsidRPr="004D3515" w:rsidRDefault="0033571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0" w:hanging="2040"/>
        <w:rPr>
          <w:rFonts w:cs="Arial"/>
          <w:sz w:val="22"/>
          <w:szCs w:val="22"/>
        </w:rPr>
      </w:pPr>
    </w:p>
    <w:p w14:paraId="67DBC7E3" w14:textId="437A5665" w:rsidR="004306E7" w:rsidRDefault="009F4514" w:rsidP="00CD0296">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77134">
        <w:rPr>
          <w:rFonts w:cs="Arial"/>
          <w:sz w:val="22"/>
          <w:szCs w:val="22"/>
        </w:rPr>
        <w:t xml:space="preserve">Inspection of the minimum sample size will constitute completion of this procedure in the RPS. </w:t>
      </w:r>
      <w:r w:rsidR="009E308C" w:rsidRPr="00A77134">
        <w:rPr>
          <w:rFonts w:cs="Arial"/>
          <w:sz w:val="22"/>
          <w:szCs w:val="22"/>
        </w:rPr>
        <w:t xml:space="preserve"> </w:t>
      </w:r>
      <w:r w:rsidR="00446BC6" w:rsidRPr="00A77134">
        <w:rPr>
          <w:rFonts w:cs="Arial"/>
          <w:sz w:val="22"/>
          <w:szCs w:val="22"/>
        </w:rPr>
        <w:t xml:space="preserve">The minimum sample size for this attachment is </w:t>
      </w:r>
      <w:r w:rsidR="003C30E1" w:rsidRPr="00A77134">
        <w:rPr>
          <w:rFonts w:cs="Arial"/>
          <w:sz w:val="22"/>
          <w:szCs w:val="22"/>
        </w:rPr>
        <w:t>four</w:t>
      </w:r>
      <w:r w:rsidR="00446BC6" w:rsidRPr="00A77134">
        <w:rPr>
          <w:rFonts w:cs="Arial"/>
          <w:sz w:val="22"/>
          <w:szCs w:val="22"/>
        </w:rPr>
        <w:t xml:space="preserve">, </w:t>
      </w:r>
      <w:r w:rsidR="003C30E1" w:rsidRPr="00A77134">
        <w:rPr>
          <w:rFonts w:cs="Arial"/>
          <w:sz w:val="22"/>
          <w:szCs w:val="22"/>
        </w:rPr>
        <w:t>defined as the completion of the activities contained in sections 02.01</w:t>
      </w:r>
      <w:r w:rsidR="00FF4CE7" w:rsidRPr="00A77134">
        <w:rPr>
          <w:rFonts w:cs="Arial"/>
          <w:sz w:val="22"/>
          <w:szCs w:val="22"/>
        </w:rPr>
        <w:t xml:space="preserve"> through</w:t>
      </w:r>
      <w:r w:rsidR="003C30E1" w:rsidRPr="00A77134">
        <w:rPr>
          <w:rFonts w:cs="Arial"/>
          <w:sz w:val="22"/>
          <w:szCs w:val="22"/>
        </w:rPr>
        <w:t xml:space="preserve"> 02.04.</w:t>
      </w:r>
      <w:r w:rsidR="00446BC6" w:rsidRPr="00A77134">
        <w:rPr>
          <w:rFonts w:cs="Arial"/>
          <w:sz w:val="22"/>
          <w:szCs w:val="22"/>
        </w:rPr>
        <w:t xml:space="preserve">  </w:t>
      </w:r>
    </w:p>
    <w:p w14:paraId="38453339" w14:textId="77777777" w:rsidR="004306E7" w:rsidRDefault="004306E7" w:rsidP="008770E6">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 w:val="22"/>
          <w:szCs w:val="22"/>
        </w:rPr>
      </w:pPr>
    </w:p>
    <w:p w14:paraId="04FA4337" w14:textId="475132E3" w:rsidR="00734788" w:rsidRPr="004D3515" w:rsidRDefault="00872BC0" w:rsidP="00CD0296">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81BC6">
        <w:rPr>
          <w:rFonts w:cs="Arial"/>
          <w:sz w:val="22"/>
          <w:szCs w:val="22"/>
        </w:rPr>
        <w:t xml:space="preserve">If </w:t>
      </w:r>
      <w:r>
        <w:rPr>
          <w:rFonts w:cs="Arial"/>
          <w:sz w:val="22"/>
          <w:szCs w:val="22"/>
        </w:rPr>
        <w:t xml:space="preserve">any </w:t>
      </w:r>
      <w:r w:rsidRPr="00F81BC6">
        <w:rPr>
          <w:rFonts w:cs="Arial"/>
          <w:sz w:val="22"/>
          <w:szCs w:val="22"/>
        </w:rPr>
        <w:t xml:space="preserve">of the </w:t>
      </w:r>
      <w:r>
        <w:rPr>
          <w:rFonts w:cs="Arial"/>
          <w:sz w:val="22"/>
          <w:szCs w:val="22"/>
        </w:rPr>
        <w:t xml:space="preserve">sample inspection requirements </w:t>
      </w:r>
      <w:r w:rsidRPr="00F81BC6">
        <w:rPr>
          <w:rFonts w:cs="Arial"/>
          <w:sz w:val="22"/>
          <w:szCs w:val="22"/>
        </w:rPr>
        <w:t xml:space="preserve">cannot be </w:t>
      </w:r>
      <w:r>
        <w:rPr>
          <w:rFonts w:cs="Arial"/>
          <w:sz w:val="22"/>
          <w:szCs w:val="22"/>
        </w:rPr>
        <w:t xml:space="preserve">completed, </w:t>
      </w:r>
      <w:r w:rsidRPr="00F81BC6">
        <w:rPr>
          <w:rFonts w:cs="Arial"/>
          <w:sz w:val="22"/>
          <w:szCs w:val="22"/>
        </w:rPr>
        <w:t xml:space="preserve">the procedure should be closed </w:t>
      </w:r>
      <w:r>
        <w:rPr>
          <w:rFonts w:cs="Arial"/>
          <w:sz w:val="22"/>
          <w:szCs w:val="22"/>
        </w:rPr>
        <w:t xml:space="preserve">in accordance with </w:t>
      </w:r>
      <w:r w:rsidRPr="00972638">
        <w:rPr>
          <w:rFonts w:cs="Arial"/>
          <w:sz w:val="22"/>
          <w:szCs w:val="22"/>
        </w:rPr>
        <w:t>IMC 0306, “</w:t>
      </w:r>
      <w:r>
        <w:rPr>
          <w:rFonts w:cs="Arial"/>
          <w:sz w:val="22"/>
          <w:szCs w:val="22"/>
        </w:rPr>
        <w:t>Planning, Tracking and Reporting of the Reactor oversight Process (ROP).”  For example, i</w:t>
      </w:r>
      <w:r w:rsidRPr="00972638">
        <w:rPr>
          <w:rFonts w:cs="Arial"/>
          <w:sz w:val="22"/>
          <w:szCs w:val="22"/>
        </w:rPr>
        <w:t xml:space="preserve">f certain steps could not be completed due to sample unavailability, the procedure </w:t>
      </w:r>
      <w:r w:rsidR="00581E56">
        <w:rPr>
          <w:rFonts w:cs="Arial"/>
          <w:sz w:val="22"/>
          <w:szCs w:val="22"/>
        </w:rPr>
        <w:t xml:space="preserve">attachment </w:t>
      </w:r>
      <w:r w:rsidRPr="00972638">
        <w:rPr>
          <w:rFonts w:cs="Arial"/>
          <w:sz w:val="22"/>
          <w:szCs w:val="22"/>
        </w:rPr>
        <w:t>should be declared “</w:t>
      </w:r>
      <w:r w:rsidR="00581E56">
        <w:rPr>
          <w:rFonts w:cs="Arial"/>
          <w:sz w:val="22"/>
          <w:szCs w:val="22"/>
        </w:rPr>
        <w:t>C</w:t>
      </w:r>
      <w:r w:rsidRPr="00972638">
        <w:rPr>
          <w:rFonts w:cs="Arial"/>
          <w:sz w:val="22"/>
          <w:szCs w:val="22"/>
        </w:rPr>
        <w:t>omplete – full sample not available” with a comment addressing the specific steps or activities that could not be completed.</w:t>
      </w:r>
    </w:p>
    <w:p w14:paraId="0FF15978" w14:textId="77777777" w:rsidR="00444C10" w:rsidRPr="004D3515" w:rsidRDefault="00444C10"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390204D2"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87ECCCF" w14:textId="1A83EAD2" w:rsidR="00BD16F2" w:rsidRPr="004D3515" w:rsidRDefault="00734788"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4D3515">
        <w:rPr>
          <w:rFonts w:cs="Arial"/>
          <w:sz w:val="22"/>
          <w:szCs w:val="22"/>
        </w:rPr>
        <w:t>END</w:t>
      </w: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p>
    <w:p w14:paraId="6409E06F" w14:textId="77777777" w:rsidR="00BD16F2" w:rsidRPr="004D3515" w:rsidRDefault="00BD16F2"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BD16F2" w:rsidRPr="004D3515" w:rsidSect="00A603FD">
          <w:footerReference w:type="even" r:id="rId11"/>
          <w:footerReference w:type="default" r:id="rId12"/>
          <w:pgSz w:w="12240" w:h="15840" w:code="1"/>
          <w:pgMar w:top="1440" w:right="1440" w:bottom="1440" w:left="1440" w:header="720" w:footer="720" w:gutter="0"/>
          <w:cols w:space="720"/>
          <w:noEndnote/>
          <w:docGrid w:linePitch="326"/>
        </w:sectPr>
      </w:pPr>
    </w:p>
    <w:p w14:paraId="5A3681FA" w14:textId="5E8EE280" w:rsidR="007E1FD1" w:rsidRPr="004D3515" w:rsidRDefault="00BD16F2" w:rsidP="00BD16F2">
      <w:pPr>
        <w:pStyle w:val="AppendixTitle"/>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D3515">
        <w:rPr>
          <w:sz w:val="22"/>
          <w:szCs w:val="22"/>
        </w:rPr>
        <w:lastRenderedPageBreak/>
        <w:t>Attachment 1 – R</w:t>
      </w:r>
      <w:r w:rsidR="007E1FD1" w:rsidRPr="004D3515">
        <w:rPr>
          <w:sz w:val="22"/>
          <w:szCs w:val="22"/>
        </w:rPr>
        <w:t xml:space="preserve">evision History </w:t>
      </w:r>
      <w:bookmarkEnd w:id="1"/>
      <w:bookmarkEnd w:id="2"/>
      <w:bookmarkEnd w:id="3"/>
      <w:bookmarkEnd w:id="4"/>
      <w:bookmarkEnd w:id="5"/>
      <w:bookmarkEnd w:id="6"/>
      <w:bookmarkEnd w:id="7"/>
      <w:bookmarkEnd w:id="8"/>
      <w:bookmarkEnd w:id="9"/>
      <w:r w:rsidR="007E1FD1" w:rsidRPr="004D3515">
        <w:rPr>
          <w:sz w:val="22"/>
          <w:szCs w:val="22"/>
        </w:rPr>
        <w:t>for</w:t>
      </w:r>
      <w:r w:rsidRPr="004D3515">
        <w:rPr>
          <w:sz w:val="22"/>
          <w:szCs w:val="22"/>
        </w:rPr>
        <w:t xml:space="preserve"> </w:t>
      </w:r>
      <w:r w:rsidR="009E308C" w:rsidRPr="004D3515">
        <w:rPr>
          <w:sz w:val="22"/>
          <w:szCs w:val="22"/>
        </w:rPr>
        <w:t>IP 71124.04</w:t>
      </w:r>
    </w:p>
    <w:p w14:paraId="36700560" w14:textId="77777777" w:rsidR="000345F6" w:rsidRPr="004D3515" w:rsidRDefault="000345F6" w:rsidP="00276C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4382B0DB" w14:textId="77777777" w:rsidR="00BD16F2" w:rsidRPr="004D3515" w:rsidRDefault="00BD16F2" w:rsidP="00BD16F2">
      <w:pPr>
        <w:spacing w:line="240" w:lineRule="exact"/>
        <w:jc w:val="center"/>
        <w:outlineLvl w:val="1"/>
        <w:rPr>
          <w:rFonts w:cs="Arial"/>
          <w:sz w:val="22"/>
          <w:szCs w:val="22"/>
        </w:rPr>
      </w:pPr>
    </w:p>
    <w:tbl>
      <w:tblPr>
        <w:tblW w:w="13551" w:type="dxa"/>
        <w:tblInd w:w="120" w:type="dxa"/>
        <w:tblLayout w:type="fixed"/>
        <w:tblCellMar>
          <w:left w:w="120" w:type="dxa"/>
          <w:right w:w="120" w:type="dxa"/>
        </w:tblCellMar>
        <w:tblLook w:val="0020" w:firstRow="1" w:lastRow="0" w:firstColumn="0" w:lastColumn="0" w:noHBand="0" w:noVBand="0"/>
      </w:tblPr>
      <w:tblGrid>
        <w:gridCol w:w="1491"/>
        <w:gridCol w:w="1890"/>
        <w:gridCol w:w="4860"/>
        <w:gridCol w:w="2430"/>
        <w:gridCol w:w="2880"/>
      </w:tblGrid>
      <w:tr w:rsidR="00BD16F2" w:rsidRPr="004D3515" w14:paraId="232558A0" w14:textId="77777777" w:rsidTr="00261829">
        <w:trPr>
          <w:tblHeader/>
        </w:trPr>
        <w:tc>
          <w:tcPr>
            <w:tcW w:w="1491" w:type="dxa"/>
            <w:tcBorders>
              <w:top w:val="single" w:sz="7" w:space="0" w:color="000000"/>
              <w:left w:val="single" w:sz="7" w:space="0" w:color="000000"/>
              <w:bottom w:val="single" w:sz="7" w:space="0" w:color="000000"/>
              <w:right w:val="single" w:sz="7" w:space="0" w:color="000000"/>
            </w:tcBorders>
          </w:tcPr>
          <w:p w14:paraId="07C7A644" w14:textId="77777777" w:rsidR="00BD16F2" w:rsidRPr="004D3515" w:rsidRDefault="00BD16F2" w:rsidP="00E663E4">
            <w:pPr>
              <w:outlineLvl w:val="1"/>
              <w:rPr>
                <w:rFonts w:cs="Arial"/>
                <w:sz w:val="22"/>
                <w:szCs w:val="22"/>
              </w:rPr>
            </w:pPr>
            <w:r w:rsidRPr="004D3515">
              <w:rPr>
                <w:rFonts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14236FA" w14:textId="77777777" w:rsidR="00BD16F2" w:rsidRPr="004D3515" w:rsidRDefault="00BD16F2" w:rsidP="00E663E4">
            <w:pPr>
              <w:jc w:val="center"/>
              <w:outlineLvl w:val="1"/>
              <w:rPr>
                <w:rFonts w:cs="Arial"/>
                <w:sz w:val="22"/>
                <w:szCs w:val="22"/>
              </w:rPr>
            </w:pPr>
            <w:r w:rsidRPr="004D3515">
              <w:rPr>
                <w:rFonts w:cs="Arial"/>
                <w:sz w:val="22"/>
                <w:szCs w:val="22"/>
              </w:rPr>
              <w:t>Accession Number</w:t>
            </w:r>
          </w:p>
          <w:p w14:paraId="3443D81B" w14:textId="77777777" w:rsidR="00BD16F2" w:rsidRPr="004D3515" w:rsidRDefault="00BD16F2" w:rsidP="00E663E4">
            <w:pPr>
              <w:jc w:val="center"/>
              <w:outlineLvl w:val="1"/>
              <w:rPr>
                <w:rFonts w:cs="Arial"/>
                <w:sz w:val="22"/>
                <w:szCs w:val="22"/>
              </w:rPr>
            </w:pPr>
            <w:r w:rsidRPr="004D3515">
              <w:rPr>
                <w:rFonts w:cs="Arial"/>
                <w:sz w:val="22"/>
                <w:szCs w:val="22"/>
              </w:rPr>
              <w:t>Issue Date</w:t>
            </w:r>
          </w:p>
          <w:p w14:paraId="29C661FF" w14:textId="77777777" w:rsidR="00BD16F2" w:rsidRPr="004D3515" w:rsidRDefault="00BD16F2" w:rsidP="00E663E4">
            <w:pPr>
              <w:jc w:val="center"/>
              <w:outlineLvl w:val="1"/>
              <w:rPr>
                <w:rFonts w:cs="Arial"/>
                <w:sz w:val="22"/>
                <w:szCs w:val="22"/>
              </w:rPr>
            </w:pPr>
            <w:r w:rsidRPr="004D3515">
              <w:rPr>
                <w:rFonts w:cs="Arial"/>
                <w:sz w:val="22"/>
                <w:szCs w:val="22"/>
              </w:rPr>
              <w:t>Change Notice</w:t>
            </w:r>
          </w:p>
        </w:tc>
        <w:tc>
          <w:tcPr>
            <w:tcW w:w="4860" w:type="dxa"/>
            <w:tcBorders>
              <w:top w:val="single" w:sz="7" w:space="0" w:color="000000"/>
              <w:left w:val="single" w:sz="7" w:space="0" w:color="000000"/>
              <w:bottom w:val="single" w:sz="7" w:space="0" w:color="000000"/>
              <w:right w:val="single" w:sz="7" w:space="0" w:color="000000"/>
            </w:tcBorders>
          </w:tcPr>
          <w:p w14:paraId="3AAA337A" w14:textId="77777777" w:rsidR="00BD16F2" w:rsidRPr="004D3515" w:rsidRDefault="00BD16F2" w:rsidP="00E663E4">
            <w:pPr>
              <w:jc w:val="center"/>
              <w:outlineLvl w:val="1"/>
              <w:rPr>
                <w:rFonts w:cs="Arial"/>
                <w:sz w:val="22"/>
                <w:szCs w:val="22"/>
              </w:rPr>
            </w:pPr>
            <w:r w:rsidRPr="004D3515">
              <w:rPr>
                <w:rFonts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2E859FDF" w14:textId="77777777" w:rsidR="00BD16F2" w:rsidRPr="004D3515" w:rsidRDefault="00BD16F2" w:rsidP="00E663E4">
            <w:pPr>
              <w:outlineLvl w:val="1"/>
              <w:rPr>
                <w:rFonts w:cs="Arial"/>
                <w:sz w:val="22"/>
                <w:szCs w:val="22"/>
              </w:rPr>
            </w:pPr>
            <w:r w:rsidRPr="004D3515">
              <w:rPr>
                <w:rFonts w:cs="Arial"/>
                <w:sz w:val="22"/>
                <w:szCs w:val="22"/>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5752EB9A" w14:textId="3A2DAF04" w:rsidR="00BD16F2" w:rsidRPr="004D3515" w:rsidRDefault="00BD16F2" w:rsidP="00E663E4">
            <w:pPr>
              <w:outlineLvl w:val="1"/>
              <w:rPr>
                <w:rFonts w:cs="Arial"/>
                <w:sz w:val="22"/>
                <w:szCs w:val="22"/>
              </w:rPr>
            </w:pPr>
            <w:r w:rsidRPr="004D3515">
              <w:rPr>
                <w:rFonts w:cs="Arial"/>
                <w:sz w:val="22"/>
                <w:szCs w:val="22"/>
              </w:rPr>
              <w:t xml:space="preserve">Comment </w:t>
            </w:r>
            <w:r w:rsidR="00A603FD">
              <w:rPr>
                <w:rFonts w:cs="Arial"/>
                <w:sz w:val="22"/>
                <w:szCs w:val="22"/>
              </w:rPr>
              <w:t xml:space="preserve">Resolution </w:t>
            </w:r>
            <w:r w:rsidRPr="004D3515">
              <w:rPr>
                <w:rFonts w:cs="Arial"/>
                <w:sz w:val="22"/>
                <w:szCs w:val="22"/>
              </w:rPr>
              <w:t xml:space="preserve">and </w:t>
            </w:r>
            <w:r w:rsidR="00A603FD">
              <w:rPr>
                <w:rFonts w:cs="Arial"/>
                <w:sz w:val="22"/>
                <w:szCs w:val="22"/>
              </w:rPr>
              <w:t xml:space="preserve">Closed Feedback </w:t>
            </w:r>
            <w:r w:rsidRPr="004D3515">
              <w:rPr>
                <w:rFonts w:cs="Arial"/>
                <w:sz w:val="22"/>
                <w:szCs w:val="22"/>
              </w:rPr>
              <w:t>Accession Number (Pre-Decisional, Non-Public Information)</w:t>
            </w:r>
          </w:p>
        </w:tc>
      </w:tr>
      <w:tr w:rsidR="00BD16F2" w:rsidRPr="004D3515" w14:paraId="60319A0F" w14:textId="77777777" w:rsidTr="00261829">
        <w:trPr>
          <w:trHeight w:val="1801"/>
        </w:trPr>
        <w:tc>
          <w:tcPr>
            <w:tcW w:w="1491" w:type="dxa"/>
            <w:tcBorders>
              <w:top w:val="single" w:sz="7" w:space="0" w:color="000000"/>
              <w:left w:val="single" w:sz="7" w:space="0" w:color="000000"/>
              <w:bottom w:val="single" w:sz="7" w:space="0" w:color="000000"/>
              <w:right w:val="single" w:sz="7" w:space="0" w:color="000000"/>
            </w:tcBorders>
          </w:tcPr>
          <w:p w14:paraId="6AC5B841" w14:textId="77777777" w:rsidR="00BD16F2" w:rsidRPr="004D3515" w:rsidRDefault="00BD16F2" w:rsidP="00E663E4">
            <w:pPr>
              <w:outlineLvl w:val="1"/>
              <w:rPr>
                <w:rFonts w:cs="Arial"/>
                <w:sz w:val="22"/>
                <w:szCs w:val="22"/>
              </w:rPr>
            </w:pPr>
            <w:r w:rsidRPr="004D3515">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3E3A966A" w14:textId="77777777" w:rsidR="00BD16F2" w:rsidRPr="004D3515" w:rsidRDefault="00BD16F2" w:rsidP="00E663E4">
            <w:pPr>
              <w:outlineLvl w:val="1"/>
              <w:rPr>
                <w:rFonts w:cs="Arial"/>
                <w:sz w:val="22"/>
                <w:szCs w:val="22"/>
              </w:rPr>
            </w:pPr>
            <w:r w:rsidRPr="004D3515">
              <w:rPr>
                <w:rFonts w:cs="Arial"/>
                <w:sz w:val="22"/>
                <w:szCs w:val="22"/>
              </w:rPr>
              <w:t>12/02/09</w:t>
            </w:r>
          </w:p>
          <w:p w14:paraId="68A943A3" w14:textId="77777777" w:rsidR="00BD16F2" w:rsidRPr="004D3515" w:rsidRDefault="00BD16F2" w:rsidP="00E663E4">
            <w:pPr>
              <w:outlineLvl w:val="1"/>
              <w:rPr>
                <w:rFonts w:cs="Arial"/>
                <w:sz w:val="22"/>
                <w:szCs w:val="22"/>
              </w:rPr>
            </w:pPr>
            <w:r w:rsidRPr="004D3515">
              <w:rPr>
                <w:rFonts w:cs="Arial"/>
                <w:sz w:val="22"/>
                <w:szCs w:val="22"/>
              </w:rPr>
              <w:t>CN 09-030</w:t>
            </w:r>
          </w:p>
        </w:tc>
        <w:tc>
          <w:tcPr>
            <w:tcW w:w="4860" w:type="dxa"/>
            <w:tcBorders>
              <w:top w:val="single" w:sz="7" w:space="0" w:color="000000"/>
              <w:left w:val="single" w:sz="7" w:space="0" w:color="000000"/>
              <w:bottom w:val="single" w:sz="7" w:space="0" w:color="000000"/>
              <w:right w:val="single" w:sz="7" w:space="0" w:color="000000"/>
            </w:tcBorders>
          </w:tcPr>
          <w:p w14:paraId="4094A9F8" w14:textId="77777777" w:rsidR="00BD16F2" w:rsidRPr="004D3515" w:rsidRDefault="00BD16F2" w:rsidP="00E663E4">
            <w:pPr>
              <w:outlineLvl w:val="1"/>
              <w:rPr>
                <w:rFonts w:cs="Arial"/>
                <w:sz w:val="22"/>
                <w:szCs w:val="22"/>
              </w:rPr>
            </w:pPr>
            <w:r w:rsidRPr="004D3515">
              <w:rPr>
                <w:rFonts w:cs="Arial"/>
                <w:sz w:val="22"/>
                <w:szCs w:val="22"/>
              </w:rPr>
              <w:t>Conducted four year search for commitments and found none.</w:t>
            </w:r>
          </w:p>
          <w:p w14:paraId="22495C32" w14:textId="77777777" w:rsidR="00BD16F2" w:rsidRPr="004D3515" w:rsidRDefault="00BD16F2" w:rsidP="00E663E4">
            <w:pPr>
              <w:outlineLvl w:val="1"/>
              <w:rPr>
                <w:rFonts w:cs="Arial"/>
                <w:sz w:val="22"/>
                <w:szCs w:val="22"/>
              </w:rPr>
            </w:pPr>
          </w:p>
          <w:p w14:paraId="7362C07B" w14:textId="77777777" w:rsidR="00BD16F2" w:rsidRPr="004D3515" w:rsidRDefault="00BD16F2" w:rsidP="00E663E4">
            <w:pPr>
              <w:outlineLvl w:val="1"/>
              <w:rPr>
                <w:rFonts w:cs="Arial"/>
                <w:sz w:val="22"/>
                <w:szCs w:val="22"/>
              </w:rPr>
            </w:pPr>
            <w:r w:rsidRPr="004D3515">
              <w:rPr>
                <w:rFonts w:cs="Arial"/>
                <w:sz w:val="22"/>
                <w:szCs w:val="22"/>
              </w:rPr>
              <w:t xml:space="preserve">This new procedure is being issued as a result of the 2009 ROP IP Realignment.  It supersedes inspection requirements in IP 71121 and 71122. </w:t>
            </w:r>
          </w:p>
        </w:tc>
        <w:tc>
          <w:tcPr>
            <w:tcW w:w="2430" w:type="dxa"/>
            <w:tcBorders>
              <w:top w:val="single" w:sz="7" w:space="0" w:color="000000"/>
              <w:left w:val="single" w:sz="7" w:space="0" w:color="000000"/>
              <w:bottom w:val="single" w:sz="7" w:space="0" w:color="000000"/>
              <w:right w:val="single" w:sz="7" w:space="0" w:color="000000"/>
            </w:tcBorders>
          </w:tcPr>
          <w:p w14:paraId="2E7F121D" w14:textId="77777777" w:rsidR="00BD16F2" w:rsidRPr="004D3515" w:rsidRDefault="00BD16F2" w:rsidP="00E663E4">
            <w:pPr>
              <w:outlineLvl w:val="1"/>
              <w:rPr>
                <w:rFonts w:cs="Arial"/>
                <w:sz w:val="22"/>
                <w:szCs w:val="22"/>
              </w:rPr>
            </w:pPr>
            <w:r w:rsidRPr="004D3515">
              <w:rPr>
                <w:rFonts w:cs="Arial"/>
                <w:sz w:val="22"/>
                <w:szCs w:val="22"/>
              </w:rPr>
              <w:t>Yes</w:t>
            </w:r>
          </w:p>
          <w:p w14:paraId="5BE6BDDF" w14:textId="77777777" w:rsidR="00BD16F2" w:rsidRPr="004D3515" w:rsidRDefault="00BD16F2" w:rsidP="00E663E4">
            <w:pPr>
              <w:outlineLvl w:val="1"/>
              <w:rPr>
                <w:rFonts w:cs="Arial"/>
                <w:sz w:val="22"/>
                <w:szCs w:val="22"/>
              </w:rPr>
            </w:pPr>
            <w:r w:rsidRPr="004D3515">
              <w:rPr>
                <w:rFonts w:cs="Arial"/>
                <w:sz w:val="22"/>
                <w:szCs w:val="22"/>
              </w:rPr>
              <w:t>09/09/2009</w:t>
            </w:r>
          </w:p>
        </w:tc>
        <w:tc>
          <w:tcPr>
            <w:tcW w:w="2880" w:type="dxa"/>
            <w:tcBorders>
              <w:top w:val="single" w:sz="7" w:space="0" w:color="000000"/>
              <w:left w:val="single" w:sz="7" w:space="0" w:color="000000"/>
              <w:bottom w:val="single" w:sz="7" w:space="0" w:color="000000"/>
              <w:right w:val="single" w:sz="7" w:space="0" w:color="000000"/>
            </w:tcBorders>
          </w:tcPr>
          <w:p w14:paraId="3E0EFDF6" w14:textId="3DBB9702" w:rsidR="00BD16F2" w:rsidRPr="004D3515" w:rsidRDefault="00BD16F2" w:rsidP="00E663E4">
            <w:pPr>
              <w:outlineLvl w:val="1"/>
              <w:rPr>
                <w:rFonts w:cs="Arial"/>
                <w:sz w:val="22"/>
                <w:szCs w:val="22"/>
              </w:rPr>
            </w:pPr>
            <w:r w:rsidRPr="004D3515">
              <w:rPr>
                <w:rFonts w:cs="Arial"/>
                <w:sz w:val="22"/>
                <w:szCs w:val="22"/>
              </w:rPr>
              <w:t>ML092810401</w:t>
            </w:r>
          </w:p>
        </w:tc>
      </w:tr>
      <w:tr w:rsidR="00BD16F2" w:rsidRPr="004D3515" w14:paraId="3DCA1E6D"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758C1401" w14:textId="4A353348" w:rsidR="00BD16F2" w:rsidRPr="004D3515" w:rsidRDefault="00B77F6A" w:rsidP="00E663E4">
            <w:pPr>
              <w:outlineLvl w:val="1"/>
              <w:rPr>
                <w:rFonts w:cs="Arial"/>
                <w:sz w:val="22"/>
                <w:szCs w:val="22"/>
              </w:rPr>
            </w:pPr>
            <w:r>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281CDFE" w14:textId="77777777" w:rsidR="004D3515" w:rsidRPr="004D3515" w:rsidRDefault="004D3515" w:rsidP="00E663E4">
            <w:pPr>
              <w:widowControl/>
              <w:autoSpaceDE/>
              <w:autoSpaceDN/>
              <w:adjustRightInd/>
              <w:rPr>
                <w:rFonts w:cs="Arial"/>
                <w:color w:val="000000"/>
                <w:sz w:val="22"/>
                <w:szCs w:val="22"/>
              </w:rPr>
            </w:pPr>
            <w:r w:rsidRPr="004D3515">
              <w:rPr>
                <w:rFonts w:cs="Arial"/>
                <w:color w:val="000000"/>
                <w:sz w:val="22"/>
                <w:szCs w:val="22"/>
              </w:rPr>
              <w:t>ML15344A332</w:t>
            </w:r>
          </w:p>
          <w:p w14:paraId="53CDB7D3" w14:textId="77777777" w:rsidR="00BD16F2" w:rsidRDefault="00E663E4" w:rsidP="00E663E4">
            <w:pPr>
              <w:outlineLvl w:val="1"/>
              <w:rPr>
                <w:rFonts w:cs="Arial"/>
                <w:sz w:val="22"/>
                <w:szCs w:val="22"/>
              </w:rPr>
            </w:pPr>
            <w:r>
              <w:rPr>
                <w:rFonts w:cs="Arial"/>
                <w:sz w:val="22"/>
                <w:szCs w:val="22"/>
              </w:rPr>
              <w:t>02/19/16</w:t>
            </w:r>
          </w:p>
          <w:p w14:paraId="6DBD10A0" w14:textId="482A4C4B" w:rsidR="00E663E4" w:rsidRPr="004D3515" w:rsidRDefault="00E663E4" w:rsidP="00E663E4">
            <w:pPr>
              <w:outlineLvl w:val="1"/>
              <w:rPr>
                <w:rFonts w:cs="Arial"/>
                <w:sz w:val="22"/>
                <w:szCs w:val="22"/>
              </w:rPr>
            </w:pPr>
            <w:r>
              <w:rPr>
                <w:rFonts w:cs="Arial"/>
                <w:sz w:val="22"/>
                <w:szCs w:val="22"/>
              </w:rPr>
              <w:t>CN 16-007</w:t>
            </w:r>
          </w:p>
        </w:tc>
        <w:tc>
          <w:tcPr>
            <w:tcW w:w="4860" w:type="dxa"/>
            <w:tcBorders>
              <w:top w:val="single" w:sz="7" w:space="0" w:color="000000"/>
              <w:left w:val="single" w:sz="7" w:space="0" w:color="000000"/>
              <w:bottom w:val="single" w:sz="7" w:space="0" w:color="000000"/>
              <w:right w:val="single" w:sz="7" w:space="0" w:color="000000"/>
            </w:tcBorders>
          </w:tcPr>
          <w:p w14:paraId="4C0123D8" w14:textId="5C92F5FA" w:rsidR="00BD16F2" w:rsidRDefault="00B77F6A" w:rsidP="00E663E4">
            <w:pPr>
              <w:rPr>
                <w:rFonts w:cs="Arial"/>
                <w:sz w:val="22"/>
                <w:szCs w:val="22"/>
              </w:rPr>
            </w:pPr>
            <w:r>
              <w:rPr>
                <w:rFonts w:cs="Arial"/>
                <w:sz w:val="22"/>
                <w:szCs w:val="22"/>
              </w:rPr>
              <w:t>Major r</w:t>
            </w:r>
            <w:r w:rsidR="00E90B4B" w:rsidRPr="004D3515">
              <w:rPr>
                <w:rFonts w:cs="Arial"/>
                <w:sz w:val="22"/>
                <w:szCs w:val="22"/>
              </w:rPr>
              <w:t>evisions to the IP 71124.0</w:t>
            </w:r>
            <w:r w:rsidR="005E51D0" w:rsidRPr="004D3515">
              <w:rPr>
                <w:rFonts w:cs="Arial"/>
                <w:sz w:val="22"/>
                <w:szCs w:val="22"/>
              </w:rPr>
              <w:t>4</w:t>
            </w:r>
            <w:r w:rsidR="00E90B4B" w:rsidRPr="004D3515">
              <w:rPr>
                <w:rFonts w:cs="Arial"/>
                <w:sz w:val="22"/>
                <w:szCs w:val="22"/>
              </w:rPr>
              <w:t xml:space="preserve"> procedure attachment were made in response to the 2013 ROP Enhancement Project.  </w:t>
            </w:r>
            <w:r w:rsidR="00E90B4B" w:rsidRPr="004D3515">
              <w:rPr>
                <w:rFonts w:cs="Arial"/>
                <w:sz w:val="22"/>
                <w:szCs w:val="22"/>
              </w:rPr>
              <w:br/>
            </w:r>
            <w:r w:rsidR="00E90B4B" w:rsidRPr="004D3515">
              <w:rPr>
                <w:rFonts w:cs="Arial"/>
                <w:sz w:val="22"/>
                <w:szCs w:val="22"/>
              </w:rPr>
              <w:br/>
              <w:t xml:space="preserve">The revisions clarified the existing inspection requirements and enhanced the inspection guidance section.   </w:t>
            </w:r>
          </w:p>
          <w:p w14:paraId="62C8F8F9" w14:textId="77777777" w:rsidR="00581E56" w:rsidRDefault="00581E56" w:rsidP="00E663E4">
            <w:pPr>
              <w:rPr>
                <w:rFonts w:cs="Arial"/>
                <w:sz w:val="22"/>
                <w:szCs w:val="22"/>
              </w:rPr>
            </w:pPr>
          </w:p>
          <w:p w14:paraId="0933B2F4" w14:textId="53044AB0" w:rsidR="00581E56" w:rsidRPr="004D3515" w:rsidRDefault="00581E56" w:rsidP="00E663E4">
            <w:pPr>
              <w:rPr>
                <w:rFonts w:cs="Arial"/>
                <w:sz w:val="22"/>
                <w:szCs w:val="22"/>
              </w:rPr>
            </w:pPr>
            <w:r>
              <w:rPr>
                <w:rFonts w:cs="Arial"/>
                <w:sz w:val="22"/>
                <w:szCs w:val="22"/>
              </w:rPr>
              <w:t>The revision also changed how samples are counted.</w:t>
            </w:r>
          </w:p>
        </w:tc>
        <w:tc>
          <w:tcPr>
            <w:tcW w:w="2430" w:type="dxa"/>
            <w:tcBorders>
              <w:top w:val="single" w:sz="7" w:space="0" w:color="000000"/>
              <w:left w:val="single" w:sz="7" w:space="0" w:color="000000"/>
              <w:bottom w:val="single" w:sz="7" w:space="0" w:color="000000"/>
              <w:right w:val="single" w:sz="7" w:space="0" w:color="000000"/>
            </w:tcBorders>
          </w:tcPr>
          <w:p w14:paraId="1F64F29D" w14:textId="08AC4685" w:rsidR="00BD16F2" w:rsidRPr="004D3515" w:rsidRDefault="00B57335" w:rsidP="00E663E4">
            <w:pPr>
              <w:outlineLvl w:val="1"/>
              <w:rPr>
                <w:rFonts w:cs="Arial"/>
                <w:sz w:val="22"/>
                <w:szCs w:val="22"/>
              </w:rPr>
            </w:pPr>
            <w:r w:rsidRPr="004D3515">
              <w:rPr>
                <w:rFonts w:cs="Arial"/>
                <w:sz w:val="22"/>
                <w:szCs w:val="22"/>
              </w:rPr>
              <w:t>N/A</w:t>
            </w:r>
          </w:p>
        </w:tc>
        <w:tc>
          <w:tcPr>
            <w:tcW w:w="2880" w:type="dxa"/>
            <w:tcBorders>
              <w:top w:val="single" w:sz="7" w:space="0" w:color="000000"/>
              <w:left w:val="single" w:sz="7" w:space="0" w:color="000000"/>
              <w:bottom w:val="single" w:sz="7" w:space="0" w:color="000000"/>
              <w:right w:val="single" w:sz="7" w:space="0" w:color="000000"/>
            </w:tcBorders>
          </w:tcPr>
          <w:p w14:paraId="16C279DF" w14:textId="6B7FC307" w:rsidR="00BD16F2" w:rsidRPr="004D3515" w:rsidRDefault="005B1E37" w:rsidP="00E663E4">
            <w:pPr>
              <w:outlineLvl w:val="1"/>
              <w:rPr>
                <w:rFonts w:cs="Arial"/>
                <w:sz w:val="22"/>
                <w:szCs w:val="22"/>
              </w:rPr>
            </w:pPr>
            <w:r w:rsidRPr="004D3515">
              <w:rPr>
                <w:rFonts w:cs="Arial"/>
                <w:sz w:val="22"/>
                <w:szCs w:val="22"/>
              </w:rPr>
              <w:t>ML15344A337</w:t>
            </w:r>
          </w:p>
        </w:tc>
      </w:tr>
    </w:tbl>
    <w:p w14:paraId="2ABBD2E7" w14:textId="77777777" w:rsidR="00CD0296" w:rsidRDefault="00CD0296">
      <w:pPr>
        <w:sectPr w:rsidR="00CD0296" w:rsidSect="00A603FD">
          <w:footerReference w:type="default" r:id="rId13"/>
          <w:pgSz w:w="15840" w:h="12240" w:orient="landscape" w:code="1"/>
          <w:pgMar w:top="1440" w:right="1440" w:bottom="1440" w:left="1440" w:header="720" w:footer="720" w:gutter="0"/>
          <w:pgNumType w:start="1"/>
          <w:cols w:space="720"/>
          <w:noEndnote/>
          <w:docGrid w:linePitch="326"/>
        </w:sectPr>
      </w:pPr>
    </w:p>
    <w:p w14:paraId="2A94109B" w14:textId="7C7EE248" w:rsidR="00CD0296" w:rsidRDefault="00CD0296"/>
    <w:tbl>
      <w:tblPr>
        <w:tblW w:w="13551" w:type="dxa"/>
        <w:tblInd w:w="120" w:type="dxa"/>
        <w:tblLayout w:type="fixed"/>
        <w:tblCellMar>
          <w:left w:w="120" w:type="dxa"/>
          <w:right w:w="120" w:type="dxa"/>
        </w:tblCellMar>
        <w:tblLook w:val="0020" w:firstRow="1" w:lastRow="0" w:firstColumn="0" w:lastColumn="0" w:noHBand="0" w:noVBand="0"/>
      </w:tblPr>
      <w:tblGrid>
        <w:gridCol w:w="1491"/>
        <w:gridCol w:w="1890"/>
        <w:gridCol w:w="4860"/>
        <w:gridCol w:w="2430"/>
        <w:gridCol w:w="2880"/>
      </w:tblGrid>
      <w:tr w:rsidR="00CD0296" w:rsidRPr="004D3515" w14:paraId="2D9E3CF2"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3EDDB3A3" w14:textId="1F5B6153" w:rsidR="00CD0296" w:rsidRDefault="00CD0296" w:rsidP="00CD0296">
            <w:pPr>
              <w:outlineLvl w:val="1"/>
              <w:rPr>
                <w:rFonts w:cs="Arial"/>
                <w:sz w:val="22"/>
                <w:szCs w:val="22"/>
              </w:rPr>
            </w:pPr>
            <w:r w:rsidRPr="004D3515">
              <w:rPr>
                <w:rFonts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FB17250" w14:textId="77777777" w:rsidR="00CD0296" w:rsidRPr="004D3515" w:rsidRDefault="00CD0296" w:rsidP="00CD0296">
            <w:pPr>
              <w:jc w:val="center"/>
              <w:outlineLvl w:val="1"/>
              <w:rPr>
                <w:rFonts w:cs="Arial"/>
                <w:sz w:val="22"/>
                <w:szCs w:val="22"/>
              </w:rPr>
            </w:pPr>
            <w:r w:rsidRPr="004D3515">
              <w:rPr>
                <w:rFonts w:cs="Arial"/>
                <w:sz w:val="22"/>
                <w:szCs w:val="22"/>
              </w:rPr>
              <w:t>Accession Number</w:t>
            </w:r>
          </w:p>
          <w:p w14:paraId="257B33A4" w14:textId="77777777" w:rsidR="00CD0296" w:rsidRPr="004D3515" w:rsidRDefault="00CD0296" w:rsidP="00CD0296">
            <w:pPr>
              <w:jc w:val="center"/>
              <w:outlineLvl w:val="1"/>
              <w:rPr>
                <w:rFonts w:cs="Arial"/>
                <w:sz w:val="22"/>
                <w:szCs w:val="22"/>
              </w:rPr>
            </w:pPr>
            <w:r w:rsidRPr="004D3515">
              <w:rPr>
                <w:rFonts w:cs="Arial"/>
                <w:sz w:val="22"/>
                <w:szCs w:val="22"/>
              </w:rPr>
              <w:t>Issue Date</w:t>
            </w:r>
          </w:p>
          <w:p w14:paraId="5A41582B" w14:textId="0278E67C" w:rsidR="00CD0296" w:rsidRDefault="00CD0296" w:rsidP="00CD0296">
            <w:pPr>
              <w:widowControl/>
              <w:autoSpaceDE/>
              <w:autoSpaceDN/>
              <w:adjustRightInd/>
              <w:rPr>
                <w:rFonts w:cs="Arial"/>
                <w:sz w:val="22"/>
                <w:szCs w:val="22"/>
              </w:rPr>
            </w:pPr>
            <w:r w:rsidRPr="004D3515">
              <w:rPr>
                <w:rFonts w:cs="Arial"/>
                <w:sz w:val="22"/>
                <w:szCs w:val="22"/>
              </w:rPr>
              <w:t>Change Notice</w:t>
            </w:r>
          </w:p>
        </w:tc>
        <w:tc>
          <w:tcPr>
            <w:tcW w:w="4860" w:type="dxa"/>
            <w:tcBorders>
              <w:top w:val="single" w:sz="7" w:space="0" w:color="000000"/>
              <w:left w:val="single" w:sz="7" w:space="0" w:color="000000"/>
              <w:bottom w:val="single" w:sz="7" w:space="0" w:color="000000"/>
              <w:right w:val="single" w:sz="7" w:space="0" w:color="000000"/>
            </w:tcBorders>
          </w:tcPr>
          <w:p w14:paraId="17E04F4D" w14:textId="732ED698" w:rsidR="00CD0296" w:rsidRPr="00261829" w:rsidRDefault="00CD0296" w:rsidP="00CD0296">
            <w:pPr>
              <w:rPr>
                <w:sz w:val="22"/>
                <w:szCs w:val="22"/>
              </w:rPr>
            </w:pPr>
            <w:r w:rsidRPr="004D3515">
              <w:rPr>
                <w:rFonts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134F031C" w14:textId="66EB8439" w:rsidR="00CD0296" w:rsidRPr="00A603FD" w:rsidRDefault="00CD0296" w:rsidP="00CD0296">
            <w:pPr>
              <w:rPr>
                <w:rFonts w:cs="Arial"/>
                <w:sz w:val="22"/>
                <w:szCs w:val="22"/>
              </w:rPr>
            </w:pPr>
            <w:r w:rsidRPr="004D3515">
              <w:rPr>
                <w:rFonts w:cs="Arial"/>
                <w:sz w:val="22"/>
                <w:szCs w:val="22"/>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5936FD3F" w14:textId="743C6AFA" w:rsidR="00CD0296" w:rsidRDefault="00CD0296" w:rsidP="00CD0296">
            <w:pPr>
              <w:outlineLvl w:val="1"/>
              <w:rPr>
                <w:rFonts w:cs="Arial"/>
                <w:sz w:val="22"/>
                <w:szCs w:val="22"/>
              </w:rPr>
            </w:pPr>
            <w:r w:rsidRPr="004D3515">
              <w:rPr>
                <w:rFonts w:cs="Arial"/>
                <w:sz w:val="22"/>
                <w:szCs w:val="22"/>
              </w:rPr>
              <w:t xml:space="preserve">Comment </w:t>
            </w:r>
            <w:r>
              <w:rPr>
                <w:rFonts w:cs="Arial"/>
                <w:sz w:val="22"/>
                <w:szCs w:val="22"/>
              </w:rPr>
              <w:t xml:space="preserve">Resolution </w:t>
            </w:r>
            <w:r w:rsidRPr="004D3515">
              <w:rPr>
                <w:rFonts w:cs="Arial"/>
                <w:sz w:val="22"/>
                <w:szCs w:val="22"/>
              </w:rPr>
              <w:t xml:space="preserve">and </w:t>
            </w:r>
            <w:r>
              <w:rPr>
                <w:rFonts w:cs="Arial"/>
                <w:sz w:val="22"/>
                <w:szCs w:val="22"/>
              </w:rPr>
              <w:t xml:space="preserve">Closed Feedback </w:t>
            </w:r>
            <w:r w:rsidRPr="004D3515">
              <w:rPr>
                <w:rFonts w:cs="Arial"/>
                <w:sz w:val="22"/>
                <w:szCs w:val="22"/>
              </w:rPr>
              <w:t>Accession Number (Pre-Decisional, Non-Public Information)</w:t>
            </w:r>
          </w:p>
        </w:tc>
      </w:tr>
      <w:tr w:rsidR="00CD0296" w:rsidRPr="004D3515" w14:paraId="08622120"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5EB4444A" w14:textId="0233ABD1" w:rsidR="00CD0296" w:rsidRDefault="00CD0296" w:rsidP="00CD0296">
            <w:pPr>
              <w:outlineLvl w:val="1"/>
              <w:rPr>
                <w:rFonts w:cs="Arial"/>
                <w:sz w:val="22"/>
                <w:szCs w:val="22"/>
              </w:rPr>
            </w:pPr>
            <w:r>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CE0E4B7" w14:textId="77777777" w:rsidR="00CD0296" w:rsidRDefault="00CD0296" w:rsidP="00CD0296">
            <w:pPr>
              <w:widowControl/>
              <w:autoSpaceDE/>
              <w:autoSpaceDN/>
              <w:adjustRightInd/>
              <w:rPr>
                <w:rFonts w:cs="Arial"/>
                <w:sz w:val="22"/>
                <w:szCs w:val="22"/>
              </w:rPr>
            </w:pPr>
            <w:r>
              <w:rPr>
                <w:rFonts w:cs="Arial"/>
                <w:sz w:val="22"/>
                <w:szCs w:val="22"/>
              </w:rPr>
              <w:t>ML17286A288</w:t>
            </w:r>
          </w:p>
          <w:p w14:paraId="6AB32FE6" w14:textId="77777777" w:rsidR="00CD0296" w:rsidRDefault="00CD0296" w:rsidP="00CD0296">
            <w:pPr>
              <w:widowControl/>
              <w:autoSpaceDE/>
              <w:autoSpaceDN/>
              <w:adjustRightInd/>
              <w:rPr>
                <w:rFonts w:cs="Arial"/>
                <w:sz w:val="22"/>
                <w:szCs w:val="22"/>
              </w:rPr>
            </w:pPr>
            <w:r>
              <w:rPr>
                <w:rFonts w:cs="Arial"/>
                <w:sz w:val="22"/>
                <w:szCs w:val="22"/>
              </w:rPr>
              <w:t>12/21/17</w:t>
            </w:r>
          </w:p>
          <w:p w14:paraId="44ACB1FC" w14:textId="2347E1C5" w:rsidR="00CD0296" w:rsidRPr="004D3515" w:rsidRDefault="00CD0296" w:rsidP="00CD0296">
            <w:pPr>
              <w:widowControl/>
              <w:autoSpaceDE/>
              <w:autoSpaceDN/>
              <w:adjustRightInd/>
              <w:rPr>
                <w:rFonts w:cs="Arial"/>
                <w:color w:val="000000"/>
                <w:sz w:val="22"/>
                <w:szCs w:val="22"/>
              </w:rPr>
            </w:pPr>
            <w:r>
              <w:rPr>
                <w:rFonts w:cs="Arial"/>
                <w:sz w:val="22"/>
                <w:szCs w:val="22"/>
              </w:rPr>
              <w:t>CN 17-031</w:t>
            </w:r>
          </w:p>
        </w:tc>
        <w:tc>
          <w:tcPr>
            <w:tcW w:w="4860" w:type="dxa"/>
            <w:tcBorders>
              <w:top w:val="single" w:sz="7" w:space="0" w:color="000000"/>
              <w:left w:val="single" w:sz="7" w:space="0" w:color="000000"/>
              <w:bottom w:val="single" w:sz="7" w:space="0" w:color="000000"/>
              <w:right w:val="single" w:sz="7" w:space="0" w:color="000000"/>
            </w:tcBorders>
          </w:tcPr>
          <w:p w14:paraId="75DDD9AF" w14:textId="4145FF27" w:rsidR="00CD0296" w:rsidRPr="00261829" w:rsidRDefault="00CD0296" w:rsidP="00CD0296">
            <w:pPr>
              <w:rPr>
                <w:sz w:val="22"/>
                <w:szCs w:val="22"/>
              </w:rPr>
            </w:pPr>
            <w:r w:rsidRPr="00261829">
              <w:rPr>
                <w:sz w:val="22"/>
                <w:szCs w:val="22"/>
              </w:rPr>
              <w:t>Major editorial revision of IP 71124.04.</w:t>
            </w:r>
          </w:p>
          <w:p w14:paraId="5AF500FD" w14:textId="77777777" w:rsidR="00CD0296" w:rsidRPr="00261829" w:rsidRDefault="00CD0296" w:rsidP="00CD0296">
            <w:pPr>
              <w:rPr>
                <w:sz w:val="22"/>
                <w:szCs w:val="22"/>
              </w:rPr>
            </w:pPr>
          </w:p>
          <w:p w14:paraId="0433D1D7" w14:textId="77777777" w:rsidR="00CD0296" w:rsidRPr="00261829" w:rsidRDefault="00CD0296" w:rsidP="00CD0296">
            <w:pPr>
              <w:rPr>
                <w:sz w:val="22"/>
                <w:szCs w:val="22"/>
              </w:rPr>
            </w:pPr>
            <w:r w:rsidRPr="00261829">
              <w:rPr>
                <w:sz w:val="22"/>
                <w:szCs w:val="22"/>
              </w:rPr>
              <w:t>Section 02 was audited and modified to move guidance to Section 03 and concisely state actions necessary to complete each requirement</w:t>
            </w:r>
          </w:p>
          <w:p w14:paraId="5305D61C" w14:textId="77777777" w:rsidR="00CD0296" w:rsidRPr="00261829" w:rsidRDefault="00CD0296" w:rsidP="00CD0296">
            <w:pPr>
              <w:rPr>
                <w:sz w:val="22"/>
                <w:szCs w:val="22"/>
              </w:rPr>
            </w:pPr>
          </w:p>
          <w:p w14:paraId="3034E7FD" w14:textId="37888744" w:rsidR="00CD0296" w:rsidRDefault="00CD0296" w:rsidP="00CD0296">
            <w:pPr>
              <w:rPr>
                <w:rFonts w:cs="Arial"/>
                <w:sz w:val="22"/>
                <w:szCs w:val="22"/>
              </w:rPr>
            </w:pPr>
            <w:r w:rsidRPr="004E4128">
              <w:rPr>
                <w:sz w:val="22"/>
                <w:szCs w:val="22"/>
              </w:rPr>
              <w:t>PI&amp;R was transitioned from an independent sample to a requirement that would be completed as part of each sample.  Guidance section updated to reflect resource estimates for routine review of PI&amp;R activities per IP 71152 Section 04.01.</w:t>
            </w:r>
          </w:p>
        </w:tc>
        <w:tc>
          <w:tcPr>
            <w:tcW w:w="2430" w:type="dxa"/>
            <w:tcBorders>
              <w:top w:val="single" w:sz="7" w:space="0" w:color="000000"/>
              <w:left w:val="single" w:sz="7" w:space="0" w:color="000000"/>
              <w:bottom w:val="single" w:sz="7" w:space="0" w:color="000000"/>
              <w:right w:val="single" w:sz="7" w:space="0" w:color="000000"/>
            </w:tcBorders>
          </w:tcPr>
          <w:p w14:paraId="78B4ADC6" w14:textId="0BBA1505" w:rsidR="00CD0296" w:rsidRPr="004D3515" w:rsidRDefault="00CD0296" w:rsidP="00CD0296">
            <w:pPr>
              <w:rPr>
                <w:rFonts w:cs="Arial"/>
                <w:sz w:val="22"/>
                <w:szCs w:val="22"/>
              </w:rPr>
            </w:pPr>
            <w:r w:rsidRPr="00A603FD">
              <w:rPr>
                <w:rFonts w:cs="Arial"/>
                <w:sz w:val="22"/>
                <w:szCs w:val="22"/>
              </w:rPr>
              <w:t>Verbal discussion of changes during 2017 HP Counterpart meeting, 09/06/2017</w:t>
            </w:r>
          </w:p>
        </w:tc>
        <w:tc>
          <w:tcPr>
            <w:tcW w:w="2880" w:type="dxa"/>
            <w:tcBorders>
              <w:top w:val="single" w:sz="7" w:space="0" w:color="000000"/>
              <w:left w:val="single" w:sz="7" w:space="0" w:color="000000"/>
              <w:bottom w:val="single" w:sz="7" w:space="0" w:color="000000"/>
              <w:right w:val="single" w:sz="7" w:space="0" w:color="000000"/>
            </w:tcBorders>
          </w:tcPr>
          <w:p w14:paraId="467B6F1A" w14:textId="46F906C8" w:rsidR="00CD0296" w:rsidRPr="004D3515" w:rsidRDefault="00CD0296" w:rsidP="00CD0296">
            <w:pPr>
              <w:outlineLvl w:val="1"/>
              <w:rPr>
                <w:rFonts w:cs="Arial"/>
                <w:sz w:val="22"/>
                <w:szCs w:val="22"/>
              </w:rPr>
            </w:pPr>
            <w:r>
              <w:rPr>
                <w:rFonts w:cs="Arial"/>
                <w:sz w:val="22"/>
                <w:szCs w:val="22"/>
              </w:rPr>
              <w:t>ML17300A473</w:t>
            </w:r>
          </w:p>
        </w:tc>
      </w:tr>
    </w:tbl>
    <w:p w14:paraId="233F1C90" w14:textId="77416836" w:rsidR="007E1FD1" w:rsidRPr="004D3515" w:rsidRDefault="007E1FD1" w:rsidP="00400147">
      <w:pPr>
        <w:tabs>
          <w:tab w:val="left" w:pos="11010"/>
        </w:tabs>
        <w:spacing w:line="480" w:lineRule="auto"/>
        <w:outlineLvl w:val="1"/>
        <w:rPr>
          <w:rFonts w:cs="Arial"/>
          <w:sz w:val="22"/>
          <w:szCs w:val="22"/>
        </w:rPr>
      </w:pPr>
    </w:p>
    <w:sectPr w:rsidR="007E1FD1" w:rsidRPr="004D3515" w:rsidSect="00A603FD">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1C349" w14:textId="77777777" w:rsidR="00D63091" w:rsidRDefault="00D63091">
      <w:r>
        <w:separator/>
      </w:r>
    </w:p>
  </w:endnote>
  <w:endnote w:type="continuationSeparator" w:id="0">
    <w:p w14:paraId="6241B8DA" w14:textId="77777777" w:rsidR="00D63091" w:rsidRDefault="00D6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B370D" w14:textId="77777777" w:rsidR="008A0D28" w:rsidRDefault="008A0D28">
    <w:pPr>
      <w:spacing w:line="240" w:lineRule="exact"/>
    </w:pPr>
  </w:p>
  <w:p w14:paraId="66CBD054" w14:textId="77777777" w:rsidR="008A0D28" w:rsidRDefault="008A0D28">
    <w:pPr>
      <w:tabs>
        <w:tab w:val="center" w:pos="4680"/>
        <w:tab w:val="right" w:pos="9360"/>
      </w:tabs>
      <w:rPr>
        <w:rFonts w:cs="Arial"/>
      </w:rPr>
    </w:pPr>
    <w:r>
      <w:rPr>
        <w:rFonts w:cs="Arial"/>
      </w:rPr>
      <w:t>71121.03</w:t>
    </w:r>
    <w:r>
      <w:rPr>
        <w:rFonts w:cs="Arial"/>
      </w:rPr>
      <w:tab/>
      <w:t xml:space="preserve"> </w:t>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 xml:space="preserve"> </w:t>
    </w:r>
    <w:r>
      <w:rPr>
        <w:rFonts w:cs="Arial"/>
      </w:rPr>
      <w:tab/>
      <w:t>Issue Date:  03/06/02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4923" w14:textId="52FE60DF" w:rsidR="008A0D28" w:rsidRPr="00A11446" w:rsidRDefault="005221CA">
    <w:pPr>
      <w:tabs>
        <w:tab w:val="center" w:pos="4680"/>
        <w:tab w:val="right" w:pos="9360"/>
      </w:tabs>
      <w:rPr>
        <w:rFonts w:cs="Arial"/>
        <w:sz w:val="22"/>
        <w:szCs w:val="22"/>
      </w:rPr>
    </w:pPr>
    <w:r w:rsidRPr="00A11446">
      <w:rPr>
        <w:rFonts w:cs="Arial"/>
        <w:sz w:val="22"/>
        <w:szCs w:val="22"/>
      </w:rPr>
      <w:t xml:space="preserve">Issue Date:  </w:t>
    </w:r>
    <w:r w:rsidR="00CD0296">
      <w:rPr>
        <w:rFonts w:cs="Arial"/>
        <w:sz w:val="22"/>
        <w:szCs w:val="22"/>
      </w:rPr>
      <w:t>12/21/17</w:t>
    </w:r>
    <w:r w:rsidR="008A0D28" w:rsidRPr="00A11446">
      <w:rPr>
        <w:rFonts w:cs="Arial"/>
        <w:sz w:val="22"/>
        <w:szCs w:val="22"/>
      </w:rPr>
      <w:tab/>
    </w:r>
    <w:r w:rsidR="008A0D28" w:rsidRPr="00A11446">
      <w:rPr>
        <w:rFonts w:cs="Arial"/>
        <w:sz w:val="22"/>
        <w:szCs w:val="22"/>
      </w:rPr>
      <w:fldChar w:fldCharType="begin"/>
    </w:r>
    <w:r w:rsidR="008A0D28" w:rsidRPr="00A11446">
      <w:rPr>
        <w:rFonts w:cs="Arial"/>
        <w:sz w:val="22"/>
        <w:szCs w:val="22"/>
      </w:rPr>
      <w:instrText xml:space="preserve">PAGE </w:instrText>
    </w:r>
    <w:r w:rsidR="008A0D28" w:rsidRPr="00A11446">
      <w:rPr>
        <w:rFonts w:cs="Arial"/>
        <w:sz w:val="22"/>
        <w:szCs w:val="22"/>
      </w:rPr>
      <w:fldChar w:fldCharType="separate"/>
    </w:r>
    <w:r w:rsidR="00F279E7">
      <w:rPr>
        <w:rFonts w:cs="Arial"/>
        <w:noProof/>
        <w:sz w:val="22"/>
        <w:szCs w:val="22"/>
      </w:rPr>
      <w:t>2</w:t>
    </w:r>
    <w:r w:rsidR="008A0D28" w:rsidRPr="00A11446">
      <w:rPr>
        <w:rFonts w:cs="Arial"/>
        <w:sz w:val="22"/>
        <w:szCs w:val="22"/>
      </w:rPr>
      <w:fldChar w:fldCharType="end"/>
    </w:r>
    <w:r w:rsidR="008A0D28" w:rsidRPr="00A11446">
      <w:rPr>
        <w:rFonts w:cs="Arial"/>
        <w:sz w:val="22"/>
        <w:szCs w:val="22"/>
      </w:rPr>
      <w:tab/>
      <w:t>71124.04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8C25" w14:textId="0F53D83F" w:rsidR="008A0D28" w:rsidRPr="00BD16F2" w:rsidRDefault="008A0D28" w:rsidP="005C46E8">
    <w:pPr>
      <w:tabs>
        <w:tab w:val="center" w:pos="6480"/>
        <w:tab w:val="right" w:pos="12960"/>
      </w:tabs>
      <w:rPr>
        <w:rFonts w:cs="Arial"/>
        <w:sz w:val="22"/>
        <w:szCs w:val="22"/>
      </w:rPr>
    </w:pPr>
    <w:r w:rsidRPr="00BD16F2">
      <w:rPr>
        <w:rFonts w:cs="Arial"/>
        <w:sz w:val="22"/>
        <w:szCs w:val="22"/>
      </w:rPr>
      <w:t xml:space="preserve">Issue Date:  </w:t>
    </w:r>
    <w:r w:rsidR="00CD0296">
      <w:rPr>
        <w:rFonts w:cs="Arial"/>
        <w:sz w:val="22"/>
        <w:szCs w:val="22"/>
      </w:rPr>
      <w:t>12/21/17</w:t>
    </w:r>
    <w:r w:rsidRPr="00BD16F2">
      <w:rPr>
        <w:rFonts w:cs="Arial"/>
        <w:sz w:val="22"/>
        <w:szCs w:val="22"/>
      </w:rPr>
      <w:tab/>
    </w:r>
    <w:r>
      <w:rPr>
        <w:rFonts w:cs="Arial"/>
        <w:sz w:val="22"/>
        <w:szCs w:val="22"/>
      </w:rPr>
      <w:t>Att 1-</w:t>
    </w:r>
    <w:r w:rsidRPr="00BD16F2">
      <w:rPr>
        <w:rFonts w:cs="Arial"/>
        <w:sz w:val="22"/>
        <w:szCs w:val="22"/>
      </w:rPr>
      <w:fldChar w:fldCharType="begin"/>
    </w:r>
    <w:r w:rsidRPr="00BD16F2">
      <w:rPr>
        <w:rFonts w:cs="Arial"/>
        <w:sz w:val="22"/>
        <w:szCs w:val="22"/>
      </w:rPr>
      <w:instrText xml:space="preserve"> PAGE   \* MERGEFORMAT </w:instrText>
    </w:r>
    <w:r w:rsidRPr="00BD16F2">
      <w:rPr>
        <w:rFonts w:cs="Arial"/>
        <w:sz w:val="22"/>
        <w:szCs w:val="22"/>
      </w:rPr>
      <w:fldChar w:fldCharType="separate"/>
    </w:r>
    <w:r w:rsidR="00F279E7">
      <w:rPr>
        <w:rFonts w:cs="Arial"/>
        <w:noProof/>
        <w:sz w:val="22"/>
        <w:szCs w:val="22"/>
      </w:rPr>
      <w:t>1</w:t>
    </w:r>
    <w:r w:rsidRPr="00BD16F2">
      <w:rPr>
        <w:rFonts w:cs="Arial"/>
        <w:noProof/>
        <w:sz w:val="22"/>
        <w:szCs w:val="22"/>
      </w:rPr>
      <w:fldChar w:fldCharType="end"/>
    </w:r>
    <w:r w:rsidRPr="00BD16F2">
      <w:rPr>
        <w:rFonts w:cs="Arial"/>
        <w:sz w:val="22"/>
        <w:szCs w:val="22"/>
      </w:rPr>
      <w:tab/>
      <w:t>71124.04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6146E" w14:textId="6F73F911" w:rsidR="00CD0296" w:rsidRPr="00BD16F2" w:rsidRDefault="00CD0296" w:rsidP="005C46E8">
    <w:pPr>
      <w:tabs>
        <w:tab w:val="center" w:pos="6480"/>
        <w:tab w:val="right" w:pos="12960"/>
      </w:tabs>
      <w:rPr>
        <w:rFonts w:cs="Arial"/>
        <w:sz w:val="22"/>
        <w:szCs w:val="22"/>
      </w:rPr>
    </w:pPr>
    <w:r w:rsidRPr="00BD16F2">
      <w:rPr>
        <w:rFonts w:cs="Arial"/>
        <w:sz w:val="22"/>
        <w:szCs w:val="22"/>
      </w:rPr>
      <w:t xml:space="preserve">Issue Date:  </w:t>
    </w:r>
    <w:r>
      <w:rPr>
        <w:rFonts w:cs="Arial"/>
        <w:sz w:val="22"/>
        <w:szCs w:val="22"/>
      </w:rPr>
      <w:t>12/21/17</w:t>
    </w:r>
    <w:r w:rsidRPr="00BD16F2">
      <w:rPr>
        <w:rFonts w:cs="Arial"/>
        <w:sz w:val="22"/>
        <w:szCs w:val="22"/>
      </w:rPr>
      <w:tab/>
    </w:r>
    <w:r>
      <w:rPr>
        <w:rFonts w:cs="Arial"/>
        <w:sz w:val="22"/>
        <w:szCs w:val="22"/>
      </w:rPr>
      <w:t>Att 1-2</w:t>
    </w:r>
    <w:r w:rsidRPr="00BD16F2">
      <w:rPr>
        <w:rFonts w:cs="Arial"/>
        <w:sz w:val="22"/>
        <w:szCs w:val="22"/>
      </w:rPr>
      <w:tab/>
      <w:t>71124.04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A42B9" w14:textId="77777777" w:rsidR="00D63091" w:rsidRDefault="00D63091">
      <w:r>
        <w:separator/>
      </w:r>
    </w:p>
  </w:footnote>
  <w:footnote w:type="continuationSeparator" w:id="0">
    <w:p w14:paraId="25516111" w14:textId="77777777" w:rsidR="00D63091" w:rsidRDefault="00D63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8E6C07"/>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5B12F1"/>
    <w:multiLevelType w:val="hybridMultilevel"/>
    <w:tmpl w:val="E2A4682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1B6CB5"/>
    <w:multiLevelType w:val="hybridMultilevel"/>
    <w:tmpl w:val="D0525A3C"/>
    <w:lvl w:ilvl="0" w:tplc="1124D818">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8DF8E7CA">
      <w:start w:val="1"/>
      <w:numFmt w:val="lowerLetter"/>
      <w:lvlText w:val="(%4)"/>
      <w:lvlJc w:val="left"/>
      <w:pPr>
        <w:ind w:left="3686" w:hanging="360"/>
      </w:pPr>
      <w:rPr>
        <w:rFonts w:hint="default"/>
      </w:r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 w15:restartNumberingAfterBreak="0">
    <w:nsid w:val="1057017F"/>
    <w:multiLevelType w:val="hybridMultilevel"/>
    <w:tmpl w:val="36A24E66"/>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6" w15:restartNumberingAfterBreak="0">
    <w:nsid w:val="197668F4"/>
    <w:multiLevelType w:val="hybridMultilevel"/>
    <w:tmpl w:val="4D203CA4"/>
    <w:lvl w:ilvl="0" w:tplc="8476449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B15E9"/>
    <w:multiLevelType w:val="hybridMultilevel"/>
    <w:tmpl w:val="89201BF2"/>
    <w:lvl w:ilvl="0" w:tplc="92984736">
      <w:start w:val="1"/>
      <w:numFmt w:val="decimal"/>
      <w:lvlText w:val="%1."/>
      <w:lvlJc w:val="left"/>
      <w:pPr>
        <w:ind w:left="116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8" w15:restartNumberingAfterBreak="0">
    <w:nsid w:val="1D7D0279"/>
    <w:multiLevelType w:val="hybridMultilevel"/>
    <w:tmpl w:val="539E6A2C"/>
    <w:lvl w:ilvl="0" w:tplc="1BD059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81CC8"/>
    <w:multiLevelType w:val="hybridMultilevel"/>
    <w:tmpl w:val="BF5CC53A"/>
    <w:lvl w:ilvl="0" w:tplc="C7B4CECA">
      <w:start w:val="1"/>
      <w:numFmt w:val="decimal"/>
      <w:lvlText w:val="%1."/>
      <w:lvlJc w:val="left"/>
      <w:pPr>
        <w:ind w:left="720" w:hanging="360"/>
      </w:pPr>
      <w:rPr>
        <w:rFonts w:ascii="Arial" w:eastAsia="Times New Roman"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95CE7"/>
    <w:multiLevelType w:val="hybridMultilevel"/>
    <w:tmpl w:val="89201BF2"/>
    <w:lvl w:ilvl="0" w:tplc="929847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F3999"/>
    <w:multiLevelType w:val="hybridMultilevel"/>
    <w:tmpl w:val="AB28BDE0"/>
    <w:lvl w:ilvl="0" w:tplc="6A722ECE">
      <w:start w:val="1"/>
      <w:numFmt w:val="lowerLetter"/>
      <w:lvlText w:val="%1."/>
      <w:lvlJc w:val="left"/>
      <w:pPr>
        <w:tabs>
          <w:tab w:val="num" w:pos="1430"/>
        </w:tabs>
        <w:ind w:left="1430" w:hanging="360"/>
      </w:pPr>
      <w:rPr>
        <w:rFonts w:hint="default"/>
      </w:rPr>
    </w:lvl>
    <w:lvl w:ilvl="1" w:tplc="0409000F">
      <w:start w:val="1"/>
      <w:numFmt w:val="decimal"/>
      <w:lvlText w:val="%2."/>
      <w:lvlJc w:val="left"/>
      <w:pPr>
        <w:tabs>
          <w:tab w:val="num" w:pos="2240"/>
        </w:tabs>
        <w:ind w:left="2240" w:hanging="360"/>
      </w:pPr>
      <w:rPr>
        <w:rFonts w:hint="default"/>
      </w:rPr>
    </w:lvl>
    <w:lvl w:ilvl="2" w:tplc="0409001B">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12" w15:restartNumberingAfterBreak="0">
    <w:nsid w:val="1FA70642"/>
    <w:multiLevelType w:val="hybridMultilevel"/>
    <w:tmpl w:val="F2E86FB8"/>
    <w:lvl w:ilvl="0" w:tplc="66C8866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70D56"/>
    <w:multiLevelType w:val="hybridMultilevel"/>
    <w:tmpl w:val="B98E1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E2CCA"/>
    <w:multiLevelType w:val="hybridMultilevel"/>
    <w:tmpl w:val="EDC8CEA8"/>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5" w15:restartNumberingAfterBreak="0">
    <w:nsid w:val="21660687"/>
    <w:multiLevelType w:val="multilevel"/>
    <w:tmpl w:val="49E094C8"/>
    <w:lvl w:ilvl="0">
      <w:start w:val="3"/>
      <w:numFmt w:val="decimalZero"/>
      <w:lvlText w:val="%1.01"/>
      <w:lvlJc w:val="left"/>
      <w:pPr>
        <w:tabs>
          <w:tab w:val="num" w:pos="810"/>
        </w:tabs>
        <w:ind w:left="810" w:hanging="810"/>
      </w:pPr>
      <w:rPr>
        <w:rFonts w:hint="default"/>
        <w:u w:val="none"/>
      </w:rPr>
    </w:lvl>
    <w:lvl w:ilvl="1">
      <w:start w:val="7"/>
      <w:numFmt w:val="decimalZero"/>
      <w:lvlText w:val="%1.%2"/>
      <w:lvlJc w:val="left"/>
      <w:pPr>
        <w:tabs>
          <w:tab w:val="num" w:pos="810"/>
        </w:tabs>
        <w:ind w:left="810" w:hanging="810"/>
      </w:pPr>
      <w:rPr>
        <w:rFonts w:hint="default"/>
        <w:u w:val="none"/>
      </w:rPr>
    </w:lvl>
    <w:lvl w:ilvl="2">
      <w:start w:val="1"/>
      <w:numFmt w:val="decimal"/>
      <w:lvlText w:val="%1.%2.%3"/>
      <w:lvlJc w:val="left"/>
      <w:pPr>
        <w:tabs>
          <w:tab w:val="num" w:pos="810"/>
        </w:tabs>
        <w:ind w:left="810" w:hanging="81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220D7D17"/>
    <w:multiLevelType w:val="hybridMultilevel"/>
    <w:tmpl w:val="539E6A2C"/>
    <w:lvl w:ilvl="0" w:tplc="1BD059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5457E"/>
    <w:multiLevelType w:val="multilevel"/>
    <w:tmpl w:val="8618E410"/>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lowerLetter"/>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C3859"/>
    <w:multiLevelType w:val="hybridMultilevel"/>
    <w:tmpl w:val="00260AC8"/>
    <w:lvl w:ilvl="0" w:tplc="B5B6B59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5FB589B"/>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2A1067"/>
    <w:multiLevelType w:val="hybridMultilevel"/>
    <w:tmpl w:val="CF940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0C3519"/>
    <w:multiLevelType w:val="hybridMultilevel"/>
    <w:tmpl w:val="FA0EA502"/>
    <w:lvl w:ilvl="0" w:tplc="ECEA67C6">
      <w:start w:val="1"/>
      <w:numFmt w:val="lowerLetter"/>
      <w:pStyle w:val="List-Alpha1"/>
      <w:lvlText w:val="%1."/>
      <w:lvlJc w:val="left"/>
      <w:pPr>
        <w:ind w:left="720" w:hanging="360"/>
      </w:pPr>
      <w:rPr>
        <w:rFonts w:hint="default"/>
      </w:rPr>
    </w:lvl>
    <w:lvl w:ilvl="1" w:tplc="72C0A240">
      <w:start w:val="1"/>
      <w:numFmt w:val="decimal"/>
      <w:pStyle w:val="List-Num1"/>
      <w:lvlText w:val="%2."/>
      <w:lvlJc w:val="left"/>
      <w:pPr>
        <w:ind w:left="12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C61DA7"/>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3" w15:restartNumberingAfterBreak="0">
    <w:nsid w:val="32ED59FD"/>
    <w:multiLevelType w:val="hybridMultilevel"/>
    <w:tmpl w:val="FDA67758"/>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4" w15:restartNumberingAfterBreak="0">
    <w:nsid w:val="381003B9"/>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5" w15:restartNumberingAfterBreak="0">
    <w:nsid w:val="3AC7184F"/>
    <w:multiLevelType w:val="hybridMultilevel"/>
    <w:tmpl w:val="A3FEF76C"/>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950A19"/>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7" w15:restartNumberingAfterBreak="0">
    <w:nsid w:val="3BA161E3"/>
    <w:multiLevelType w:val="hybridMultilevel"/>
    <w:tmpl w:val="AEFA4622"/>
    <w:lvl w:ilvl="0" w:tplc="F0800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092203"/>
    <w:multiLevelType w:val="multilevel"/>
    <w:tmpl w:val="66D442E0"/>
    <w:lvl w:ilvl="0">
      <w:start w:val="2"/>
      <w:numFmt w:val="decimalZero"/>
      <w:lvlText w:val="%1"/>
      <w:lvlJc w:val="left"/>
      <w:pPr>
        <w:tabs>
          <w:tab w:val="num" w:pos="1170"/>
        </w:tabs>
        <w:ind w:left="1170" w:hanging="1170"/>
      </w:pPr>
      <w:rPr>
        <w:rFonts w:cs="Arial" w:hint="default"/>
        <w:u w:val="none"/>
      </w:rPr>
    </w:lvl>
    <w:lvl w:ilvl="1">
      <w:start w:val="5"/>
      <w:numFmt w:val="decimalZero"/>
      <w:lvlText w:val="%1.%2"/>
      <w:lvlJc w:val="left"/>
      <w:pPr>
        <w:tabs>
          <w:tab w:val="num" w:pos="1170"/>
        </w:tabs>
        <w:ind w:left="1170" w:hanging="1170"/>
      </w:pPr>
      <w:rPr>
        <w:rFonts w:cs="Arial" w:hint="default"/>
        <w:u w:val="none"/>
      </w:rPr>
    </w:lvl>
    <w:lvl w:ilvl="2">
      <w:start w:val="1"/>
      <w:numFmt w:val="decimal"/>
      <w:lvlText w:val="%1.%2.%3"/>
      <w:lvlJc w:val="left"/>
      <w:pPr>
        <w:tabs>
          <w:tab w:val="num" w:pos="1718"/>
        </w:tabs>
        <w:ind w:left="1718" w:hanging="1170"/>
      </w:pPr>
      <w:rPr>
        <w:rFonts w:cs="Arial" w:hint="default"/>
        <w:u w:val="none"/>
      </w:rPr>
    </w:lvl>
    <w:lvl w:ilvl="3">
      <w:start w:val="1"/>
      <w:numFmt w:val="decimal"/>
      <w:lvlText w:val="%1.%2.%3.%4"/>
      <w:lvlJc w:val="left"/>
      <w:pPr>
        <w:tabs>
          <w:tab w:val="num" w:pos="1992"/>
        </w:tabs>
        <w:ind w:left="1992" w:hanging="1170"/>
      </w:pPr>
      <w:rPr>
        <w:rFonts w:cs="Arial" w:hint="default"/>
        <w:u w:val="none"/>
      </w:rPr>
    </w:lvl>
    <w:lvl w:ilvl="4">
      <w:start w:val="1"/>
      <w:numFmt w:val="decimal"/>
      <w:lvlText w:val="%1.%2.%3.%4.%5"/>
      <w:lvlJc w:val="left"/>
      <w:pPr>
        <w:tabs>
          <w:tab w:val="num" w:pos="2266"/>
        </w:tabs>
        <w:ind w:left="2266" w:hanging="1170"/>
      </w:pPr>
      <w:rPr>
        <w:rFonts w:cs="Arial" w:hint="default"/>
        <w:u w:val="none"/>
      </w:rPr>
    </w:lvl>
    <w:lvl w:ilvl="5">
      <w:start w:val="1"/>
      <w:numFmt w:val="decimal"/>
      <w:lvlText w:val="%1.%2.%3.%4.%5.%6"/>
      <w:lvlJc w:val="left"/>
      <w:pPr>
        <w:tabs>
          <w:tab w:val="num" w:pos="2810"/>
        </w:tabs>
        <w:ind w:left="2810" w:hanging="1440"/>
      </w:pPr>
      <w:rPr>
        <w:rFonts w:cs="Arial" w:hint="default"/>
        <w:u w:val="none"/>
      </w:rPr>
    </w:lvl>
    <w:lvl w:ilvl="6">
      <w:start w:val="1"/>
      <w:numFmt w:val="decimal"/>
      <w:lvlText w:val="%1.%2.%3.%4.%5.%6.%7"/>
      <w:lvlJc w:val="left"/>
      <w:pPr>
        <w:tabs>
          <w:tab w:val="num" w:pos="3084"/>
        </w:tabs>
        <w:ind w:left="3084" w:hanging="1440"/>
      </w:pPr>
      <w:rPr>
        <w:rFonts w:cs="Arial" w:hint="default"/>
        <w:u w:val="none"/>
      </w:rPr>
    </w:lvl>
    <w:lvl w:ilvl="7">
      <w:start w:val="1"/>
      <w:numFmt w:val="decimal"/>
      <w:lvlText w:val="%1.%2.%3.%4.%5.%6.%7.%8"/>
      <w:lvlJc w:val="left"/>
      <w:pPr>
        <w:tabs>
          <w:tab w:val="num" w:pos="3718"/>
        </w:tabs>
        <w:ind w:left="3718" w:hanging="1800"/>
      </w:pPr>
      <w:rPr>
        <w:rFonts w:cs="Arial" w:hint="default"/>
        <w:u w:val="none"/>
      </w:rPr>
    </w:lvl>
    <w:lvl w:ilvl="8">
      <w:start w:val="1"/>
      <w:numFmt w:val="decimal"/>
      <w:lvlText w:val="%1.%2.%3.%4.%5.%6.%7.%8.%9"/>
      <w:lvlJc w:val="left"/>
      <w:pPr>
        <w:tabs>
          <w:tab w:val="num" w:pos="3992"/>
        </w:tabs>
        <w:ind w:left="3992" w:hanging="1800"/>
      </w:pPr>
      <w:rPr>
        <w:rFonts w:cs="Arial" w:hint="default"/>
        <w:u w:val="none"/>
      </w:rPr>
    </w:lvl>
  </w:abstractNum>
  <w:abstractNum w:abstractNumId="29" w15:restartNumberingAfterBreak="0">
    <w:nsid w:val="40D97654"/>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30" w15:restartNumberingAfterBreak="0">
    <w:nsid w:val="41F517E3"/>
    <w:multiLevelType w:val="hybridMultilevel"/>
    <w:tmpl w:val="495CA232"/>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31" w15:restartNumberingAfterBreak="0">
    <w:nsid w:val="465F784C"/>
    <w:multiLevelType w:val="multilevel"/>
    <w:tmpl w:val="2AAC9778"/>
    <w:lvl w:ilvl="0">
      <w:start w:val="2"/>
      <w:numFmt w:val="decimalZero"/>
      <w:lvlText w:val="%1"/>
      <w:lvlJc w:val="left"/>
      <w:pPr>
        <w:tabs>
          <w:tab w:val="num" w:pos="1170"/>
        </w:tabs>
        <w:ind w:left="1170" w:hanging="1170"/>
      </w:pPr>
      <w:rPr>
        <w:rFonts w:cs="Arial" w:hint="default"/>
        <w:u w:val="none"/>
      </w:rPr>
    </w:lvl>
    <w:lvl w:ilvl="1">
      <w:start w:val="1"/>
      <w:numFmt w:val="decimalZero"/>
      <w:lvlText w:val="%1.%2"/>
      <w:lvlJc w:val="left"/>
      <w:pPr>
        <w:tabs>
          <w:tab w:val="num" w:pos="1170"/>
        </w:tabs>
        <w:ind w:left="1170" w:hanging="1170"/>
      </w:pPr>
      <w:rPr>
        <w:rFonts w:cs="Arial" w:hint="default"/>
        <w:u w:val="none"/>
      </w:rPr>
    </w:lvl>
    <w:lvl w:ilvl="2">
      <w:start w:val="1"/>
      <w:numFmt w:val="decimal"/>
      <w:lvlText w:val="%1.%2.%3"/>
      <w:lvlJc w:val="left"/>
      <w:pPr>
        <w:tabs>
          <w:tab w:val="num" w:pos="1718"/>
        </w:tabs>
        <w:ind w:left="1718" w:hanging="1170"/>
      </w:pPr>
      <w:rPr>
        <w:rFonts w:cs="Arial" w:hint="default"/>
        <w:u w:val="none"/>
      </w:rPr>
    </w:lvl>
    <w:lvl w:ilvl="3">
      <w:start w:val="1"/>
      <w:numFmt w:val="decimal"/>
      <w:lvlText w:val="%1.%2.%3.%4"/>
      <w:lvlJc w:val="left"/>
      <w:pPr>
        <w:tabs>
          <w:tab w:val="num" w:pos="1992"/>
        </w:tabs>
        <w:ind w:left="1992" w:hanging="1170"/>
      </w:pPr>
      <w:rPr>
        <w:rFonts w:cs="Arial" w:hint="default"/>
        <w:u w:val="none"/>
      </w:rPr>
    </w:lvl>
    <w:lvl w:ilvl="4">
      <w:start w:val="1"/>
      <w:numFmt w:val="decimal"/>
      <w:lvlText w:val="%1.%2.%3.%4.%5"/>
      <w:lvlJc w:val="left"/>
      <w:pPr>
        <w:tabs>
          <w:tab w:val="num" w:pos="2266"/>
        </w:tabs>
        <w:ind w:left="2266" w:hanging="1170"/>
      </w:pPr>
      <w:rPr>
        <w:rFonts w:cs="Arial" w:hint="default"/>
        <w:u w:val="none"/>
      </w:rPr>
    </w:lvl>
    <w:lvl w:ilvl="5">
      <w:start w:val="1"/>
      <w:numFmt w:val="decimal"/>
      <w:lvlText w:val="%1.%2.%3.%4.%5.%6"/>
      <w:lvlJc w:val="left"/>
      <w:pPr>
        <w:tabs>
          <w:tab w:val="num" w:pos="2810"/>
        </w:tabs>
        <w:ind w:left="2810" w:hanging="1440"/>
      </w:pPr>
      <w:rPr>
        <w:rFonts w:cs="Arial" w:hint="default"/>
        <w:u w:val="none"/>
      </w:rPr>
    </w:lvl>
    <w:lvl w:ilvl="6">
      <w:start w:val="1"/>
      <w:numFmt w:val="decimal"/>
      <w:lvlText w:val="%1.%2.%3.%4.%5.%6.%7"/>
      <w:lvlJc w:val="left"/>
      <w:pPr>
        <w:tabs>
          <w:tab w:val="num" w:pos="3084"/>
        </w:tabs>
        <w:ind w:left="3084" w:hanging="1440"/>
      </w:pPr>
      <w:rPr>
        <w:rFonts w:cs="Arial" w:hint="default"/>
        <w:u w:val="none"/>
      </w:rPr>
    </w:lvl>
    <w:lvl w:ilvl="7">
      <w:start w:val="1"/>
      <w:numFmt w:val="decimal"/>
      <w:lvlText w:val="%1.%2.%3.%4.%5.%6.%7.%8"/>
      <w:lvlJc w:val="left"/>
      <w:pPr>
        <w:tabs>
          <w:tab w:val="num" w:pos="3718"/>
        </w:tabs>
        <w:ind w:left="3718" w:hanging="1800"/>
      </w:pPr>
      <w:rPr>
        <w:rFonts w:cs="Arial" w:hint="default"/>
        <w:u w:val="none"/>
      </w:rPr>
    </w:lvl>
    <w:lvl w:ilvl="8">
      <w:start w:val="1"/>
      <w:numFmt w:val="decimal"/>
      <w:lvlText w:val="%1.%2.%3.%4.%5.%6.%7.%8.%9"/>
      <w:lvlJc w:val="left"/>
      <w:pPr>
        <w:tabs>
          <w:tab w:val="num" w:pos="3992"/>
        </w:tabs>
        <w:ind w:left="3992" w:hanging="1800"/>
      </w:pPr>
      <w:rPr>
        <w:rFonts w:cs="Arial" w:hint="default"/>
        <w:u w:val="none"/>
      </w:rPr>
    </w:lvl>
  </w:abstractNum>
  <w:abstractNum w:abstractNumId="32" w15:restartNumberingAfterBreak="0">
    <w:nsid w:val="469E4DBA"/>
    <w:multiLevelType w:val="hybridMultilevel"/>
    <w:tmpl w:val="0A9EC6B6"/>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3" w15:restartNumberingAfterBreak="0">
    <w:nsid w:val="542C61E6"/>
    <w:multiLevelType w:val="hybridMultilevel"/>
    <w:tmpl w:val="0A9EC6B6"/>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4" w15:restartNumberingAfterBreak="0">
    <w:nsid w:val="560F47BF"/>
    <w:multiLevelType w:val="hybridMultilevel"/>
    <w:tmpl w:val="27AA0358"/>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5" w15:restartNumberingAfterBreak="0">
    <w:nsid w:val="579F45A2"/>
    <w:multiLevelType w:val="hybridMultilevel"/>
    <w:tmpl w:val="495CA232"/>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36" w15:restartNumberingAfterBreak="0">
    <w:nsid w:val="57FE00CC"/>
    <w:multiLevelType w:val="hybridMultilevel"/>
    <w:tmpl w:val="01F8E7E4"/>
    <w:lvl w:ilvl="0" w:tplc="0034470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7" w15:restartNumberingAfterBreak="0">
    <w:nsid w:val="58C12695"/>
    <w:multiLevelType w:val="hybridMultilevel"/>
    <w:tmpl w:val="89201BF2"/>
    <w:lvl w:ilvl="0" w:tplc="92984736">
      <w:start w:val="1"/>
      <w:numFmt w:val="decimal"/>
      <w:lvlText w:val="%1."/>
      <w:lvlJc w:val="left"/>
      <w:pPr>
        <w:ind w:left="116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38" w15:restartNumberingAfterBreak="0">
    <w:nsid w:val="5A356FF7"/>
    <w:multiLevelType w:val="hybridMultilevel"/>
    <w:tmpl w:val="6C34A8EE"/>
    <w:lvl w:ilvl="0" w:tplc="0034470C">
      <w:start w:val="1"/>
      <w:numFmt w:val="lowerLetter"/>
      <w:lvlText w:val="%1."/>
      <w:lvlJc w:val="left"/>
      <w:pPr>
        <w:tabs>
          <w:tab w:val="num" w:pos="810"/>
        </w:tabs>
        <w:ind w:left="810" w:hanging="360"/>
      </w:pPr>
      <w:rPr>
        <w:rFonts w:hint="default"/>
      </w:rPr>
    </w:lvl>
    <w:lvl w:ilvl="1" w:tplc="DA466D20">
      <w:start w:val="1"/>
      <w:numFmt w:val="decimal"/>
      <w:lvlText w:val="(%2)"/>
      <w:lvlJc w:val="left"/>
      <w:pPr>
        <w:tabs>
          <w:tab w:val="num" w:pos="1361"/>
        </w:tabs>
        <w:ind w:left="153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604CA9"/>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0" w15:restartNumberingAfterBreak="0">
    <w:nsid w:val="5C3E7C49"/>
    <w:multiLevelType w:val="hybridMultilevel"/>
    <w:tmpl w:val="BC4C511C"/>
    <w:lvl w:ilvl="0" w:tplc="A1BC1E22">
      <w:start w:val="1"/>
      <w:numFmt w:val="lowerLetter"/>
      <w:lvlText w:val="%1."/>
      <w:lvlJc w:val="left"/>
      <w:pPr>
        <w:ind w:left="814" w:hanging="540"/>
      </w:pPr>
      <w:rPr>
        <w:rFonts w:cs="Times New Roman"/>
      </w:rPr>
    </w:lvl>
    <w:lvl w:ilvl="1" w:tplc="0409000F">
      <w:start w:val="1"/>
      <w:numFmt w:val="decimal"/>
      <w:lvlText w:val="%2."/>
      <w:lvlJc w:val="left"/>
      <w:pPr>
        <w:ind w:left="1354" w:hanging="360"/>
      </w:pPr>
    </w:lvl>
    <w:lvl w:ilvl="2" w:tplc="0409001B">
      <w:start w:val="1"/>
      <w:numFmt w:val="lowerRoman"/>
      <w:lvlText w:val="%3."/>
      <w:lvlJc w:val="right"/>
      <w:pPr>
        <w:ind w:left="2074" w:hanging="180"/>
      </w:pPr>
    </w:lvl>
    <w:lvl w:ilvl="3" w:tplc="0409000F">
      <w:start w:val="1"/>
      <w:numFmt w:val="decimal"/>
      <w:lvlText w:val="%4."/>
      <w:lvlJc w:val="left"/>
      <w:pPr>
        <w:ind w:left="2794" w:hanging="360"/>
      </w:pPr>
    </w:lvl>
    <w:lvl w:ilvl="4" w:tplc="04090019">
      <w:start w:val="1"/>
      <w:numFmt w:val="lowerLetter"/>
      <w:lvlText w:val="%5."/>
      <w:lvlJc w:val="left"/>
      <w:pPr>
        <w:ind w:left="3514" w:hanging="360"/>
      </w:pPr>
    </w:lvl>
    <w:lvl w:ilvl="5" w:tplc="0409001B">
      <w:start w:val="1"/>
      <w:numFmt w:val="lowerRoman"/>
      <w:lvlText w:val="%6."/>
      <w:lvlJc w:val="right"/>
      <w:pPr>
        <w:ind w:left="4234" w:hanging="180"/>
      </w:pPr>
    </w:lvl>
    <w:lvl w:ilvl="6" w:tplc="0409000F">
      <w:start w:val="1"/>
      <w:numFmt w:val="decimal"/>
      <w:lvlText w:val="%7."/>
      <w:lvlJc w:val="left"/>
      <w:pPr>
        <w:ind w:left="4954" w:hanging="360"/>
      </w:pPr>
    </w:lvl>
    <w:lvl w:ilvl="7" w:tplc="04090019">
      <w:start w:val="1"/>
      <w:numFmt w:val="lowerLetter"/>
      <w:lvlText w:val="%8."/>
      <w:lvlJc w:val="left"/>
      <w:pPr>
        <w:ind w:left="5674" w:hanging="360"/>
      </w:pPr>
    </w:lvl>
    <w:lvl w:ilvl="8" w:tplc="0409001B">
      <w:start w:val="1"/>
      <w:numFmt w:val="lowerRoman"/>
      <w:lvlText w:val="%9."/>
      <w:lvlJc w:val="right"/>
      <w:pPr>
        <w:ind w:left="6394" w:hanging="180"/>
      </w:pPr>
    </w:lvl>
  </w:abstractNum>
  <w:abstractNum w:abstractNumId="41" w15:restartNumberingAfterBreak="0">
    <w:nsid w:val="5D1F286D"/>
    <w:multiLevelType w:val="multilevel"/>
    <w:tmpl w:val="3DFA1054"/>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A927B2"/>
    <w:multiLevelType w:val="hybridMultilevel"/>
    <w:tmpl w:val="302A1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937D86"/>
    <w:multiLevelType w:val="hybridMultilevel"/>
    <w:tmpl w:val="7BDE5B66"/>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4" w15:restartNumberingAfterBreak="0">
    <w:nsid w:val="62854621"/>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5" w15:restartNumberingAfterBreak="0">
    <w:nsid w:val="66C133FA"/>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A3B241B"/>
    <w:multiLevelType w:val="hybridMultilevel"/>
    <w:tmpl w:val="27AA0358"/>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7" w15:restartNumberingAfterBreak="0">
    <w:nsid w:val="6A841194"/>
    <w:multiLevelType w:val="hybridMultilevel"/>
    <w:tmpl w:val="3DF44A2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8" w15:restartNumberingAfterBreak="0">
    <w:nsid w:val="6DD73131"/>
    <w:multiLevelType w:val="hybridMultilevel"/>
    <w:tmpl w:val="C99864F0"/>
    <w:lvl w:ilvl="0" w:tplc="E0FA8762">
      <w:start w:val="1"/>
      <w:numFmt w:val="decimal"/>
      <w:pStyle w:val="Appendix"/>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CC54A2"/>
    <w:multiLevelType w:val="hybridMultilevel"/>
    <w:tmpl w:val="18969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0" w15:restartNumberingAfterBreak="0">
    <w:nsid w:val="705D014A"/>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51" w15:restartNumberingAfterBreak="0">
    <w:nsid w:val="72613510"/>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52" w15:restartNumberingAfterBreak="0">
    <w:nsid w:val="76CA72AB"/>
    <w:multiLevelType w:val="hybridMultilevel"/>
    <w:tmpl w:val="9044E922"/>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53" w15:restartNumberingAfterBreak="0">
    <w:nsid w:val="76F55DF6"/>
    <w:multiLevelType w:val="hybridMultilevel"/>
    <w:tmpl w:val="06902C30"/>
    <w:lvl w:ilvl="0" w:tplc="0034470C">
      <w:start w:val="1"/>
      <w:numFmt w:val="lowerLetter"/>
      <w:lvlText w:val="%1."/>
      <w:lvlJc w:val="left"/>
      <w:pPr>
        <w:tabs>
          <w:tab w:val="num" w:pos="634"/>
        </w:tabs>
        <w:ind w:left="634" w:hanging="360"/>
      </w:pPr>
      <w:rPr>
        <w:rFonts w:hint="default"/>
      </w:rPr>
    </w:lvl>
    <w:lvl w:ilvl="1" w:tplc="931AB9BA">
      <w:start w:val="1"/>
      <w:numFmt w:val="decimal"/>
      <w:lvlText w:val="%2)"/>
      <w:lvlJc w:val="left"/>
      <w:pPr>
        <w:tabs>
          <w:tab w:val="num" w:pos="1440"/>
        </w:tabs>
        <w:ind w:left="1440" w:hanging="360"/>
      </w:pPr>
      <w:rPr>
        <w:rFonts w:hint="default"/>
      </w:rPr>
    </w:lvl>
    <w:lvl w:ilvl="2" w:tplc="9BBE620C">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C12231A"/>
    <w:multiLevelType w:val="hybridMultilevel"/>
    <w:tmpl w:val="BD32B1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E6C42A0"/>
    <w:multiLevelType w:val="hybridMultilevel"/>
    <w:tmpl w:val="B9D24586"/>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num w:numId="1">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1"/>
  </w:num>
  <w:num w:numId="3">
    <w:abstractNumId w:val="31"/>
  </w:num>
  <w:num w:numId="4">
    <w:abstractNumId w:val="15"/>
  </w:num>
  <w:num w:numId="5">
    <w:abstractNumId w:val="51"/>
  </w:num>
  <w:num w:numId="6">
    <w:abstractNumId w:val="38"/>
  </w:num>
  <w:num w:numId="7">
    <w:abstractNumId w:val="53"/>
  </w:num>
  <w:num w:numId="8">
    <w:abstractNumId w:val="6"/>
  </w:num>
  <w:num w:numId="9">
    <w:abstractNumId w:val="16"/>
  </w:num>
  <w:num w:numId="10">
    <w:abstractNumId w:val="27"/>
  </w:num>
  <w:num w:numId="11">
    <w:abstractNumId w:val="25"/>
  </w:num>
  <w:num w:numId="12">
    <w:abstractNumId w:val="46"/>
  </w:num>
  <w:num w:numId="13">
    <w:abstractNumId w:val="23"/>
  </w:num>
  <w:num w:numId="14">
    <w:abstractNumId w:val="30"/>
  </w:num>
  <w:num w:numId="15">
    <w:abstractNumId w:val="5"/>
  </w:num>
  <w:num w:numId="16">
    <w:abstractNumId w:val="47"/>
  </w:num>
  <w:num w:numId="17">
    <w:abstractNumId w:val="14"/>
  </w:num>
  <w:num w:numId="18">
    <w:abstractNumId w:val="52"/>
  </w:num>
  <w:num w:numId="19">
    <w:abstractNumId w:val="26"/>
  </w:num>
  <w:num w:numId="20">
    <w:abstractNumId w:val="28"/>
  </w:num>
  <w:num w:numId="21">
    <w:abstractNumId w:val="29"/>
  </w:num>
  <w:num w:numId="22">
    <w:abstractNumId w:val="54"/>
  </w:num>
  <w:num w:numId="23">
    <w:abstractNumId w:val="21"/>
  </w:num>
  <w:num w:numId="24">
    <w:abstractNumId w:val="19"/>
  </w:num>
  <w:num w:numId="25">
    <w:abstractNumId w:val="4"/>
  </w:num>
  <w:num w:numId="26">
    <w:abstractNumId w:val="12"/>
  </w:num>
  <w:num w:numId="27">
    <w:abstractNumId w:val="10"/>
  </w:num>
  <w:num w:numId="28">
    <w:abstractNumId w:val="55"/>
  </w:num>
  <w:num w:numId="29">
    <w:abstractNumId w:val="22"/>
  </w:num>
  <w:num w:numId="30">
    <w:abstractNumId w:val="13"/>
  </w:num>
  <w:num w:numId="31">
    <w:abstractNumId w:val="42"/>
  </w:num>
  <w:num w:numId="32">
    <w:abstractNumId w:val="43"/>
  </w:num>
  <w:num w:numId="33">
    <w:abstractNumId w:val="7"/>
  </w:num>
  <w:num w:numId="34">
    <w:abstractNumId w:val="39"/>
  </w:num>
  <w:num w:numId="35">
    <w:abstractNumId w:val="44"/>
  </w:num>
  <w:num w:numId="36">
    <w:abstractNumId w:val="35"/>
  </w:num>
  <w:num w:numId="37">
    <w:abstractNumId w:val="48"/>
  </w:num>
  <w:num w:numId="38">
    <w:abstractNumId w:val="37"/>
  </w:num>
  <w:num w:numId="39">
    <w:abstractNumId w:val="2"/>
  </w:num>
  <w:num w:numId="40">
    <w:abstractNumId w:val="3"/>
  </w:num>
  <w:num w:numId="41">
    <w:abstractNumId w:val="45"/>
  </w:num>
  <w:num w:numId="42">
    <w:abstractNumId w:val="24"/>
  </w:num>
  <w:num w:numId="43">
    <w:abstractNumId w:val="50"/>
  </w:num>
  <w:num w:numId="44">
    <w:abstractNumId w:val="34"/>
  </w:num>
  <w:num w:numId="45">
    <w:abstractNumId w:val="33"/>
  </w:num>
  <w:num w:numId="46">
    <w:abstractNumId w:val="8"/>
  </w:num>
  <w:num w:numId="47">
    <w:abstractNumId w:val="49"/>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32"/>
  </w:num>
  <w:num w:numId="51">
    <w:abstractNumId w:val="41"/>
  </w:num>
  <w:num w:numId="52">
    <w:abstractNumId w:val="17"/>
  </w:num>
  <w:num w:numId="53">
    <w:abstractNumId w:val="20"/>
  </w:num>
  <w:num w:numId="54">
    <w:abstractNumId w:val="18"/>
  </w:num>
  <w:num w:numId="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88"/>
    <w:rsid w:val="0000163B"/>
    <w:rsid w:val="000036B8"/>
    <w:rsid w:val="0000551F"/>
    <w:rsid w:val="00007125"/>
    <w:rsid w:val="0001179A"/>
    <w:rsid w:val="000122D7"/>
    <w:rsid w:val="00013F09"/>
    <w:rsid w:val="00021371"/>
    <w:rsid w:val="000244AC"/>
    <w:rsid w:val="00025043"/>
    <w:rsid w:val="000306C1"/>
    <w:rsid w:val="00032774"/>
    <w:rsid w:val="000345F6"/>
    <w:rsid w:val="000351C4"/>
    <w:rsid w:val="0003695B"/>
    <w:rsid w:val="00042516"/>
    <w:rsid w:val="00043247"/>
    <w:rsid w:val="00043EFA"/>
    <w:rsid w:val="000465A0"/>
    <w:rsid w:val="00060725"/>
    <w:rsid w:val="0006193C"/>
    <w:rsid w:val="000831F8"/>
    <w:rsid w:val="000922C5"/>
    <w:rsid w:val="00097D72"/>
    <w:rsid w:val="000A385A"/>
    <w:rsid w:val="000A4F2F"/>
    <w:rsid w:val="000A687A"/>
    <w:rsid w:val="000B0796"/>
    <w:rsid w:val="000B0A4B"/>
    <w:rsid w:val="000B1790"/>
    <w:rsid w:val="000B201C"/>
    <w:rsid w:val="000B5D10"/>
    <w:rsid w:val="000B6DBA"/>
    <w:rsid w:val="000C3D5D"/>
    <w:rsid w:val="000C4B6A"/>
    <w:rsid w:val="000C6C31"/>
    <w:rsid w:val="000D0872"/>
    <w:rsid w:val="000D0E99"/>
    <w:rsid w:val="000D36E1"/>
    <w:rsid w:val="000E156F"/>
    <w:rsid w:val="000E21AF"/>
    <w:rsid w:val="000F1297"/>
    <w:rsid w:val="000F7352"/>
    <w:rsid w:val="00101D99"/>
    <w:rsid w:val="00112009"/>
    <w:rsid w:val="0011543C"/>
    <w:rsid w:val="00116F92"/>
    <w:rsid w:val="00122AD4"/>
    <w:rsid w:val="00122FBE"/>
    <w:rsid w:val="00124938"/>
    <w:rsid w:val="001274D9"/>
    <w:rsid w:val="001318B2"/>
    <w:rsid w:val="00142458"/>
    <w:rsid w:val="00143425"/>
    <w:rsid w:val="00144A47"/>
    <w:rsid w:val="001524A3"/>
    <w:rsid w:val="001532A1"/>
    <w:rsid w:val="0015486C"/>
    <w:rsid w:val="00161ABB"/>
    <w:rsid w:val="001672A0"/>
    <w:rsid w:val="001735A5"/>
    <w:rsid w:val="001756D4"/>
    <w:rsid w:val="001815CB"/>
    <w:rsid w:val="001905D6"/>
    <w:rsid w:val="001915D4"/>
    <w:rsid w:val="00193444"/>
    <w:rsid w:val="00194141"/>
    <w:rsid w:val="001971BA"/>
    <w:rsid w:val="001B2E8E"/>
    <w:rsid w:val="001C5EE2"/>
    <w:rsid w:val="001D2CA5"/>
    <w:rsid w:val="001D6530"/>
    <w:rsid w:val="001E3375"/>
    <w:rsid w:val="001E77AD"/>
    <w:rsid w:val="001F07C9"/>
    <w:rsid w:val="001F1C7F"/>
    <w:rsid w:val="00202D7C"/>
    <w:rsid w:val="00216CE0"/>
    <w:rsid w:val="00223D42"/>
    <w:rsid w:val="00232104"/>
    <w:rsid w:val="002328DE"/>
    <w:rsid w:val="00232902"/>
    <w:rsid w:val="00234B19"/>
    <w:rsid w:val="002360A2"/>
    <w:rsid w:val="002365AA"/>
    <w:rsid w:val="00236EA8"/>
    <w:rsid w:val="00237ED0"/>
    <w:rsid w:val="0024286E"/>
    <w:rsid w:val="002522D5"/>
    <w:rsid w:val="00254ABB"/>
    <w:rsid w:val="002603C0"/>
    <w:rsid w:val="00261829"/>
    <w:rsid w:val="00262D09"/>
    <w:rsid w:val="00264093"/>
    <w:rsid w:val="00266A88"/>
    <w:rsid w:val="00272773"/>
    <w:rsid w:val="00272E8E"/>
    <w:rsid w:val="0027374B"/>
    <w:rsid w:val="00276CD6"/>
    <w:rsid w:val="0028103F"/>
    <w:rsid w:val="002825CE"/>
    <w:rsid w:val="00283584"/>
    <w:rsid w:val="0028713D"/>
    <w:rsid w:val="002905A8"/>
    <w:rsid w:val="002A1BB1"/>
    <w:rsid w:val="002A2E38"/>
    <w:rsid w:val="002A430C"/>
    <w:rsid w:val="002A535A"/>
    <w:rsid w:val="002A5943"/>
    <w:rsid w:val="002C5F78"/>
    <w:rsid w:val="002E3667"/>
    <w:rsid w:val="002F416B"/>
    <w:rsid w:val="00302932"/>
    <w:rsid w:val="003039C7"/>
    <w:rsid w:val="00303C8D"/>
    <w:rsid w:val="00313960"/>
    <w:rsid w:val="00325988"/>
    <w:rsid w:val="003314B2"/>
    <w:rsid w:val="00335560"/>
    <w:rsid w:val="0033571D"/>
    <w:rsid w:val="00336430"/>
    <w:rsid w:val="003379F8"/>
    <w:rsid w:val="00340E5D"/>
    <w:rsid w:val="0034648D"/>
    <w:rsid w:val="00346E91"/>
    <w:rsid w:val="00353DD1"/>
    <w:rsid w:val="003608FB"/>
    <w:rsid w:val="00373DC1"/>
    <w:rsid w:val="00377F61"/>
    <w:rsid w:val="003851FA"/>
    <w:rsid w:val="003864E9"/>
    <w:rsid w:val="00386629"/>
    <w:rsid w:val="003904C6"/>
    <w:rsid w:val="00391A7A"/>
    <w:rsid w:val="0039782F"/>
    <w:rsid w:val="003A19D3"/>
    <w:rsid w:val="003B1D8D"/>
    <w:rsid w:val="003B4694"/>
    <w:rsid w:val="003B64D4"/>
    <w:rsid w:val="003B6F97"/>
    <w:rsid w:val="003C0A00"/>
    <w:rsid w:val="003C260C"/>
    <w:rsid w:val="003C30E1"/>
    <w:rsid w:val="003C3287"/>
    <w:rsid w:val="003C5652"/>
    <w:rsid w:val="003D3EB1"/>
    <w:rsid w:val="003D41FE"/>
    <w:rsid w:val="003E1367"/>
    <w:rsid w:val="003E13EB"/>
    <w:rsid w:val="003E42F0"/>
    <w:rsid w:val="003E693B"/>
    <w:rsid w:val="003F0130"/>
    <w:rsid w:val="003F06BF"/>
    <w:rsid w:val="00400147"/>
    <w:rsid w:val="00402840"/>
    <w:rsid w:val="004306E7"/>
    <w:rsid w:val="00432F71"/>
    <w:rsid w:val="00441339"/>
    <w:rsid w:val="00444C10"/>
    <w:rsid w:val="00446BC6"/>
    <w:rsid w:val="00447961"/>
    <w:rsid w:val="00454975"/>
    <w:rsid w:val="00454B87"/>
    <w:rsid w:val="00462E01"/>
    <w:rsid w:val="00472A13"/>
    <w:rsid w:val="004771BF"/>
    <w:rsid w:val="00482E6A"/>
    <w:rsid w:val="0048453A"/>
    <w:rsid w:val="00493A05"/>
    <w:rsid w:val="00494932"/>
    <w:rsid w:val="004A21E0"/>
    <w:rsid w:val="004B1F31"/>
    <w:rsid w:val="004C3346"/>
    <w:rsid w:val="004D3035"/>
    <w:rsid w:val="004D3515"/>
    <w:rsid w:val="004D4273"/>
    <w:rsid w:val="004E4128"/>
    <w:rsid w:val="004E674E"/>
    <w:rsid w:val="004F0E1A"/>
    <w:rsid w:val="004F2293"/>
    <w:rsid w:val="004F74EB"/>
    <w:rsid w:val="005034F3"/>
    <w:rsid w:val="00503598"/>
    <w:rsid w:val="00504A25"/>
    <w:rsid w:val="00505F9E"/>
    <w:rsid w:val="0050618B"/>
    <w:rsid w:val="005152B1"/>
    <w:rsid w:val="005221CA"/>
    <w:rsid w:val="005247C8"/>
    <w:rsid w:val="00525671"/>
    <w:rsid w:val="00527985"/>
    <w:rsid w:val="00530C93"/>
    <w:rsid w:val="00533084"/>
    <w:rsid w:val="00534086"/>
    <w:rsid w:val="00534561"/>
    <w:rsid w:val="005346B4"/>
    <w:rsid w:val="005400F1"/>
    <w:rsid w:val="00541716"/>
    <w:rsid w:val="00543B77"/>
    <w:rsid w:val="00546E64"/>
    <w:rsid w:val="005527FD"/>
    <w:rsid w:val="00554573"/>
    <w:rsid w:val="00554E6B"/>
    <w:rsid w:val="00555C86"/>
    <w:rsid w:val="00564716"/>
    <w:rsid w:val="00571844"/>
    <w:rsid w:val="0057334A"/>
    <w:rsid w:val="00575C46"/>
    <w:rsid w:val="00581E56"/>
    <w:rsid w:val="00582D79"/>
    <w:rsid w:val="00583A8E"/>
    <w:rsid w:val="0058578A"/>
    <w:rsid w:val="0058622E"/>
    <w:rsid w:val="00590CD5"/>
    <w:rsid w:val="0059472C"/>
    <w:rsid w:val="00594AC1"/>
    <w:rsid w:val="00594C38"/>
    <w:rsid w:val="005A1397"/>
    <w:rsid w:val="005A66D4"/>
    <w:rsid w:val="005A79C4"/>
    <w:rsid w:val="005B1E37"/>
    <w:rsid w:val="005B6FFC"/>
    <w:rsid w:val="005C0F15"/>
    <w:rsid w:val="005C46E8"/>
    <w:rsid w:val="005C5F65"/>
    <w:rsid w:val="005C64B0"/>
    <w:rsid w:val="005D3782"/>
    <w:rsid w:val="005E0932"/>
    <w:rsid w:val="005E3387"/>
    <w:rsid w:val="005E51D0"/>
    <w:rsid w:val="005E585A"/>
    <w:rsid w:val="005F0ADE"/>
    <w:rsid w:val="005F222F"/>
    <w:rsid w:val="005F3A69"/>
    <w:rsid w:val="005F5A8F"/>
    <w:rsid w:val="005F7567"/>
    <w:rsid w:val="00603B97"/>
    <w:rsid w:val="00606D7E"/>
    <w:rsid w:val="00616FDC"/>
    <w:rsid w:val="00624BE1"/>
    <w:rsid w:val="00624C12"/>
    <w:rsid w:val="00625F51"/>
    <w:rsid w:val="00630FBF"/>
    <w:rsid w:val="00632EEF"/>
    <w:rsid w:val="006509B6"/>
    <w:rsid w:val="00655613"/>
    <w:rsid w:val="00655C34"/>
    <w:rsid w:val="00657064"/>
    <w:rsid w:val="006571CF"/>
    <w:rsid w:val="0066053B"/>
    <w:rsid w:val="006631ED"/>
    <w:rsid w:val="006632D1"/>
    <w:rsid w:val="00665905"/>
    <w:rsid w:val="00675523"/>
    <w:rsid w:val="0068437C"/>
    <w:rsid w:val="00687947"/>
    <w:rsid w:val="00692AA3"/>
    <w:rsid w:val="00695F3F"/>
    <w:rsid w:val="006B6F11"/>
    <w:rsid w:val="006C1CF7"/>
    <w:rsid w:val="006C2BB3"/>
    <w:rsid w:val="006D21D5"/>
    <w:rsid w:val="006D30CE"/>
    <w:rsid w:val="006D3145"/>
    <w:rsid w:val="006D3BBB"/>
    <w:rsid w:val="006D74C2"/>
    <w:rsid w:val="006D773A"/>
    <w:rsid w:val="006E3333"/>
    <w:rsid w:val="006F1F74"/>
    <w:rsid w:val="006F26F5"/>
    <w:rsid w:val="006F3C96"/>
    <w:rsid w:val="006F6B1F"/>
    <w:rsid w:val="00701008"/>
    <w:rsid w:val="00704D3E"/>
    <w:rsid w:val="00705C52"/>
    <w:rsid w:val="0071057D"/>
    <w:rsid w:val="0071285F"/>
    <w:rsid w:val="00712A79"/>
    <w:rsid w:val="00713A0A"/>
    <w:rsid w:val="00714D09"/>
    <w:rsid w:val="00717C37"/>
    <w:rsid w:val="00722397"/>
    <w:rsid w:val="007322CB"/>
    <w:rsid w:val="00734788"/>
    <w:rsid w:val="007417DA"/>
    <w:rsid w:val="007430A2"/>
    <w:rsid w:val="00743F8A"/>
    <w:rsid w:val="0075015C"/>
    <w:rsid w:val="00754EC4"/>
    <w:rsid w:val="00766152"/>
    <w:rsid w:val="00766870"/>
    <w:rsid w:val="00770023"/>
    <w:rsid w:val="007718F1"/>
    <w:rsid w:val="0078007D"/>
    <w:rsid w:val="00781643"/>
    <w:rsid w:val="00781C08"/>
    <w:rsid w:val="00782499"/>
    <w:rsid w:val="0079221C"/>
    <w:rsid w:val="007949F1"/>
    <w:rsid w:val="007A2EB7"/>
    <w:rsid w:val="007B061C"/>
    <w:rsid w:val="007B0DD1"/>
    <w:rsid w:val="007B38BA"/>
    <w:rsid w:val="007B70CE"/>
    <w:rsid w:val="007B76F3"/>
    <w:rsid w:val="007C6A10"/>
    <w:rsid w:val="007C6ED6"/>
    <w:rsid w:val="007C722F"/>
    <w:rsid w:val="007C7DE0"/>
    <w:rsid w:val="007D05B2"/>
    <w:rsid w:val="007D07A6"/>
    <w:rsid w:val="007D2DDE"/>
    <w:rsid w:val="007D337F"/>
    <w:rsid w:val="007E042A"/>
    <w:rsid w:val="007E1FD1"/>
    <w:rsid w:val="007F089D"/>
    <w:rsid w:val="007F2B6A"/>
    <w:rsid w:val="00801A2C"/>
    <w:rsid w:val="008122AA"/>
    <w:rsid w:val="00824CF7"/>
    <w:rsid w:val="008301DB"/>
    <w:rsid w:val="00832FC2"/>
    <w:rsid w:val="008363A8"/>
    <w:rsid w:val="00841A22"/>
    <w:rsid w:val="00846315"/>
    <w:rsid w:val="00850111"/>
    <w:rsid w:val="00865626"/>
    <w:rsid w:val="00866C0F"/>
    <w:rsid w:val="00872410"/>
    <w:rsid w:val="00872BC0"/>
    <w:rsid w:val="008770E6"/>
    <w:rsid w:val="008841B4"/>
    <w:rsid w:val="0088628D"/>
    <w:rsid w:val="0088697A"/>
    <w:rsid w:val="0089014E"/>
    <w:rsid w:val="00892BCC"/>
    <w:rsid w:val="0089357B"/>
    <w:rsid w:val="0089362A"/>
    <w:rsid w:val="008956BE"/>
    <w:rsid w:val="00896470"/>
    <w:rsid w:val="00896919"/>
    <w:rsid w:val="008A04CF"/>
    <w:rsid w:val="008A0D28"/>
    <w:rsid w:val="008A1BE3"/>
    <w:rsid w:val="008A270F"/>
    <w:rsid w:val="008A28FA"/>
    <w:rsid w:val="008B452E"/>
    <w:rsid w:val="008B654D"/>
    <w:rsid w:val="008C32DF"/>
    <w:rsid w:val="008C5E3A"/>
    <w:rsid w:val="008D4F00"/>
    <w:rsid w:val="008D5CEB"/>
    <w:rsid w:val="008D5D1A"/>
    <w:rsid w:val="008E0B39"/>
    <w:rsid w:val="008E30A2"/>
    <w:rsid w:val="008E31AB"/>
    <w:rsid w:val="008E5D1B"/>
    <w:rsid w:val="008F1E5B"/>
    <w:rsid w:val="008F75B9"/>
    <w:rsid w:val="00904D3D"/>
    <w:rsid w:val="009113AB"/>
    <w:rsid w:val="009116DF"/>
    <w:rsid w:val="00913D31"/>
    <w:rsid w:val="009147A0"/>
    <w:rsid w:val="00920D19"/>
    <w:rsid w:val="00922AAE"/>
    <w:rsid w:val="00930778"/>
    <w:rsid w:val="00940167"/>
    <w:rsid w:val="00943803"/>
    <w:rsid w:val="0094732D"/>
    <w:rsid w:val="00950025"/>
    <w:rsid w:val="0095528D"/>
    <w:rsid w:val="0096452F"/>
    <w:rsid w:val="009727D3"/>
    <w:rsid w:val="00974866"/>
    <w:rsid w:val="0097638F"/>
    <w:rsid w:val="00986ED6"/>
    <w:rsid w:val="00986F4F"/>
    <w:rsid w:val="00990FE7"/>
    <w:rsid w:val="00992D29"/>
    <w:rsid w:val="009A60A4"/>
    <w:rsid w:val="009C35C1"/>
    <w:rsid w:val="009C4776"/>
    <w:rsid w:val="009C6AF4"/>
    <w:rsid w:val="009D0518"/>
    <w:rsid w:val="009E308C"/>
    <w:rsid w:val="009F4514"/>
    <w:rsid w:val="00A02129"/>
    <w:rsid w:val="00A03F42"/>
    <w:rsid w:val="00A10627"/>
    <w:rsid w:val="00A11446"/>
    <w:rsid w:val="00A17980"/>
    <w:rsid w:val="00A30666"/>
    <w:rsid w:val="00A37927"/>
    <w:rsid w:val="00A413C8"/>
    <w:rsid w:val="00A47A26"/>
    <w:rsid w:val="00A56345"/>
    <w:rsid w:val="00A603FD"/>
    <w:rsid w:val="00A6182E"/>
    <w:rsid w:val="00A618FC"/>
    <w:rsid w:val="00A66E4A"/>
    <w:rsid w:val="00A703D0"/>
    <w:rsid w:val="00A731F6"/>
    <w:rsid w:val="00A77134"/>
    <w:rsid w:val="00A77B6E"/>
    <w:rsid w:val="00A8023B"/>
    <w:rsid w:val="00A832D4"/>
    <w:rsid w:val="00A85C4B"/>
    <w:rsid w:val="00A96A33"/>
    <w:rsid w:val="00AA6CE8"/>
    <w:rsid w:val="00AB3848"/>
    <w:rsid w:val="00AB6FF0"/>
    <w:rsid w:val="00AC1125"/>
    <w:rsid w:val="00AC4045"/>
    <w:rsid w:val="00AD5377"/>
    <w:rsid w:val="00AF0E84"/>
    <w:rsid w:val="00AF5C12"/>
    <w:rsid w:val="00B13E26"/>
    <w:rsid w:val="00B16570"/>
    <w:rsid w:val="00B212C4"/>
    <w:rsid w:val="00B23918"/>
    <w:rsid w:val="00B35E31"/>
    <w:rsid w:val="00B435DF"/>
    <w:rsid w:val="00B44244"/>
    <w:rsid w:val="00B479A1"/>
    <w:rsid w:val="00B5410F"/>
    <w:rsid w:val="00B57335"/>
    <w:rsid w:val="00B63510"/>
    <w:rsid w:val="00B716B9"/>
    <w:rsid w:val="00B7329D"/>
    <w:rsid w:val="00B77F6A"/>
    <w:rsid w:val="00B8183E"/>
    <w:rsid w:val="00B82C79"/>
    <w:rsid w:val="00B83334"/>
    <w:rsid w:val="00B8395B"/>
    <w:rsid w:val="00B93443"/>
    <w:rsid w:val="00B96C07"/>
    <w:rsid w:val="00B97A36"/>
    <w:rsid w:val="00BA06F9"/>
    <w:rsid w:val="00BA5DC7"/>
    <w:rsid w:val="00BB556E"/>
    <w:rsid w:val="00BB5B00"/>
    <w:rsid w:val="00BC732C"/>
    <w:rsid w:val="00BD16F2"/>
    <w:rsid w:val="00BD1DEE"/>
    <w:rsid w:val="00BD52C8"/>
    <w:rsid w:val="00BE0C72"/>
    <w:rsid w:val="00BE17F1"/>
    <w:rsid w:val="00BE5BBE"/>
    <w:rsid w:val="00BF374C"/>
    <w:rsid w:val="00C0052F"/>
    <w:rsid w:val="00C04BB5"/>
    <w:rsid w:val="00C06422"/>
    <w:rsid w:val="00C161FD"/>
    <w:rsid w:val="00C20825"/>
    <w:rsid w:val="00C31F1A"/>
    <w:rsid w:val="00C36025"/>
    <w:rsid w:val="00C374D5"/>
    <w:rsid w:val="00C40510"/>
    <w:rsid w:val="00C405EA"/>
    <w:rsid w:val="00C43DD9"/>
    <w:rsid w:val="00C4408B"/>
    <w:rsid w:val="00C5710C"/>
    <w:rsid w:val="00C57A1B"/>
    <w:rsid w:val="00C630B3"/>
    <w:rsid w:val="00C6378B"/>
    <w:rsid w:val="00C72A04"/>
    <w:rsid w:val="00C75898"/>
    <w:rsid w:val="00C8056C"/>
    <w:rsid w:val="00C852F1"/>
    <w:rsid w:val="00C90C76"/>
    <w:rsid w:val="00CA04F7"/>
    <w:rsid w:val="00CA14B4"/>
    <w:rsid w:val="00CB7D11"/>
    <w:rsid w:val="00CC2E80"/>
    <w:rsid w:val="00CC38AA"/>
    <w:rsid w:val="00CC681F"/>
    <w:rsid w:val="00CD0296"/>
    <w:rsid w:val="00CE0074"/>
    <w:rsid w:val="00CE025D"/>
    <w:rsid w:val="00CE616E"/>
    <w:rsid w:val="00CF0C67"/>
    <w:rsid w:val="00CF0F25"/>
    <w:rsid w:val="00CF2A91"/>
    <w:rsid w:val="00CF4109"/>
    <w:rsid w:val="00CF5B39"/>
    <w:rsid w:val="00D018B9"/>
    <w:rsid w:val="00D06E36"/>
    <w:rsid w:val="00D113B5"/>
    <w:rsid w:val="00D11D6B"/>
    <w:rsid w:val="00D12CED"/>
    <w:rsid w:val="00D166FF"/>
    <w:rsid w:val="00D21432"/>
    <w:rsid w:val="00D21C35"/>
    <w:rsid w:val="00D32091"/>
    <w:rsid w:val="00D3548B"/>
    <w:rsid w:val="00D3715E"/>
    <w:rsid w:val="00D40E2A"/>
    <w:rsid w:val="00D45236"/>
    <w:rsid w:val="00D457A5"/>
    <w:rsid w:val="00D53D6C"/>
    <w:rsid w:val="00D61A19"/>
    <w:rsid w:val="00D63091"/>
    <w:rsid w:val="00D641EB"/>
    <w:rsid w:val="00D64D61"/>
    <w:rsid w:val="00D81F30"/>
    <w:rsid w:val="00D84334"/>
    <w:rsid w:val="00D84BC6"/>
    <w:rsid w:val="00D8511E"/>
    <w:rsid w:val="00D87CF7"/>
    <w:rsid w:val="00D90F4E"/>
    <w:rsid w:val="00D9361B"/>
    <w:rsid w:val="00D93B78"/>
    <w:rsid w:val="00D95FDB"/>
    <w:rsid w:val="00DA2B5A"/>
    <w:rsid w:val="00DB206C"/>
    <w:rsid w:val="00DB509E"/>
    <w:rsid w:val="00DB50A5"/>
    <w:rsid w:val="00DC0D91"/>
    <w:rsid w:val="00DC12B9"/>
    <w:rsid w:val="00DC789C"/>
    <w:rsid w:val="00DD0BB1"/>
    <w:rsid w:val="00DD17F6"/>
    <w:rsid w:val="00DD38AF"/>
    <w:rsid w:val="00DE5F15"/>
    <w:rsid w:val="00DF30BB"/>
    <w:rsid w:val="00DF48F9"/>
    <w:rsid w:val="00E05A13"/>
    <w:rsid w:val="00E06F12"/>
    <w:rsid w:val="00E223BF"/>
    <w:rsid w:val="00E238D3"/>
    <w:rsid w:val="00E34C79"/>
    <w:rsid w:val="00E3547F"/>
    <w:rsid w:val="00E36765"/>
    <w:rsid w:val="00E52202"/>
    <w:rsid w:val="00E535DF"/>
    <w:rsid w:val="00E56F37"/>
    <w:rsid w:val="00E60991"/>
    <w:rsid w:val="00E63DFE"/>
    <w:rsid w:val="00E663E4"/>
    <w:rsid w:val="00E67929"/>
    <w:rsid w:val="00E701D4"/>
    <w:rsid w:val="00E703C1"/>
    <w:rsid w:val="00E73F0C"/>
    <w:rsid w:val="00E74972"/>
    <w:rsid w:val="00E77757"/>
    <w:rsid w:val="00E77AA9"/>
    <w:rsid w:val="00E86F84"/>
    <w:rsid w:val="00E90B4B"/>
    <w:rsid w:val="00E91EAD"/>
    <w:rsid w:val="00E94508"/>
    <w:rsid w:val="00EA589D"/>
    <w:rsid w:val="00EB0A14"/>
    <w:rsid w:val="00EC05C5"/>
    <w:rsid w:val="00EC07E8"/>
    <w:rsid w:val="00ED00FF"/>
    <w:rsid w:val="00ED262A"/>
    <w:rsid w:val="00EE2651"/>
    <w:rsid w:val="00EE7888"/>
    <w:rsid w:val="00EE7F5E"/>
    <w:rsid w:val="00EF5EF8"/>
    <w:rsid w:val="00EF5FC3"/>
    <w:rsid w:val="00F03AE8"/>
    <w:rsid w:val="00F06F2E"/>
    <w:rsid w:val="00F279E7"/>
    <w:rsid w:val="00F363A7"/>
    <w:rsid w:val="00F4307B"/>
    <w:rsid w:val="00F45302"/>
    <w:rsid w:val="00F516C8"/>
    <w:rsid w:val="00F5469F"/>
    <w:rsid w:val="00F551E7"/>
    <w:rsid w:val="00F6334F"/>
    <w:rsid w:val="00F67F3F"/>
    <w:rsid w:val="00F738D6"/>
    <w:rsid w:val="00F7683B"/>
    <w:rsid w:val="00F80BBA"/>
    <w:rsid w:val="00F826EF"/>
    <w:rsid w:val="00F86F2C"/>
    <w:rsid w:val="00F91B05"/>
    <w:rsid w:val="00F97A9A"/>
    <w:rsid w:val="00FA05CC"/>
    <w:rsid w:val="00FA16F5"/>
    <w:rsid w:val="00FA41CE"/>
    <w:rsid w:val="00FA65BA"/>
    <w:rsid w:val="00FB04B1"/>
    <w:rsid w:val="00FB2F06"/>
    <w:rsid w:val="00FB4CC6"/>
    <w:rsid w:val="00FB6FA4"/>
    <w:rsid w:val="00FB7E9D"/>
    <w:rsid w:val="00FC13B2"/>
    <w:rsid w:val="00FC2153"/>
    <w:rsid w:val="00FC4359"/>
    <w:rsid w:val="00FC518B"/>
    <w:rsid w:val="00FD21AB"/>
    <w:rsid w:val="00FD37D0"/>
    <w:rsid w:val="00FD77E9"/>
    <w:rsid w:val="00FE01E4"/>
    <w:rsid w:val="00FE15A2"/>
    <w:rsid w:val="00FE3C77"/>
    <w:rsid w:val="00FF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92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840" w:hanging="600"/>
      <w:outlineLvl w:val="0"/>
    </w:pPr>
  </w:style>
  <w:style w:type="paragraph" w:styleId="Header">
    <w:name w:val="header"/>
    <w:basedOn w:val="Normal"/>
    <w:rsid w:val="000B0A4B"/>
    <w:pPr>
      <w:tabs>
        <w:tab w:val="center" w:pos="4320"/>
        <w:tab w:val="right" w:pos="8640"/>
      </w:tabs>
    </w:pPr>
  </w:style>
  <w:style w:type="paragraph" w:styleId="Footer">
    <w:name w:val="footer"/>
    <w:basedOn w:val="Normal"/>
    <w:rsid w:val="000B0A4B"/>
    <w:pPr>
      <w:tabs>
        <w:tab w:val="center" w:pos="4320"/>
        <w:tab w:val="right" w:pos="8640"/>
      </w:tabs>
    </w:pPr>
  </w:style>
  <w:style w:type="paragraph" w:styleId="BalloonText">
    <w:name w:val="Balloon Text"/>
    <w:basedOn w:val="Normal"/>
    <w:semiHidden/>
    <w:rsid w:val="00DF30BB"/>
    <w:rPr>
      <w:rFonts w:ascii="Tahoma" w:hAnsi="Tahoma" w:cs="Tahoma"/>
      <w:sz w:val="16"/>
      <w:szCs w:val="16"/>
    </w:rPr>
  </w:style>
  <w:style w:type="paragraph" w:customStyle="1" w:styleId="AppendixTitle">
    <w:name w:val="Appendix Title"/>
    <w:basedOn w:val="Normal"/>
    <w:rsid w:val="007E1FD1"/>
    <w:pPr>
      <w:widowControl/>
      <w:tabs>
        <w:tab w:val="left" w:pos="2880"/>
      </w:tabs>
      <w:autoSpaceDE/>
      <w:autoSpaceDN/>
      <w:adjustRightInd/>
      <w:jc w:val="center"/>
    </w:pPr>
    <w:rPr>
      <w:rFonts w:cs="Arial"/>
    </w:rPr>
  </w:style>
  <w:style w:type="character" w:styleId="CommentReference">
    <w:name w:val="annotation reference"/>
    <w:rsid w:val="00DB206C"/>
    <w:rPr>
      <w:sz w:val="16"/>
      <w:szCs w:val="16"/>
    </w:rPr>
  </w:style>
  <w:style w:type="paragraph" w:styleId="CommentText">
    <w:name w:val="annotation text"/>
    <w:basedOn w:val="Normal"/>
    <w:link w:val="CommentTextChar"/>
    <w:rsid w:val="00DB206C"/>
    <w:rPr>
      <w:sz w:val="20"/>
      <w:szCs w:val="20"/>
    </w:rPr>
  </w:style>
  <w:style w:type="character" w:customStyle="1" w:styleId="CommentTextChar">
    <w:name w:val="Comment Text Char"/>
    <w:link w:val="CommentText"/>
    <w:rsid w:val="00DB206C"/>
    <w:rPr>
      <w:rFonts w:ascii="Arial" w:hAnsi="Arial"/>
    </w:rPr>
  </w:style>
  <w:style w:type="paragraph" w:styleId="CommentSubject">
    <w:name w:val="annotation subject"/>
    <w:basedOn w:val="CommentText"/>
    <w:next w:val="CommentText"/>
    <w:link w:val="CommentSubjectChar"/>
    <w:rsid w:val="00DB206C"/>
    <w:rPr>
      <w:b/>
      <w:bCs/>
    </w:rPr>
  </w:style>
  <w:style w:type="character" w:customStyle="1" w:styleId="CommentSubjectChar">
    <w:name w:val="Comment Subject Char"/>
    <w:link w:val="CommentSubject"/>
    <w:rsid w:val="00DB206C"/>
    <w:rPr>
      <w:rFonts w:ascii="Arial" w:hAnsi="Arial"/>
      <w:b/>
      <w:bCs/>
    </w:rPr>
  </w:style>
  <w:style w:type="paragraph" w:styleId="ListParagraph">
    <w:name w:val="List Paragraph"/>
    <w:basedOn w:val="Normal"/>
    <w:link w:val="ListParagraphChar"/>
    <w:uiPriority w:val="34"/>
    <w:qFormat/>
    <w:rsid w:val="00CF5B39"/>
    <w:pPr>
      <w:ind w:left="720"/>
    </w:pPr>
  </w:style>
  <w:style w:type="paragraph" w:customStyle="1" w:styleId="List-Alpha1">
    <w:name w:val="List - Alpha1"/>
    <w:basedOn w:val="Normal"/>
    <w:link w:val="List-Alpha1Char"/>
    <w:qFormat/>
    <w:rsid w:val="00BA06F9"/>
    <w:pPr>
      <w:numPr>
        <w:numId w:val="23"/>
      </w:numPr>
      <w:tabs>
        <w:tab w:val="left" w:pos="720"/>
      </w:tabs>
      <w:spacing w:after="200"/>
    </w:pPr>
  </w:style>
  <w:style w:type="paragraph" w:customStyle="1" w:styleId="List-Num1">
    <w:name w:val="List - Num1"/>
    <w:basedOn w:val="List-Alpha1"/>
    <w:link w:val="List-Num1Char"/>
    <w:qFormat/>
    <w:rsid w:val="00BA06F9"/>
    <w:pPr>
      <w:numPr>
        <w:ilvl w:val="1"/>
      </w:numPr>
      <w:tabs>
        <w:tab w:val="clear" w:pos="720"/>
        <w:tab w:val="left" w:pos="1260"/>
      </w:tabs>
    </w:pPr>
  </w:style>
  <w:style w:type="character" w:customStyle="1" w:styleId="List-Num1Char">
    <w:name w:val="List - Num1 Char"/>
    <w:link w:val="List-Num1"/>
    <w:rsid w:val="00BA06F9"/>
    <w:rPr>
      <w:rFonts w:ascii="Arial" w:hAnsi="Arial"/>
      <w:sz w:val="24"/>
      <w:szCs w:val="24"/>
    </w:rPr>
  </w:style>
  <w:style w:type="character" w:customStyle="1" w:styleId="List-Alpha1Char">
    <w:name w:val="List - Alpha1 Char"/>
    <w:link w:val="List-Alpha1"/>
    <w:rsid w:val="00BA06F9"/>
    <w:rPr>
      <w:rFonts w:ascii="Arial" w:hAnsi="Arial"/>
      <w:sz w:val="24"/>
      <w:szCs w:val="24"/>
    </w:rPr>
  </w:style>
  <w:style w:type="character" w:styleId="LineNumber">
    <w:name w:val="line number"/>
    <w:basedOn w:val="DefaultParagraphFont"/>
    <w:rsid w:val="003F0130"/>
  </w:style>
  <w:style w:type="paragraph" w:customStyle="1" w:styleId="Appendix">
    <w:name w:val="Appendix"/>
    <w:basedOn w:val="Normal"/>
    <w:qFormat/>
    <w:rsid w:val="000F7352"/>
    <w:pPr>
      <w:widowControl/>
      <w:numPr>
        <w:numId w:val="37"/>
      </w:numPr>
      <w:autoSpaceDE/>
      <w:autoSpaceDN/>
      <w:adjustRightInd/>
      <w:spacing w:after="200" w:line="276" w:lineRule="auto"/>
      <w:ind w:right="-180"/>
    </w:pPr>
    <w:rPr>
      <w:rFonts w:ascii="Times New Roman" w:eastAsiaTheme="minorEastAsia" w:hAnsi="Times New Roman"/>
      <w:b/>
      <w:sz w:val="22"/>
      <w:szCs w:val="22"/>
    </w:rPr>
  </w:style>
  <w:style w:type="paragraph" w:customStyle="1" w:styleId="RefernceStyle">
    <w:name w:val="RefernceStyle"/>
    <w:basedOn w:val="Appendix"/>
    <w:link w:val="RefernceStyleChar"/>
    <w:qFormat/>
    <w:rsid w:val="000F7352"/>
    <w:rPr>
      <w:b w:val="0"/>
    </w:rPr>
  </w:style>
  <w:style w:type="character" w:customStyle="1" w:styleId="RefernceStyleChar">
    <w:name w:val="RefernceStyle Char"/>
    <w:basedOn w:val="DefaultParagraphFont"/>
    <w:link w:val="RefernceStyle"/>
    <w:rsid w:val="000F7352"/>
    <w:rPr>
      <w:rFonts w:eastAsiaTheme="minorEastAsia"/>
      <w:sz w:val="22"/>
      <w:szCs w:val="22"/>
    </w:rPr>
  </w:style>
  <w:style w:type="character" w:customStyle="1" w:styleId="ListParagraphChar">
    <w:name w:val="List Paragraph Char"/>
    <w:link w:val="ListParagraph"/>
    <w:uiPriority w:val="34"/>
    <w:locked/>
    <w:rsid w:val="005A79C4"/>
    <w:rPr>
      <w:rFonts w:ascii="Arial" w:hAnsi="Arial"/>
      <w:sz w:val="24"/>
      <w:szCs w:val="24"/>
    </w:rPr>
  </w:style>
  <w:style w:type="paragraph" w:styleId="NormalWeb">
    <w:name w:val="Normal (Web)"/>
    <w:basedOn w:val="Normal"/>
    <w:uiPriority w:val="99"/>
    <w:semiHidden/>
    <w:unhideWhenUsed/>
    <w:rsid w:val="000922C5"/>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557">
      <w:bodyDiv w:val="1"/>
      <w:marLeft w:val="0"/>
      <w:marRight w:val="0"/>
      <w:marTop w:val="0"/>
      <w:marBottom w:val="0"/>
      <w:divBdr>
        <w:top w:val="none" w:sz="0" w:space="0" w:color="auto"/>
        <w:left w:val="none" w:sz="0" w:space="0" w:color="auto"/>
        <w:bottom w:val="none" w:sz="0" w:space="0" w:color="auto"/>
        <w:right w:val="none" w:sz="0" w:space="0" w:color="auto"/>
      </w:divBdr>
    </w:div>
    <w:div w:id="352806344">
      <w:bodyDiv w:val="1"/>
      <w:marLeft w:val="0"/>
      <w:marRight w:val="0"/>
      <w:marTop w:val="0"/>
      <w:marBottom w:val="0"/>
      <w:divBdr>
        <w:top w:val="none" w:sz="0" w:space="0" w:color="auto"/>
        <w:left w:val="none" w:sz="0" w:space="0" w:color="auto"/>
        <w:bottom w:val="none" w:sz="0" w:space="0" w:color="auto"/>
        <w:right w:val="none" w:sz="0" w:space="0" w:color="auto"/>
      </w:divBdr>
    </w:div>
    <w:div w:id="457837116">
      <w:bodyDiv w:val="1"/>
      <w:marLeft w:val="0"/>
      <w:marRight w:val="0"/>
      <w:marTop w:val="0"/>
      <w:marBottom w:val="0"/>
      <w:divBdr>
        <w:top w:val="none" w:sz="0" w:space="0" w:color="auto"/>
        <w:left w:val="none" w:sz="0" w:space="0" w:color="auto"/>
        <w:bottom w:val="none" w:sz="0" w:space="0" w:color="auto"/>
        <w:right w:val="none" w:sz="0" w:space="0" w:color="auto"/>
      </w:divBdr>
    </w:div>
    <w:div w:id="519663384">
      <w:bodyDiv w:val="1"/>
      <w:marLeft w:val="0"/>
      <w:marRight w:val="0"/>
      <w:marTop w:val="0"/>
      <w:marBottom w:val="0"/>
      <w:divBdr>
        <w:top w:val="none" w:sz="0" w:space="0" w:color="auto"/>
        <w:left w:val="none" w:sz="0" w:space="0" w:color="auto"/>
        <w:bottom w:val="none" w:sz="0" w:space="0" w:color="auto"/>
        <w:right w:val="none" w:sz="0" w:space="0" w:color="auto"/>
      </w:divBdr>
    </w:div>
    <w:div w:id="578639040">
      <w:bodyDiv w:val="1"/>
      <w:marLeft w:val="0"/>
      <w:marRight w:val="0"/>
      <w:marTop w:val="0"/>
      <w:marBottom w:val="0"/>
      <w:divBdr>
        <w:top w:val="none" w:sz="0" w:space="0" w:color="auto"/>
        <w:left w:val="none" w:sz="0" w:space="0" w:color="auto"/>
        <w:bottom w:val="none" w:sz="0" w:space="0" w:color="auto"/>
        <w:right w:val="none" w:sz="0" w:space="0" w:color="auto"/>
      </w:divBdr>
    </w:div>
    <w:div w:id="1651640071">
      <w:bodyDiv w:val="1"/>
      <w:marLeft w:val="0"/>
      <w:marRight w:val="0"/>
      <w:marTop w:val="0"/>
      <w:marBottom w:val="0"/>
      <w:divBdr>
        <w:top w:val="none" w:sz="0" w:space="0" w:color="auto"/>
        <w:left w:val="none" w:sz="0" w:space="0" w:color="auto"/>
        <w:bottom w:val="none" w:sz="0" w:space="0" w:color="auto"/>
        <w:right w:val="none" w:sz="0" w:space="0" w:color="auto"/>
      </w:divBdr>
    </w:div>
    <w:div w:id="1682050136">
      <w:bodyDiv w:val="1"/>
      <w:marLeft w:val="0"/>
      <w:marRight w:val="0"/>
      <w:marTop w:val="0"/>
      <w:marBottom w:val="0"/>
      <w:divBdr>
        <w:top w:val="none" w:sz="0" w:space="0" w:color="auto"/>
        <w:left w:val="none" w:sz="0" w:space="0" w:color="auto"/>
        <w:bottom w:val="none" w:sz="0" w:space="0" w:color="auto"/>
        <w:right w:val="none" w:sz="0" w:space="0" w:color="auto"/>
      </w:divBdr>
    </w:div>
    <w:div w:id="1942713229">
      <w:bodyDiv w:val="1"/>
      <w:marLeft w:val="0"/>
      <w:marRight w:val="0"/>
      <w:marTop w:val="0"/>
      <w:marBottom w:val="0"/>
      <w:divBdr>
        <w:top w:val="none" w:sz="0" w:space="0" w:color="auto"/>
        <w:left w:val="none" w:sz="0" w:space="0" w:color="auto"/>
        <w:bottom w:val="none" w:sz="0" w:space="0" w:color="auto"/>
        <w:right w:val="none" w:sz="0" w:space="0" w:color="auto"/>
      </w:divBdr>
    </w:div>
    <w:div w:id="20653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92065-0828-45C8-B75F-A13FB7CF9EA1}">
  <ds:schemaRefs>
    <ds:schemaRef ds:uri="http://schemas.microsoft.com/sharepoint/v3/contenttype/forms"/>
  </ds:schemaRefs>
</ds:datastoreItem>
</file>

<file path=customXml/itemProps2.xml><?xml version="1.0" encoding="utf-8"?>
<ds:datastoreItem xmlns:ds="http://schemas.openxmlformats.org/officeDocument/2006/customXml" ds:itemID="{0393FB8B-CEA8-4548-91BE-B6871435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779BCC-0DA4-4013-9E46-0020DADB8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008F73-760B-4606-A5EC-38E0D47A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3898</Words>
  <Characters>22224</Characters>
  <Application>Microsoft Office Word</Application>
  <DocSecurity>2</DocSecurity>
  <Lines>185</Lines>
  <Paragraphs>52</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26070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2009-07-08T19:22:00Z</cp:lastPrinted>
  <dcterms:created xsi:type="dcterms:W3CDTF">2017-12-21T11:46:00Z</dcterms:created>
  <dcterms:modified xsi:type="dcterms:W3CDTF">2017-12-21T11:47:00Z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