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58A" w:rsidRDefault="00F4458A" w:rsidP="00F4458A">
      <w:pPr>
        <w:tabs>
          <w:tab w:val="left" w:pos="2160"/>
          <w:tab w:val="left" w:pos="8827"/>
        </w:tabs>
        <w:jc w:val="both"/>
      </w:pPr>
      <w:r>
        <w:rPr>
          <w:b/>
          <w:bCs/>
          <w:sz w:val="38"/>
          <w:szCs w:val="38"/>
        </w:rPr>
        <w:tab/>
      </w:r>
      <w:r w:rsidRPr="00533FD4">
        <w:rPr>
          <w:b/>
          <w:bCs/>
          <w:sz w:val="38"/>
          <w:szCs w:val="38"/>
        </w:rPr>
        <w:t>NRC INSPECTION MANUAL</w:t>
      </w:r>
      <w:r w:rsidRPr="00533FD4">
        <w:rPr>
          <w:b/>
          <w:bCs/>
        </w:rPr>
        <w:tab/>
      </w:r>
      <w:r w:rsidRPr="00533FD4">
        <w:t>IRIB</w:t>
      </w:r>
    </w:p>
    <w:tbl>
      <w:tblPr>
        <w:tblStyle w:val="TableGrid"/>
        <w:tblW w:w="0" w:type="auto"/>
        <w:tblLook w:val="04A0" w:firstRow="1" w:lastRow="0" w:firstColumn="1" w:lastColumn="0" w:noHBand="0" w:noVBand="1"/>
      </w:tblPr>
      <w:tblGrid>
        <w:gridCol w:w="9350"/>
      </w:tblGrid>
      <w:tr w:rsidR="00F4458A" w:rsidTr="00F4458A">
        <w:tc>
          <w:tcPr>
            <w:tcW w:w="9350" w:type="dxa"/>
            <w:tcBorders>
              <w:left w:val="nil"/>
              <w:right w:val="nil"/>
            </w:tcBorders>
          </w:tcPr>
          <w:p w:rsidR="00F4458A" w:rsidRDefault="00517139" w:rsidP="00DB30CD">
            <w:pPr>
              <w:jc w:val="center"/>
            </w:pPr>
            <w:r>
              <w:t xml:space="preserve">INSPECTION </w:t>
            </w:r>
            <w:r w:rsidR="00F4458A">
              <w:t>MANUAL CHAPTER 2515 APPENDIX G</w:t>
            </w:r>
          </w:p>
        </w:tc>
      </w:tr>
    </w:tbl>
    <w:p w:rsidR="0066714A" w:rsidRDefault="0066714A" w:rsidP="00DB30CD">
      <w:pPr>
        <w:spacing w:line="240" w:lineRule="auto"/>
        <w:jc w:val="center"/>
      </w:pPr>
    </w:p>
    <w:p w:rsidR="00476509" w:rsidRPr="00DB30CD" w:rsidRDefault="00476509" w:rsidP="00DB30CD">
      <w:pPr>
        <w:spacing w:line="240" w:lineRule="auto"/>
        <w:jc w:val="center"/>
      </w:pPr>
    </w:p>
    <w:p w:rsidR="0066714A" w:rsidRPr="00DB30CD" w:rsidRDefault="005B48FF" w:rsidP="00DB30CD">
      <w:pPr>
        <w:spacing w:line="240" w:lineRule="auto"/>
        <w:jc w:val="center"/>
      </w:pPr>
      <w:bookmarkStart w:id="0" w:name="_GoBack"/>
      <w:bookmarkEnd w:id="0"/>
      <w:r w:rsidRPr="00DB30CD">
        <w:t>BASELINE INSPECTIO</w:t>
      </w:r>
      <w:r w:rsidR="008B16EE">
        <w:t>N GUIDANCE FOR POWER REACTORS PREPARING FOR</w:t>
      </w:r>
      <w:r w:rsidRPr="00DB30CD">
        <w:t xml:space="preserve"> TRANSITION TO DECOMMISSIONING PHASE </w:t>
      </w:r>
    </w:p>
    <w:p w:rsidR="0066714A" w:rsidRDefault="0066714A" w:rsidP="00DB30CD">
      <w:pPr>
        <w:spacing w:line="240" w:lineRule="auto"/>
        <w:jc w:val="center"/>
      </w:pPr>
    </w:p>
    <w:p w:rsidR="00476509" w:rsidRPr="00DB30CD" w:rsidRDefault="00476509" w:rsidP="00DB30CD">
      <w:pPr>
        <w:spacing w:line="240" w:lineRule="auto"/>
        <w:jc w:val="center"/>
      </w:pPr>
    </w:p>
    <w:p w:rsidR="0066714A" w:rsidRPr="00DB30CD" w:rsidRDefault="00476509" w:rsidP="00F4458A">
      <w:pPr>
        <w:pStyle w:val="ListParagraph"/>
        <w:spacing w:line="240" w:lineRule="auto"/>
        <w:ind w:left="360" w:hanging="360"/>
      </w:pPr>
      <w:r>
        <w:t>2515G</w:t>
      </w:r>
      <w:r w:rsidR="00F4458A">
        <w:t>-01</w:t>
      </w:r>
      <w:r w:rsidR="00F4458A">
        <w:tab/>
      </w:r>
      <w:r w:rsidR="008B16EE">
        <w:t>PURPOSE</w:t>
      </w:r>
    </w:p>
    <w:p w:rsidR="0066714A" w:rsidRPr="00DB30CD" w:rsidRDefault="0066714A" w:rsidP="00DB30CD">
      <w:pPr>
        <w:spacing w:line="240" w:lineRule="auto"/>
      </w:pPr>
    </w:p>
    <w:p w:rsidR="00C008CE" w:rsidRDefault="001C6047" w:rsidP="00DB30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DB30CD">
        <w:t>This appendix provides guidance</w:t>
      </w:r>
      <w:r w:rsidR="005523FE">
        <w:t xml:space="preserve"> and is not a program requirement,</w:t>
      </w:r>
      <w:r w:rsidRPr="00DB30CD">
        <w:t xml:space="preserve"> to the regional staff for </w:t>
      </w:r>
      <w:r w:rsidR="00EF30C7">
        <w:t xml:space="preserve">nuclear </w:t>
      </w:r>
      <w:r w:rsidRPr="00DB30CD">
        <w:t xml:space="preserve">power </w:t>
      </w:r>
      <w:r w:rsidR="00EF30C7">
        <w:t>licensees</w:t>
      </w:r>
      <w:r w:rsidRPr="00DB30CD">
        <w:t xml:space="preserve"> </w:t>
      </w:r>
      <w:r w:rsidR="008B16EE">
        <w:t>preparing to transition</w:t>
      </w:r>
      <w:r w:rsidRPr="00DB30CD">
        <w:t xml:space="preserve"> from a</w:t>
      </w:r>
      <w:r w:rsidR="00EF30C7">
        <w:t>n</w:t>
      </w:r>
      <w:r w:rsidRPr="00DB30CD">
        <w:t xml:space="preserve"> </w:t>
      </w:r>
      <w:r w:rsidR="00EF30C7">
        <w:t xml:space="preserve">operating </w:t>
      </w:r>
      <w:r w:rsidRPr="00DB30CD">
        <w:t>power reactor to a decommissioning reactor</w:t>
      </w:r>
      <w:r w:rsidR="00EF30C7">
        <w:t xml:space="preserve"> facility</w:t>
      </w:r>
      <w:r w:rsidRPr="00DB30CD">
        <w:t xml:space="preserve">.  The guidance is specifically for the period </w:t>
      </w:r>
      <w:r w:rsidR="008B16EE">
        <w:t xml:space="preserve">that occurs prior to the </w:t>
      </w:r>
      <w:r w:rsidR="003405F5" w:rsidRPr="00DB30CD">
        <w:t>t</w:t>
      </w:r>
      <w:r w:rsidR="000F0560" w:rsidRPr="00DB30CD">
        <w:t xml:space="preserve">ransition from </w:t>
      </w:r>
      <w:r w:rsidR="008B16EE">
        <w:t>oversight in accordance with</w:t>
      </w:r>
      <w:r w:rsidR="000F0560" w:rsidRPr="00DB30CD">
        <w:t xml:space="preserve"> </w:t>
      </w:r>
      <w:r w:rsidRPr="00DB30CD">
        <w:t xml:space="preserve">Inspection Manual Chapter </w:t>
      </w:r>
      <w:r w:rsidR="0081299B" w:rsidRPr="00DB30CD">
        <w:t>(</w:t>
      </w:r>
      <w:r w:rsidR="000F0560" w:rsidRPr="00DB30CD">
        <w:t>IMC</w:t>
      </w:r>
      <w:r w:rsidR="0081299B" w:rsidRPr="00DB30CD">
        <w:t>)</w:t>
      </w:r>
      <w:r w:rsidR="000F0560" w:rsidRPr="00DB30CD">
        <w:t xml:space="preserve"> 2515, “Light-Water Reactor Inspection Program</w:t>
      </w:r>
      <w:r w:rsidR="00C519DF">
        <w:t xml:space="preserve"> (ROP)</w:t>
      </w:r>
      <w:r w:rsidR="000F0560" w:rsidRPr="00DB30CD">
        <w:t xml:space="preserve"> - Operations Phase,</w:t>
      </w:r>
      <w:r w:rsidR="008B16EE">
        <w:t xml:space="preserve">” ROP inspection program to </w:t>
      </w:r>
      <w:r w:rsidR="000F0560" w:rsidRPr="00DB30CD">
        <w:t>IMC 2561, “Decommissioning P</w:t>
      </w:r>
      <w:r w:rsidR="003405F5" w:rsidRPr="00DB30CD">
        <w:t>ower Reactor Inspection Program</w:t>
      </w:r>
      <w:r w:rsidR="000F0560" w:rsidRPr="00DB30CD">
        <w:t>.</w:t>
      </w:r>
      <w:r w:rsidR="00077866">
        <w:t>”</w:t>
      </w:r>
      <w:r w:rsidR="000F0560" w:rsidRPr="00DB30CD">
        <w:br/>
        <w:t xml:space="preserve"> </w:t>
      </w:r>
    </w:p>
    <w:p w:rsidR="008B16EE" w:rsidRPr="00DB30CD" w:rsidRDefault="008B16EE" w:rsidP="00DB30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t>2515G-02</w:t>
      </w:r>
      <w:r>
        <w:tab/>
        <w:t xml:space="preserve"> BACKGROUND AND OBJECTIVES</w:t>
      </w:r>
      <w:r>
        <w:br/>
      </w:r>
    </w:p>
    <w:p w:rsidR="0060107B" w:rsidRDefault="00AA3AD0" w:rsidP="0060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sectPr w:rsidR="0060107B" w:rsidSect="006A3AB0">
          <w:footerReference w:type="default" r:id="rId9"/>
          <w:pgSz w:w="12240" w:h="15840" w:code="1"/>
          <w:pgMar w:top="1440" w:right="1440" w:bottom="1440" w:left="1440" w:header="1440" w:footer="1440" w:gutter="0"/>
          <w:cols w:space="720"/>
          <w:docGrid w:linePitch="360"/>
        </w:sectPr>
      </w:pPr>
      <w:r w:rsidRPr="00DB30CD">
        <w:t>T</w:t>
      </w:r>
      <w:r w:rsidR="0081299B" w:rsidRPr="00DB30CD">
        <w:t>he NRC staff developed this guidance using</w:t>
      </w:r>
      <w:r w:rsidRPr="00DB30CD">
        <w:t xml:space="preserve"> lessons learned from </w:t>
      </w:r>
      <w:r w:rsidR="009668B9">
        <w:t xml:space="preserve">nuclear power </w:t>
      </w:r>
      <w:r w:rsidRPr="00DB30CD">
        <w:t xml:space="preserve">plants that </w:t>
      </w:r>
      <w:r w:rsidR="00BD1096" w:rsidRPr="00DB30CD">
        <w:t>have permanently ceased operation</w:t>
      </w:r>
      <w:r w:rsidR="00D603FD" w:rsidRPr="00DB30CD">
        <w:t xml:space="preserve"> (</w:t>
      </w:r>
      <w:r w:rsidR="006E61ED" w:rsidRPr="00DB30CD">
        <w:t xml:space="preserve">e.g., </w:t>
      </w:r>
      <w:r w:rsidR="00D603FD" w:rsidRPr="00DB30CD">
        <w:t>Vermont Yankee</w:t>
      </w:r>
      <w:r w:rsidR="00943A5E">
        <w:t xml:space="preserve"> (VY)</w:t>
      </w:r>
      <w:r w:rsidR="00D603FD" w:rsidRPr="00DB30CD">
        <w:t>, Kewaunee, Crystal River</w:t>
      </w:r>
      <w:r w:rsidR="00943A5E">
        <w:t xml:space="preserve"> (CR)</w:t>
      </w:r>
      <w:r w:rsidR="00D603FD" w:rsidRPr="00DB30CD">
        <w:t xml:space="preserve">, and </w:t>
      </w:r>
      <w:r w:rsidR="00943A5E">
        <w:t xml:space="preserve">San </w:t>
      </w:r>
      <w:proofErr w:type="spellStart"/>
      <w:r w:rsidR="00943A5E">
        <w:t>Onofre</w:t>
      </w:r>
      <w:proofErr w:type="spellEnd"/>
      <w:r w:rsidR="00943A5E">
        <w:t xml:space="preserve"> Nuclear Generating Station(</w:t>
      </w:r>
      <w:r w:rsidR="00D603FD" w:rsidRPr="00DB30CD">
        <w:t>SONGS</w:t>
      </w:r>
      <w:r w:rsidR="00943A5E">
        <w:t>)</w:t>
      </w:r>
      <w:r w:rsidR="00D603FD" w:rsidRPr="00DB30CD">
        <w:t>)</w:t>
      </w:r>
      <w:r w:rsidR="00BD1096" w:rsidRPr="00DB30CD">
        <w:t xml:space="preserve"> and </w:t>
      </w:r>
      <w:r w:rsidRPr="00DB30CD">
        <w:t xml:space="preserve">are now being </w:t>
      </w:r>
      <w:r w:rsidR="00BD1096" w:rsidRPr="00DB30CD">
        <w:t>inspected and assessed under IMC 2561</w:t>
      </w:r>
      <w:r w:rsidRPr="00DB30CD">
        <w:t xml:space="preserve">.  </w:t>
      </w:r>
      <w:r w:rsidR="00F04517" w:rsidRPr="007C7BB3">
        <w:t>The guidance applies for the period that occurs prior to the transition of oversight from the ROP to IMC 2561, “Decommissioning Pow</w:t>
      </w:r>
      <w:r w:rsidR="00580506">
        <w:t>e</w:t>
      </w:r>
      <w:r w:rsidR="00281112">
        <w:t>r Reactor Inspection Program.”</w:t>
      </w:r>
      <w:r w:rsidR="0060107B">
        <w:t xml:space="preserve">  The attachments to this appendix provides recommendations on potential adjustments to the </w:t>
      </w:r>
      <w:r w:rsidR="0060107B" w:rsidRPr="00DB30CD">
        <w:t>inspect</w:t>
      </w:r>
      <w:r w:rsidR="0060107B">
        <w:t xml:space="preserve">ion activities that can be used </w:t>
      </w:r>
      <w:r w:rsidR="0060107B" w:rsidRPr="00DB30CD">
        <w:t>to perform a more detailed assessment of performance in areas potentially impacted</w:t>
      </w:r>
      <w:r w:rsidR="0060107B">
        <w:t xml:space="preserve"> by</w:t>
      </w:r>
      <w:r w:rsidR="0060107B" w:rsidRPr="00DB30CD">
        <w:t xml:space="preserve"> the impending shutdown.  </w:t>
      </w:r>
    </w:p>
    <w:p w:rsidR="006069BF" w:rsidRDefault="00476509" w:rsidP="006B18E0">
      <w:pPr>
        <w:pStyle w:val="ListParagraph"/>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jc w:val="center"/>
      </w:pPr>
      <w:r>
        <w:lastRenderedPageBreak/>
        <w:t xml:space="preserve">Attachment 1 </w:t>
      </w:r>
      <w:r w:rsidR="009547A9">
        <w:t>–</w:t>
      </w:r>
      <w:r>
        <w:t xml:space="preserve"> </w:t>
      </w:r>
      <w:r w:rsidR="009547A9">
        <w:t xml:space="preserve">SUGGESTED </w:t>
      </w:r>
      <w:r w:rsidR="006069BF">
        <w:t>INCREASE IN NUMBER OF INSPECTIONS PERFORMED FOR THE FOLLOWING AREAS</w:t>
      </w:r>
    </w:p>
    <w:tbl>
      <w:tblPr>
        <w:tblpPr w:leftFromText="180" w:rightFromText="180" w:vertAnchor="text" w:horzAnchor="margin" w:tblpY="21"/>
        <w:tblW w:w="9558" w:type="dxa"/>
        <w:tblLayout w:type="fixed"/>
        <w:tblLook w:val="04A0" w:firstRow="1" w:lastRow="0" w:firstColumn="1" w:lastColumn="0" w:noHBand="0" w:noVBand="1"/>
      </w:tblPr>
      <w:tblGrid>
        <w:gridCol w:w="1278"/>
        <w:gridCol w:w="2070"/>
        <w:gridCol w:w="3870"/>
        <w:gridCol w:w="2340"/>
      </w:tblGrid>
      <w:tr w:rsidR="005523FE" w:rsidRPr="006C22C5" w:rsidTr="006A3AB0">
        <w:trPr>
          <w:trHeight w:val="285"/>
          <w:tblHeader/>
        </w:trPr>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IP Number </w:t>
            </w:r>
          </w:p>
        </w:tc>
        <w:tc>
          <w:tcPr>
            <w:tcW w:w="20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Title/Section </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Comments/Basis for Adjustment </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Associated IMC 2561 Decommissioning Inspection Procedure</w:t>
            </w:r>
          </w:p>
        </w:tc>
      </w:tr>
      <w:tr w:rsidR="005523FE" w:rsidRPr="006C22C5" w:rsidTr="006A3AB0">
        <w:trPr>
          <w:trHeight w:val="28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71111.04Q </w:t>
            </w:r>
          </w:p>
        </w:tc>
        <w:tc>
          <w:tcPr>
            <w:tcW w:w="2070" w:type="dxa"/>
            <w:tcBorders>
              <w:top w:val="nil"/>
              <w:left w:val="nil"/>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Equipment Alignment/Partial </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3FE" w:rsidRPr="006A3AB0" w:rsidRDefault="005523FE" w:rsidP="006A3AB0">
            <w:pPr>
              <w:widowControl w:val="0"/>
              <w:tabs>
                <w:tab w:val="left" w:pos="360"/>
              </w:tabs>
              <w:spacing w:line="240" w:lineRule="auto"/>
              <w:ind w:right="-20"/>
              <w:rPr>
                <w:rFonts w:eastAsia="Arial"/>
                <w:sz w:val="20"/>
                <w:szCs w:val="20"/>
              </w:rPr>
            </w:pPr>
            <w:r w:rsidRPr="006A3AB0">
              <w:rPr>
                <w:rFonts w:eastAsia="Arial"/>
                <w:spacing w:val="-1"/>
                <w:sz w:val="20"/>
                <w:szCs w:val="20"/>
              </w:rPr>
              <w:t>A</w:t>
            </w:r>
            <w:r w:rsidRPr="006A3AB0">
              <w:rPr>
                <w:rFonts w:eastAsia="Arial"/>
                <w:spacing w:val="1"/>
                <w:sz w:val="20"/>
                <w:szCs w:val="20"/>
              </w:rPr>
              <w:t>ttr</w:t>
            </w:r>
            <w:r w:rsidRPr="006A3AB0">
              <w:rPr>
                <w:rFonts w:eastAsia="Arial"/>
                <w:spacing w:val="-6"/>
                <w:sz w:val="20"/>
                <w:szCs w:val="20"/>
              </w:rPr>
              <w:t>i</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1"/>
                <w:sz w:val="20"/>
                <w:szCs w:val="20"/>
              </w:rPr>
              <w:t>i</w:t>
            </w:r>
            <w:r w:rsidRPr="006A3AB0">
              <w:rPr>
                <w:rFonts w:eastAsia="Arial"/>
                <w:sz w:val="20"/>
                <w:szCs w:val="20"/>
              </w:rPr>
              <w:t>n</w:t>
            </w:r>
            <w:r w:rsidRPr="006A3AB0">
              <w:rPr>
                <w:rFonts w:eastAsia="Arial"/>
                <w:spacing w:val="1"/>
                <w:sz w:val="20"/>
                <w:szCs w:val="20"/>
              </w:rPr>
              <w:t xml:space="preserve"> </w:t>
            </w:r>
            <w:r w:rsidRPr="006A3AB0">
              <w:rPr>
                <w:rFonts w:eastAsia="Arial"/>
                <w:spacing w:val="-2"/>
                <w:sz w:val="20"/>
                <w:szCs w:val="20"/>
              </w:rPr>
              <w:t>s</w:t>
            </w:r>
            <w:r w:rsidRPr="006A3AB0">
              <w:rPr>
                <w:rFonts w:eastAsia="Arial"/>
                <w:spacing w:val="1"/>
                <w:sz w:val="20"/>
                <w:szCs w:val="20"/>
              </w:rPr>
              <w:t>t</w:t>
            </w:r>
            <w:r w:rsidRPr="006A3AB0">
              <w:rPr>
                <w:rFonts w:eastAsia="Arial"/>
                <w:spacing w:val="-5"/>
                <w:sz w:val="20"/>
                <w:szCs w:val="20"/>
              </w:rPr>
              <w:t>a</w:t>
            </w:r>
            <w:r w:rsidRPr="006A3AB0">
              <w:rPr>
                <w:rFonts w:eastAsia="Arial"/>
                <w:spacing w:val="1"/>
                <w:sz w:val="20"/>
                <w:szCs w:val="20"/>
              </w:rPr>
              <w:t>f</w:t>
            </w:r>
            <w:r w:rsidRPr="006A3AB0">
              <w:rPr>
                <w:rFonts w:eastAsia="Arial"/>
                <w:spacing w:val="6"/>
                <w:sz w:val="20"/>
                <w:szCs w:val="20"/>
              </w:rPr>
              <w:t>f</w:t>
            </w:r>
            <w:r w:rsidRPr="006A3AB0">
              <w:rPr>
                <w:rFonts w:eastAsia="Arial"/>
                <w:spacing w:val="-1"/>
                <w:sz w:val="20"/>
                <w:szCs w:val="20"/>
              </w:rPr>
              <w:t>i</w:t>
            </w:r>
            <w:r w:rsidRPr="006A3AB0">
              <w:rPr>
                <w:rFonts w:eastAsia="Arial"/>
                <w:spacing w:val="-5"/>
                <w:sz w:val="20"/>
                <w:szCs w:val="20"/>
              </w:rPr>
              <w:t>n</w:t>
            </w:r>
            <w:r w:rsidRPr="006A3AB0">
              <w:rPr>
                <w:rFonts w:eastAsia="Arial"/>
                <w:sz w:val="20"/>
                <w:szCs w:val="20"/>
              </w:rPr>
              <w:t>g</w:t>
            </w:r>
            <w:r w:rsidRPr="006A3AB0">
              <w:rPr>
                <w:rFonts w:eastAsia="Arial"/>
                <w:spacing w:val="1"/>
                <w:sz w:val="20"/>
                <w:szCs w:val="20"/>
              </w:rPr>
              <w:t xml:space="preserve"> </w:t>
            </w:r>
            <w:r w:rsidRPr="006A3AB0">
              <w:rPr>
                <w:rFonts w:eastAsia="Arial"/>
                <w:spacing w:val="-1"/>
                <w:sz w:val="20"/>
                <w:szCs w:val="20"/>
              </w:rPr>
              <w:t>l</w:t>
            </w:r>
            <w:r w:rsidRPr="006A3AB0">
              <w:rPr>
                <w:rFonts w:eastAsia="Arial"/>
                <w:sz w:val="20"/>
                <w:szCs w:val="20"/>
              </w:rPr>
              <w:t>e</w:t>
            </w:r>
            <w:r w:rsidRPr="006A3AB0">
              <w:rPr>
                <w:rFonts w:eastAsia="Arial"/>
                <w:spacing w:val="-5"/>
                <w:sz w:val="20"/>
                <w:szCs w:val="20"/>
              </w:rPr>
              <w:t>v</w:t>
            </w:r>
            <w:r w:rsidRPr="006A3AB0">
              <w:rPr>
                <w:rFonts w:eastAsia="Arial"/>
                <w:sz w:val="20"/>
                <w:szCs w:val="20"/>
              </w:rPr>
              <w:t>e</w:t>
            </w:r>
            <w:r w:rsidRPr="006A3AB0">
              <w:rPr>
                <w:rFonts w:eastAsia="Arial"/>
                <w:spacing w:val="-1"/>
                <w:sz w:val="20"/>
                <w:szCs w:val="20"/>
              </w:rPr>
              <w:t>l</w:t>
            </w:r>
            <w:r w:rsidRPr="006A3AB0">
              <w:rPr>
                <w:rFonts w:eastAsia="Arial"/>
                <w:sz w:val="20"/>
                <w:szCs w:val="20"/>
              </w:rPr>
              <w:t>s</w:t>
            </w:r>
            <w:r w:rsidRPr="006A3AB0">
              <w:rPr>
                <w:rFonts w:eastAsia="Arial"/>
                <w:spacing w:val="1"/>
                <w:sz w:val="20"/>
                <w:szCs w:val="20"/>
              </w:rPr>
              <w:t xml:space="preserve"> </w:t>
            </w:r>
            <w:r w:rsidRPr="006A3AB0">
              <w:rPr>
                <w:rFonts w:eastAsia="Arial"/>
                <w:sz w:val="20"/>
                <w:szCs w:val="20"/>
              </w:rPr>
              <w:t>and</w:t>
            </w:r>
            <w:r w:rsidRPr="006A3AB0">
              <w:rPr>
                <w:rFonts w:eastAsia="Arial"/>
                <w:spacing w:val="1"/>
                <w:sz w:val="20"/>
                <w:szCs w:val="20"/>
              </w:rPr>
              <w:t xml:space="preserve"> r</w:t>
            </w:r>
            <w:r w:rsidRPr="006A3AB0">
              <w:rPr>
                <w:rFonts w:eastAsia="Arial"/>
                <w:sz w:val="20"/>
                <w:szCs w:val="20"/>
              </w:rPr>
              <w:t>ed</w:t>
            </w:r>
            <w:r w:rsidRPr="006A3AB0">
              <w:rPr>
                <w:rFonts w:eastAsia="Arial"/>
                <w:spacing w:val="-1"/>
                <w:sz w:val="20"/>
                <w:szCs w:val="20"/>
              </w:rPr>
              <w:t>u</w:t>
            </w:r>
            <w:r w:rsidRPr="006A3AB0">
              <w:rPr>
                <w:rFonts w:eastAsia="Arial"/>
                <w:spacing w:val="-2"/>
                <w:sz w:val="20"/>
                <w:szCs w:val="20"/>
              </w:rPr>
              <w:t>c</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5"/>
                <w:sz w:val="20"/>
                <w:szCs w:val="20"/>
              </w:rPr>
              <w:t>o</w:t>
            </w:r>
            <w:r w:rsidRPr="006A3AB0">
              <w:rPr>
                <w:rFonts w:eastAsia="Arial"/>
                <w:sz w:val="20"/>
                <w:szCs w:val="20"/>
              </w:rPr>
              <w:t>f</w:t>
            </w:r>
            <w:r w:rsidRPr="006A3AB0">
              <w:rPr>
                <w:rFonts w:eastAsia="Arial"/>
                <w:spacing w:val="5"/>
                <w:sz w:val="20"/>
                <w:szCs w:val="20"/>
              </w:rPr>
              <w:t xml:space="preserve"> </w:t>
            </w:r>
            <w:r w:rsidRPr="006A3AB0">
              <w:rPr>
                <w:rFonts w:eastAsia="Arial"/>
                <w:spacing w:val="-5"/>
                <w:sz w:val="20"/>
                <w:szCs w:val="20"/>
              </w:rPr>
              <w:t>c</w:t>
            </w:r>
            <w:r w:rsidRPr="006A3AB0">
              <w:rPr>
                <w:rFonts w:eastAsia="Arial"/>
                <w:spacing w:val="1"/>
                <w:sz w:val="20"/>
                <w:szCs w:val="20"/>
              </w:rPr>
              <w:t>r</w:t>
            </w:r>
            <w:r w:rsidRPr="006A3AB0">
              <w:rPr>
                <w:rFonts w:eastAsia="Arial"/>
                <w:spacing w:val="-5"/>
                <w:sz w:val="20"/>
                <w:szCs w:val="20"/>
              </w:rPr>
              <w:t>a</w:t>
            </w:r>
            <w:r w:rsidRPr="006A3AB0">
              <w:rPr>
                <w:rFonts w:eastAsia="Arial"/>
                <w:spacing w:val="3"/>
                <w:sz w:val="20"/>
                <w:szCs w:val="20"/>
              </w:rPr>
              <w:t>f</w:t>
            </w:r>
            <w:r w:rsidRPr="006A3AB0">
              <w:rPr>
                <w:rFonts w:eastAsia="Arial"/>
                <w:sz w:val="20"/>
                <w:szCs w:val="20"/>
              </w:rPr>
              <w:t>t</w:t>
            </w:r>
            <w:r w:rsidRPr="006A3AB0">
              <w:rPr>
                <w:rFonts w:eastAsia="Arial"/>
                <w:spacing w:val="2"/>
                <w:sz w:val="20"/>
                <w:szCs w:val="20"/>
              </w:rPr>
              <w:t xml:space="preserve"> </w:t>
            </w:r>
            <w:r w:rsidRPr="006A3AB0">
              <w:rPr>
                <w:rFonts w:eastAsia="Arial"/>
                <w:spacing w:val="-5"/>
                <w:sz w:val="20"/>
                <w:szCs w:val="20"/>
              </w:rPr>
              <w:t>s</w:t>
            </w:r>
            <w:r w:rsidRPr="006A3AB0">
              <w:rPr>
                <w:rFonts w:eastAsia="Arial"/>
                <w:spacing w:val="2"/>
                <w:sz w:val="20"/>
                <w:szCs w:val="20"/>
              </w:rPr>
              <w:t>k</w:t>
            </w:r>
            <w:r w:rsidRPr="006A3AB0">
              <w:rPr>
                <w:rFonts w:eastAsia="Arial"/>
                <w:spacing w:val="-1"/>
                <w:sz w:val="20"/>
                <w:szCs w:val="20"/>
              </w:rPr>
              <w:t>i</w:t>
            </w:r>
            <w:r w:rsidRPr="006A3AB0">
              <w:rPr>
                <w:rFonts w:eastAsia="Arial"/>
                <w:spacing w:val="-3"/>
                <w:sz w:val="20"/>
                <w:szCs w:val="20"/>
              </w:rPr>
              <w:t>l</w:t>
            </w:r>
            <w:r w:rsidRPr="006A3AB0">
              <w:rPr>
                <w:rFonts w:eastAsia="Arial"/>
                <w:sz w:val="20"/>
                <w:szCs w:val="20"/>
              </w:rPr>
              <w:t>l</w:t>
            </w:r>
            <w:r w:rsidR="00D24320" w:rsidRPr="006A3AB0">
              <w:rPr>
                <w:rFonts w:eastAsia="Arial"/>
                <w:sz w:val="20"/>
                <w:szCs w:val="20"/>
              </w:rPr>
              <w:t>.</w:t>
            </w:r>
          </w:p>
          <w:p w:rsidR="005523FE" w:rsidRPr="006A3AB0" w:rsidRDefault="00D24320" w:rsidP="006A3AB0">
            <w:pPr>
              <w:widowControl w:val="0"/>
              <w:tabs>
                <w:tab w:val="left" w:pos="360"/>
              </w:tabs>
              <w:spacing w:line="240" w:lineRule="auto"/>
              <w:ind w:right="-20"/>
              <w:rPr>
                <w:rFonts w:eastAsia="Arial"/>
                <w:sz w:val="20"/>
                <w:szCs w:val="20"/>
              </w:rPr>
            </w:pPr>
            <w:r w:rsidRPr="006A3AB0">
              <w:rPr>
                <w:rFonts w:eastAsia="Arial"/>
                <w:sz w:val="20"/>
                <w:szCs w:val="20"/>
              </w:rPr>
              <w:t xml:space="preserve">For example, at SONGS, non-licensed operators (NLO) were eliminated and the </w:t>
            </w:r>
            <w:proofErr w:type="spellStart"/>
            <w:r w:rsidR="00C91759" w:rsidRPr="006A3AB0">
              <w:rPr>
                <w:rFonts w:eastAsia="Arial"/>
                <w:sz w:val="20"/>
                <w:szCs w:val="20"/>
              </w:rPr>
              <w:t>licnessed</w:t>
            </w:r>
            <w:proofErr w:type="spellEnd"/>
            <w:r w:rsidR="00C91759" w:rsidRPr="006A3AB0">
              <w:rPr>
                <w:rFonts w:eastAsia="Arial"/>
                <w:sz w:val="20"/>
                <w:szCs w:val="20"/>
              </w:rPr>
              <w:t xml:space="preserve"> operators assu</w:t>
            </w:r>
            <w:r w:rsidRPr="006A3AB0">
              <w:rPr>
                <w:rFonts w:eastAsia="Arial"/>
                <w:sz w:val="20"/>
                <w:szCs w:val="20"/>
              </w:rPr>
              <w:t>med the role of the NLO outside the control room (e.g. equipment man</w:t>
            </w:r>
            <w:r w:rsidR="00C91759" w:rsidRPr="006A3AB0">
              <w:rPr>
                <w:rFonts w:eastAsia="Arial"/>
                <w:sz w:val="20"/>
                <w:szCs w:val="20"/>
              </w:rPr>
              <w:t>i</w:t>
            </w:r>
            <w:r w:rsidRPr="006A3AB0">
              <w:rPr>
                <w:rFonts w:eastAsia="Arial"/>
                <w:sz w:val="20"/>
                <w:szCs w:val="20"/>
              </w:rPr>
              <w:t>pu</w:t>
            </w:r>
            <w:r w:rsidR="006A3AB0">
              <w:rPr>
                <w:rFonts w:eastAsia="Arial"/>
                <w:sz w:val="20"/>
                <w:szCs w:val="20"/>
              </w:rPr>
              <w:t>l</w:t>
            </w:r>
            <w:r w:rsidRPr="006A3AB0">
              <w:rPr>
                <w:rFonts w:eastAsia="Arial"/>
                <w:sz w:val="20"/>
                <w:szCs w:val="20"/>
              </w:rPr>
              <w:t xml:space="preserve">ations, </w:t>
            </w:r>
            <w:proofErr w:type="spellStart"/>
            <w:r w:rsidRPr="006A3AB0">
              <w:rPr>
                <w:rFonts w:eastAsia="Arial"/>
                <w:sz w:val="20"/>
                <w:szCs w:val="20"/>
              </w:rPr>
              <w:t>tagouts</w:t>
            </w:r>
            <w:proofErr w:type="spellEnd"/>
            <w:r w:rsidRPr="006A3AB0">
              <w:rPr>
                <w:rFonts w:eastAsia="Arial"/>
                <w:sz w:val="20"/>
                <w:szCs w:val="20"/>
              </w:rPr>
              <w:t xml:space="preserve">, log keeping).  Ensure licensed operators could </w:t>
            </w:r>
            <w:proofErr w:type="spellStart"/>
            <w:r w:rsidRPr="006A3AB0">
              <w:rPr>
                <w:rFonts w:eastAsia="Arial"/>
                <w:sz w:val="20"/>
                <w:szCs w:val="20"/>
              </w:rPr>
              <w:t>perfom</w:t>
            </w:r>
            <w:proofErr w:type="spellEnd"/>
            <w:r w:rsidRPr="006A3AB0">
              <w:rPr>
                <w:rFonts w:eastAsia="Arial"/>
                <w:sz w:val="20"/>
                <w:szCs w:val="20"/>
              </w:rPr>
              <w:t xml:space="preserve"> their newly assumed duties that resulted from the staff reduction.</w:t>
            </w:r>
          </w:p>
        </w:tc>
        <w:tc>
          <w:tcPr>
            <w:tcW w:w="2340" w:type="dxa"/>
            <w:tcBorders>
              <w:top w:val="single" w:sz="4" w:space="0" w:color="auto"/>
              <w:left w:val="single" w:sz="4" w:space="0" w:color="auto"/>
              <w:bottom w:val="single" w:sz="4" w:space="0" w:color="auto"/>
              <w:right w:val="single" w:sz="4" w:space="0" w:color="auto"/>
            </w:tcBorders>
          </w:tcPr>
          <w:p w:rsidR="00D24320" w:rsidRPr="006A3AB0" w:rsidRDefault="00B2162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IP 60801</w:t>
            </w:r>
            <w:r w:rsidR="00D24320" w:rsidRPr="006A3AB0">
              <w:rPr>
                <w:rFonts w:eastAsia="Arial"/>
                <w:spacing w:val="-1"/>
                <w:sz w:val="20"/>
                <w:szCs w:val="20"/>
              </w:rPr>
              <w:t xml:space="preserve"> &amp;  IP 71801</w:t>
            </w:r>
          </w:p>
          <w:p w:rsidR="005523FE" w:rsidRPr="006A3AB0" w:rsidRDefault="005523FE" w:rsidP="006A3AB0">
            <w:pPr>
              <w:widowControl w:val="0"/>
              <w:tabs>
                <w:tab w:val="left" w:pos="360"/>
              </w:tabs>
              <w:spacing w:line="240" w:lineRule="auto"/>
              <w:ind w:right="-20"/>
              <w:rPr>
                <w:rFonts w:eastAsia="Arial"/>
                <w:spacing w:val="-1"/>
                <w:sz w:val="20"/>
                <w:szCs w:val="20"/>
              </w:rPr>
            </w:pPr>
          </w:p>
        </w:tc>
      </w:tr>
      <w:tr w:rsidR="005523FE" w:rsidRPr="006C22C5" w:rsidTr="006A3AB0">
        <w:trPr>
          <w:trHeight w:val="28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71111.04S </w:t>
            </w:r>
          </w:p>
        </w:tc>
        <w:tc>
          <w:tcPr>
            <w:tcW w:w="2070" w:type="dxa"/>
            <w:tcBorders>
              <w:top w:val="nil"/>
              <w:left w:val="nil"/>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 xml:space="preserve">Equipment Alignment/Complete </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3FE" w:rsidRPr="006A3AB0" w:rsidRDefault="005523FE" w:rsidP="006A3AB0">
            <w:pPr>
              <w:widowControl w:val="0"/>
              <w:tabs>
                <w:tab w:val="left" w:pos="360"/>
              </w:tabs>
              <w:spacing w:line="240" w:lineRule="auto"/>
              <w:ind w:right="-20"/>
              <w:rPr>
                <w:rFonts w:eastAsia="Arial"/>
                <w:sz w:val="20"/>
                <w:szCs w:val="20"/>
              </w:rPr>
            </w:pPr>
            <w:r w:rsidRPr="006A3AB0">
              <w:rPr>
                <w:rFonts w:eastAsia="Arial"/>
                <w:spacing w:val="-1"/>
                <w:sz w:val="20"/>
                <w:szCs w:val="20"/>
              </w:rPr>
              <w:t>A</w:t>
            </w:r>
            <w:r w:rsidRPr="006A3AB0">
              <w:rPr>
                <w:rFonts w:eastAsia="Arial"/>
                <w:spacing w:val="1"/>
                <w:sz w:val="20"/>
                <w:szCs w:val="20"/>
              </w:rPr>
              <w:t>ttr</w:t>
            </w:r>
            <w:r w:rsidRPr="006A3AB0">
              <w:rPr>
                <w:rFonts w:eastAsia="Arial"/>
                <w:spacing w:val="-6"/>
                <w:sz w:val="20"/>
                <w:szCs w:val="20"/>
              </w:rPr>
              <w:t>i</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1"/>
                <w:sz w:val="20"/>
                <w:szCs w:val="20"/>
              </w:rPr>
              <w:t>i</w:t>
            </w:r>
            <w:r w:rsidRPr="006A3AB0">
              <w:rPr>
                <w:rFonts w:eastAsia="Arial"/>
                <w:sz w:val="20"/>
                <w:szCs w:val="20"/>
              </w:rPr>
              <w:t>n</w:t>
            </w:r>
            <w:r w:rsidRPr="006A3AB0">
              <w:rPr>
                <w:rFonts w:eastAsia="Arial"/>
                <w:spacing w:val="1"/>
                <w:sz w:val="20"/>
                <w:szCs w:val="20"/>
              </w:rPr>
              <w:t xml:space="preserve"> </w:t>
            </w:r>
            <w:r w:rsidRPr="006A3AB0">
              <w:rPr>
                <w:rFonts w:eastAsia="Arial"/>
                <w:spacing w:val="-2"/>
                <w:sz w:val="20"/>
                <w:szCs w:val="20"/>
              </w:rPr>
              <w:t>s</w:t>
            </w:r>
            <w:r w:rsidRPr="006A3AB0">
              <w:rPr>
                <w:rFonts w:eastAsia="Arial"/>
                <w:spacing w:val="1"/>
                <w:sz w:val="20"/>
                <w:szCs w:val="20"/>
              </w:rPr>
              <w:t>t</w:t>
            </w:r>
            <w:r w:rsidRPr="006A3AB0">
              <w:rPr>
                <w:rFonts w:eastAsia="Arial"/>
                <w:spacing w:val="-5"/>
                <w:sz w:val="20"/>
                <w:szCs w:val="20"/>
              </w:rPr>
              <w:t>a</w:t>
            </w:r>
            <w:r w:rsidRPr="006A3AB0">
              <w:rPr>
                <w:rFonts w:eastAsia="Arial"/>
                <w:spacing w:val="1"/>
                <w:sz w:val="20"/>
                <w:szCs w:val="20"/>
              </w:rPr>
              <w:t>f</w:t>
            </w:r>
            <w:r w:rsidRPr="006A3AB0">
              <w:rPr>
                <w:rFonts w:eastAsia="Arial"/>
                <w:spacing w:val="6"/>
                <w:sz w:val="20"/>
                <w:szCs w:val="20"/>
              </w:rPr>
              <w:t>f</w:t>
            </w:r>
            <w:r w:rsidRPr="006A3AB0">
              <w:rPr>
                <w:rFonts w:eastAsia="Arial"/>
                <w:spacing w:val="-1"/>
                <w:sz w:val="20"/>
                <w:szCs w:val="20"/>
              </w:rPr>
              <w:t>i</w:t>
            </w:r>
            <w:r w:rsidRPr="006A3AB0">
              <w:rPr>
                <w:rFonts w:eastAsia="Arial"/>
                <w:spacing w:val="-5"/>
                <w:sz w:val="20"/>
                <w:szCs w:val="20"/>
              </w:rPr>
              <w:t>n</w:t>
            </w:r>
            <w:r w:rsidRPr="006A3AB0">
              <w:rPr>
                <w:rFonts w:eastAsia="Arial"/>
                <w:sz w:val="20"/>
                <w:szCs w:val="20"/>
              </w:rPr>
              <w:t>g</w:t>
            </w:r>
            <w:r w:rsidRPr="006A3AB0">
              <w:rPr>
                <w:rFonts w:eastAsia="Arial"/>
                <w:spacing w:val="1"/>
                <w:sz w:val="20"/>
                <w:szCs w:val="20"/>
              </w:rPr>
              <w:t xml:space="preserve"> </w:t>
            </w:r>
            <w:r w:rsidRPr="006A3AB0">
              <w:rPr>
                <w:rFonts w:eastAsia="Arial"/>
                <w:spacing w:val="-1"/>
                <w:sz w:val="20"/>
                <w:szCs w:val="20"/>
              </w:rPr>
              <w:t>l</w:t>
            </w:r>
            <w:r w:rsidRPr="006A3AB0">
              <w:rPr>
                <w:rFonts w:eastAsia="Arial"/>
                <w:sz w:val="20"/>
                <w:szCs w:val="20"/>
              </w:rPr>
              <w:t>e</w:t>
            </w:r>
            <w:r w:rsidRPr="006A3AB0">
              <w:rPr>
                <w:rFonts w:eastAsia="Arial"/>
                <w:spacing w:val="-5"/>
                <w:sz w:val="20"/>
                <w:szCs w:val="20"/>
              </w:rPr>
              <w:t>v</w:t>
            </w:r>
            <w:r w:rsidRPr="006A3AB0">
              <w:rPr>
                <w:rFonts w:eastAsia="Arial"/>
                <w:sz w:val="20"/>
                <w:szCs w:val="20"/>
              </w:rPr>
              <w:t>e</w:t>
            </w:r>
            <w:r w:rsidRPr="006A3AB0">
              <w:rPr>
                <w:rFonts w:eastAsia="Arial"/>
                <w:spacing w:val="-1"/>
                <w:sz w:val="20"/>
                <w:szCs w:val="20"/>
              </w:rPr>
              <w:t>l</w:t>
            </w:r>
            <w:r w:rsidRPr="006A3AB0">
              <w:rPr>
                <w:rFonts w:eastAsia="Arial"/>
                <w:sz w:val="20"/>
                <w:szCs w:val="20"/>
              </w:rPr>
              <w:t>s</w:t>
            </w:r>
            <w:r w:rsidRPr="006A3AB0">
              <w:rPr>
                <w:rFonts w:eastAsia="Arial"/>
                <w:spacing w:val="1"/>
                <w:sz w:val="20"/>
                <w:szCs w:val="20"/>
              </w:rPr>
              <w:t xml:space="preserve"> </w:t>
            </w:r>
            <w:r w:rsidRPr="006A3AB0">
              <w:rPr>
                <w:rFonts w:eastAsia="Arial"/>
                <w:sz w:val="20"/>
                <w:szCs w:val="20"/>
              </w:rPr>
              <w:t>and</w:t>
            </w:r>
            <w:r w:rsidRPr="006A3AB0">
              <w:rPr>
                <w:rFonts w:eastAsia="Arial"/>
                <w:spacing w:val="1"/>
                <w:sz w:val="20"/>
                <w:szCs w:val="20"/>
              </w:rPr>
              <w:t xml:space="preserve"> r</w:t>
            </w:r>
            <w:r w:rsidRPr="006A3AB0">
              <w:rPr>
                <w:rFonts w:eastAsia="Arial"/>
                <w:sz w:val="20"/>
                <w:szCs w:val="20"/>
              </w:rPr>
              <w:t>ed</w:t>
            </w:r>
            <w:r w:rsidRPr="006A3AB0">
              <w:rPr>
                <w:rFonts w:eastAsia="Arial"/>
                <w:spacing w:val="-1"/>
                <w:sz w:val="20"/>
                <w:szCs w:val="20"/>
              </w:rPr>
              <w:t>u</w:t>
            </w:r>
            <w:r w:rsidRPr="006A3AB0">
              <w:rPr>
                <w:rFonts w:eastAsia="Arial"/>
                <w:spacing w:val="-2"/>
                <w:sz w:val="20"/>
                <w:szCs w:val="20"/>
              </w:rPr>
              <w:t>c</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5"/>
                <w:sz w:val="20"/>
                <w:szCs w:val="20"/>
              </w:rPr>
              <w:t>o</w:t>
            </w:r>
            <w:r w:rsidRPr="006A3AB0">
              <w:rPr>
                <w:rFonts w:eastAsia="Arial"/>
                <w:sz w:val="20"/>
                <w:szCs w:val="20"/>
              </w:rPr>
              <w:t>f</w:t>
            </w:r>
            <w:r w:rsidRPr="006A3AB0">
              <w:rPr>
                <w:rFonts w:eastAsia="Arial"/>
                <w:spacing w:val="5"/>
                <w:sz w:val="20"/>
                <w:szCs w:val="20"/>
              </w:rPr>
              <w:t xml:space="preserve"> </w:t>
            </w:r>
            <w:r w:rsidRPr="006A3AB0">
              <w:rPr>
                <w:rFonts w:eastAsia="Arial"/>
                <w:spacing w:val="-5"/>
                <w:sz w:val="20"/>
                <w:szCs w:val="20"/>
              </w:rPr>
              <w:t>c</w:t>
            </w:r>
            <w:r w:rsidRPr="006A3AB0">
              <w:rPr>
                <w:rFonts w:eastAsia="Arial"/>
                <w:spacing w:val="1"/>
                <w:sz w:val="20"/>
                <w:szCs w:val="20"/>
              </w:rPr>
              <w:t>r</w:t>
            </w:r>
            <w:r w:rsidRPr="006A3AB0">
              <w:rPr>
                <w:rFonts w:eastAsia="Arial"/>
                <w:spacing w:val="-5"/>
                <w:sz w:val="20"/>
                <w:szCs w:val="20"/>
              </w:rPr>
              <w:t>a</w:t>
            </w:r>
            <w:r w:rsidRPr="006A3AB0">
              <w:rPr>
                <w:rFonts w:eastAsia="Arial"/>
                <w:spacing w:val="3"/>
                <w:sz w:val="20"/>
                <w:szCs w:val="20"/>
              </w:rPr>
              <w:t>f</w:t>
            </w:r>
            <w:r w:rsidRPr="006A3AB0">
              <w:rPr>
                <w:rFonts w:eastAsia="Arial"/>
                <w:sz w:val="20"/>
                <w:szCs w:val="20"/>
              </w:rPr>
              <w:t>t</w:t>
            </w:r>
            <w:r w:rsidRPr="006A3AB0">
              <w:rPr>
                <w:rFonts w:eastAsia="Arial"/>
                <w:spacing w:val="2"/>
                <w:sz w:val="20"/>
                <w:szCs w:val="20"/>
              </w:rPr>
              <w:t xml:space="preserve"> </w:t>
            </w:r>
            <w:r w:rsidRPr="006A3AB0">
              <w:rPr>
                <w:rFonts w:eastAsia="Arial"/>
                <w:spacing w:val="-5"/>
                <w:sz w:val="20"/>
                <w:szCs w:val="20"/>
              </w:rPr>
              <w:t>s</w:t>
            </w:r>
            <w:r w:rsidRPr="006A3AB0">
              <w:rPr>
                <w:rFonts w:eastAsia="Arial"/>
                <w:spacing w:val="2"/>
                <w:sz w:val="20"/>
                <w:szCs w:val="20"/>
              </w:rPr>
              <w:t>k</w:t>
            </w:r>
            <w:r w:rsidRPr="006A3AB0">
              <w:rPr>
                <w:rFonts w:eastAsia="Arial"/>
                <w:spacing w:val="-1"/>
                <w:sz w:val="20"/>
                <w:szCs w:val="20"/>
              </w:rPr>
              <w:t>i</w:t>
            </w:r>
            <w:r w:rsidRPr="006A3AB0">
              <w:rPr>
                <w:rFonts w:eastAsia="Arial"/>
                <w:spacing w:val="-3"/>
                <w:sz w:val="20"/>
                <w:szCs w:val="20"/>
              </w:rPr>
              <w:t>l</w:t>
            </w:r>
            <w:r w:rsidRPr="006A3AB0">
              <w:rPr>
                <w:rFonts w:eastAsia="Arial"/>
                <w:sz w:val="20"/>
                <w:szCs w:val="20"/>
              </w:rPr>
              <w:t>l</w:t>
            </w:r>
            <w:r w:rsidR="00D24320" w:rsidRPr="006A3AB0">
              <w:rPr>
                <w:rFonts w:eastAsia="Arial"/>
                <w:sz w:val="20"/>
                <w:szCs w:val="20"/>
              </w:rPr>
              <w:t>.</w:t>
            </w:r>
          </w:p>
          <w:p w:rsidR="005523FE" w:rsidRPr="006A3AB0" w:rsidRDefault="005523FE" w:rsidP="006A3AB0">
            <w:pPr>
              <w:widowControl w:val="0"/>
              <w:tabs>
                <w:tab w:val="left" w:pos="360"/>
              </w:tabs>
              <w:spacing w:line="240" w:lineRule="auto"/>
              <w:ind w:right="-20"/>
              <w:rPr>
                <w:rFonts w:eastAsia="Arial"/>
                <w:sz w:val="20"/>
                <w:szCs w:val="20"/>
              </w:rPr>
            </w:pPr>
          </w:p>
        </w:tc>
        <w:tc>
          <w:tcPr>
            <w:tcW w:w="2340" w:type="dxa"/>
            <w:tcBorders>
              <w:top w:val="single" w:sz="4" w:space="0" w:color="auto"/>
              <w:left w:val="single" w:sz="4" w:space="0" w:color="auto"/>
              <w:bottom w:val="single" w:sz="4" w:space="0" w:color="auto"/>
              <w:right w:val="single" w:sz="4" w:space="0" w:color="auto"/>
            </w:tcBorders>
          </w:tcPr>
          <w:p w:rsidR="005523FE" w:rsidRPr="006A3AB0" w:rsidRDefault="005523F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IP 71801</w:t>
            </w:r>
          </w:p>
          <w:p w:rsidR="005523FE" w:rsidRPr="006A3AB0" w:rsidRDefault="005523F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 xml:space="preserve">Review </w:t>
            </w:r>
            <w:r w:rsidRPr="006A3AB0">
              <w:rPr>
                <w:rFonts w:eastAsia="Arial"/>
                <w:sz w:val="20"/>
                <w:szCs w:val="20"/>
              </w:rPr>
              <w:t>SFP system or a SFP support system</w:t>
            </w:r>
          </w:p>
        </w:tc>
      </w:tr>
      <w:tr w:rsidR="005523FE" w:rsidRPr="006C22C5" w:rsidTr="006A3AB0">
        <w:trPr>
          <w:trHeight w:val="28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71111.11Q</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Licensed Operator Requalification</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23FE" w:rsidRPr="006A3AB0" w:rsidRDefault="00C204DB"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I</w:t>
            </w:r>
            <w:r w:rsidR="005523FE" w:rsidRPr="006A3AB0">
              <w:rPr>
                <w:rFonts w:eastAsia="Arial"/>
                <w:spacing w:val="-1"/>
                <w:sz w:val="20"/>
                <w:szCs w:val="20"/>
              </w:rPr>
              <w:t xml:space="preserve">ncrease the </w:t>
            </w:r>
            <w:r w:rsidR="00943A5E" w:rsidRPr="006A3AB0">
              <w:rPr>
                <w:rFonts w:eastAsia="Arial"/>
                <w:spacing w:val="-1"/>
                <w:sz w:val="20"/>
                <w:szCs w:val="20"/>
              </w:rPr>
              <w:t>Control Room (</w:t>
            </w:r>
            <w:r w:rsidR="005523FE" w:rsidRPr="006A3AB0">
              <w:rPr>
                <w:rFonts w:eastAsia="Arial"/>
                <w:spacing w:val="-1"/>
                <w:sz w:val="20"/>
                <w:szCs w:val="20"/>
              </w:rPr>
              <w:t>CCR</w:t>
            </w:r>
            <w:r w:rsidR="00943A5E" w:rsidRPr="006A3AB0">
              <w:rPr>
                <w:rFonts w:eastAsia="Arial"/>
                <w:spacing w:val="-1"/>
                <w:sz w:val="20"/>
                <w:szCs w:val="20"/>
              </w:rPr>
              <w:t>)</w:t>
            </w:r>
            <w:r w:rsidR="00C91759" w:rsidRPr="006A3AB0">
              <w:rPr>
                <w:rFonts w:eastAsia="Arial"/>
                <w:spacing w:val="-1"/>
                <w:sz w:val="20"/>
                <w:szCs w:val="20"/>
              </w:rPr>
              <w:t xml:space="preserve"> observation, as</w:t>
            </w:r>
            <w:r w:rsidR="005523FE" w:rsidRPr="006A3AB0">
              <w:rPr>
                <w:rFonts w:eastAsia="Arial"/>
                <w:spacing w:val="-1"/>
                <w:sz w:val="20"/>
                <w:szCs w:val="20"/>
              </w:rPr>
              <w:t xml:space="preserve"> staffing challenges may arise which may require </w:t>
            </w:r>
            <w:r w:rsidR="00943A5E" w:rsidRPr="006A3AB0">
              <w:rPr>
                <w:rFonts w:eastAsia="Arial"/>
                <w:spacing w:val="-1"/>
                <w:sz w:val="20"/>
                <w:szCs w:val="20"/>
              </w:rPr>
              <w:t>Senior Reactor Operator (</w:t>
            </w:r>
            <w:r w:rsidR="005523FE" w:rsidRPr="006A3AB0">
              <w:rPr>
                <w:rFonts w:eastAsia="Arial"/>
                <w:spacing w:val="-1"/>
                <w:sz w:val="20"/>
                <w:szCs w:val="20"/>
              </w:rPr>
              <w:t>SRO</w:t>
            </w:r>
            <w:r w:rsidR="00943A5E" w:rsidRPr="006A3AB0">
              <w:rPr>
                <w:rFonts w:eastAsia="Arial"/>
                <w:spacing w:val="-1"/>
                <w:sz w:val="20"/>
                <w:szCs w:val="20"/>
              </w:rPr>
              <w:t>)</w:t>
            </w:r>
            <w:r w:rsidR="005523FE" w:rsidRPr="006A3AB0">
              <w:rPr>
                <w:rFonts w:eastAsia="Arial"/>
                <w:spacing w:val="-1"/>
                <w:sz w:val="20"/>
                <w:szCs w:val="20"/>
              </w:rPr>
              <w:t xml:space="preserve">s taking </w:t>
            </w:r>
            <w:r w:rsidR="00943A5E" w:rsidRPr="006A3AB0">
              <w:rPr>
                <w:rFonts w:eastAsia="Arial"/>
                <w:spacing w:val="-1"/>
                <w:sz w:val="20"/>
                <w:szCs w:val="20"/>
              </w:rPr>
              <w:t>Reactor Operator (</w:t>
            </w:r>
            <w:r w:rsidR="005523FE" w:rsidRPr="006A3AB0">
              <w:rPr>
                <w:rFonts w:eastAsia="Arial"/>
                <w:spacing w:val="-1"/>
                <w:sz w:val="20"/>
                <w:szCs w:val="20"/>
              </w:rPr>
              <w:t>RO</w:t>
            </w:r>
            <w:r w:rsidR="00943A5E" w:rsidRPr="006A3AB0">
              <w:rPr>
                <w:rFonts w:eastAsia="Arial"/>
                <w:spacing w:val="-1"/>
                <w:sz w:val="20"/>
                <w:szCs w:val="20"/>
              </w:rPr>
              <w:t>)</w:t>
            </w:r>
            <w:r w:rsidR="005523FE" w:rsidRPr="006A3AB0">
              <w:rPr>
                <w:rFonts w:eastAsia="Arial"/>
                <w:spacing w:val="-1"/>
                <w:sz w:val="20"/>
                <w:szCs w:val="20"/>
              </w:rPr>
              <w:t xml:space="preserve"> watches</w:t>
            </w:r>
            <w:r w:rsidR="00D24320" w:rsidRPr="006A3AB0">
              <w:rPr>
                <w:rFonts w:eastAsia="Arial"/>
                <w:spacing w:val="-1"/>
                <w:sz w:val="20"/>
                <w:szCs w:val="20"/>
              </w:rPr>
              <w:t xml:space="preserve"> (this was the case at VY)</w:t>
            </w:r>
            <w:r w:rsidR="005523FE" w:rsidRPr="006A3AB0">
              <w:rPr>
                <w:rFonts w:eastAsia="Arial"/>
                <w:spacing w:val="-1"/>
                <w:sz w:val="20"/>
                <w:szCs w:val="20"/>
              </w:rPr>
              <w:t>.</w:t>
            </w:r>
            <w:r w:rsidR="00D24320" w:rsidRPr="006A3AB0">
              <w:rPr>
                <w:rFonts w:eastAsia="Arial"/>
                <w:spacing w:val="-1"/>
                <w:sz w:val="20"/>
                <w:szCs w:val="20"/>
              </w:rPr>
              <w:t xml:space="preserve">  </w:t>
            </w:r>
          </w:p>
          <w:p w:rsidR="00D24320" w:rsidRPr="006A3AB0" w:rsidRDefault="00D24320" w:rsidP="006A3AB0">
            <w:pPr>
              <w:widowControl w:val="0"/>
              <w:tabs>
                <w:tab w:val="left" w:pos="360"/>
              </w:tabs>
              <w:spacing w:line="240" w:lineRule="auto"/>
              <w:ind w:right="-20"/>
              <w:rPr>
                <w:rFonts w:eastAsia="Times New Roman"/>
                <w:color w:val="000000"/>
                <w:sz w:val="20"/>
                <w:szCs w:val="20"/>
              </w:rPr>
            </w:pPr>
            <w:r w:rsidRPr="006A3AB0">
              <w:rPr>
                <w:rFonts w:eastAsia="Arial"/>
                <w:sz w:val="20"/>
                <w:szCs w:val="20"/>
              </w:rPr>
              <w:t xml:space="preserve">Increase observation inside and outside the CCR as well as </w:t>
            </w:r>
            <w:r w:rsidRPr="006A3AB0">
              <w:rPr>
                <w:rFonts w:eastAsia="Arial"/>
                <w:spacing w:val="-1"/>
                <w:sz w:val="20"/>
                <w:szCs w:val="20"/>
              </w:rPr>
              <w:t xml:space="preserve"> CCR observation during plant maneuvering or complex surveillances.</w:t>
            </w:r>
          </w:p>
        </w:tc>
        <w:tc>
          <w:tcPr>
            <w:tcW w:w="2340" w:type="dxa"/>
            <w:tcBorders>
              <w:top w:val="single" w:sz="4" w:space="0" w:color="auto"/>
              <w:left w:val="single" w:sz="4" w:space="0" w:color="auto"/>
              <w:bottom w:val="single" w:sz="4" w:space="0" w:color="auto"/>
              <w:right w:val="single" w:sz="4" w:space="0" w:color="auto"/>
            </w:tcBorders>
          </w:tcPr>
          <w:p w:rsidR="00D24320" w:rsidRPr="006A3AB0" w:rsidRDefault="005523F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 xml:space="preserve">IP 41500 (Training and Qualification Effectiveness) </w:t>
            </w:r>
            <w:r w:rsidR="00D24320" w:rsidRPr="006A3AB0">
              <w:rPr>
                <w:rFonts w:eastAsia="Arial"/>
                <w:spacing w:val="-1"/>
                <w:sz w:val="20"/>
                <w:szCs w:val="20"/>
              </w:rPr>
              <w:t xml:space="preserve">&amp; </w:t>
            </w:r>
          </w:p>
          <w:p w:rsidR="00D24320" w:rsidRPr="006A3AB0" w:rsidRDefault="00D24320"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IP 71801</w:t>
            </w:r>
          </w:p>
          <w:p w:rsidR="005523FE" w:rsidRPr="006A3AB0" w:rsidRDefault="005523FE" w:rsidP="006A3AB0">
            <w:pPr>
              <w:widowControl w:val="0"/>
              <w:tabs>
                <w:tab w:val="left" w:pos="360"/>
              </w:tabs>
              <w:spacing w:line="240" w:lineRule="auto"/>
              <w:ind w:right="-20"/>
              <w:rPr>
                <w:rFonts w:eastAsia="Arial"/>
                <w:spacing w:val="-1"/>
                <w:sz w:val="20"/>
                <w:szCs w:val="20"/>
              </w:rPr>
            </w:pPr>
          </w:p>
        </w:tc>
      </w:tr>
      <w:tr w:rsidR="005523FE" w:rsidRPr="006C22C5" w:rsidTr="006A3AB0">
        <w:trPr>
          <w:trHeight w:val="28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71111.15</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Operability Determination and Functionality Assessments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 xml:space="preserve">Towards the end of the year, additional operability reviews for deferred maintenance, skipped surveillances, and degraded conditions that are accepted as-is.  If engineering loses personnel and becomes short staffed, the quality of the engineering input could degrade for operability evaluations.  </w:t>
            </w:r>
          </w:p>
        </w:tc>
        <w:tc>
          <w:tcPr>
            <w:tcW w:w="2340" w:type="dxa"/>
            <w:tcBorders>
              <w:top w:val="single" w:sz="4" w:space="0" w:color="auto"/>
              <w:left w:val="single" w:sz="4" w:space="0" w:color="auto"/>
              <w:bottom w:val="single" w:sz="4" w:space="0" w:color="auto"/>
              <w:right w:val="single" w:sz="4" w:space="0" w:color="auto"/>
            </w:tcBorders>
          </w:tcPr>
          <w:p w:rsidR="005523FE" w:rsidRPr="006A3AB0" w:rsidRDefault="005523FE" w:rsidP="006A3AB0">
            <w:pPr>
              <w:widowControl w:val="0"/>
              <w:tabs>
                <w:tab w:val="left" w:pos="360"/>
              </w:tabs>
              <w:spacing w:line="240" w:lineRule="auto"/>
              <w:ind w:right="-20"/>
              <w:rPr>
                <w:rFonts w:eastAsia="Arial"/>
                <w:spacing w:val="-1"/>
                <w:sz w:val="20"/>
                <w:szCs w:val="20"/>
              </w:rPr>
            </w:pPr>
          </w:p>
        </w:tc>
      </w:tr>
      <w:tr w:rsidR="005523FE" w:rsidRPr="006C22C5" w:rsidTr="006A3AB0">
        <w:trPr>
          <w:trHeight w:val="28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71111.18</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Plant Modifications</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widowControl w:val="0"/>
              <w:tabs>
                <w:tab w:val="left" w:pos="360"/>
              </w:tabs>
              <w:spacing w:line="240" w:lineRule="auto"/>
              <w:ind w:right="-20"/>
              <w:rPr>
                <w:rFonts w:eastAsia="Arial"/>
                <w:sz w:val="20"/>
                <w:szCs w:val="20"/>
              </w:rPr>
            </w:pPr>
            <w:r w:rsidRPr="006A3AB0">
              <w:rPr>
                <w:rFonts w:eastAsia="Arial"/>
                <w:sz w:val="20"/>
                <w:szCs w:val="20"/>
              </w:rPr>
              <w:t>Increasing corrective maintenance backlogs</w:t>
            </w:r>
          </w:p>
          <w:p w:rsidR="005523FE" w:rsidRPr="006A3AB0" w:rsidRDefault="00C91759" w:rsidP="006A3AB0">
            <w:pPr>
              <w:spacing w:line="240" w:lineRule="auto"/>
              <w:rPr>
                <w:rFonts w:eastAsia="Times New Roman"/>
                <w:color w:val="000000"/>
                <w:sz w:val="20"/>
                <w:szCs w:val="20"/>
              </w:rPr>
            </w:pPr>
            <w:r w:rsidRPr="006A3AB0">
              <w:rPr>
                <w:rFonts w:eastAsia="Times New Roman"/>
                <w:color w:val="000000"/>
                <w:sz w:val="20"/>
                <w:szCs w:val="20"/>
              </w:rPr>
              <w:t>Decrease in p</w:t>
            </w:r>
            <w:r w:rsidR="005523FE" w:rsidRPr="006A3AB0">
              <w:rPr>
                <w:rFonts w:eastAsia="Times New Roman"/>
                <w:color w:val="000000"/>
                <w:sz w:val="20"/>
                <w:szCs w:val="20"/>
              </w:rPr>
              <w:t>roblem identification and/or resolution</w:t>
            </w:r>
            <w:r w:rsidR="00D24320" w:rsidRPr="006A3AB0">
              <w:rPr>
                <w:rFonts w:eastAsia="Times New Roman"/>
                <w:color w:val="000000"/>
                <w:sz w:val="20"/>
                <w:szCs w:val="20"/>
              </w:rPr>
              <w:t>.</w:t>
            </w:r>
          </w:p>
          <w:p w:rsidR="005523FE" w:rsidRPr="006A3AB0" w:rsidRDefault="005523FE" w:rsidP="006A3AB0">
            <w:pPr>
              <w:spacing w:line="240" w:lineRule="auto"/>
              <w:rPr>
                <w:rFonts w:eastAsia="Times New Roman"/>
                <w:color w:val="000000"/>
                <w:sz w:val="20"/>
                <w:szCs w:val="20"/>
                <w:u w:val="single"/>
              </w:rPr>
            </w:pPr>
            <w:r w:rsidRPr="006A3AB0">
              <w:rPr>
                <w:rFonts w:eastAsia="Times New Roman"/>
                <w:sz w:val="20"/>
                <w:szCs w:val="20"/>
                <w:u w:val="single"/>
              </w:rPr>
              <w:t>This can result in an increase in active temporary modifications</w:t>
            </w:r>
          </w:p>
        </w:tc>
        <w:tc>
          <w:tcPr>
            <w:tcW w:w="2340" w:type="dxa"/>
            <w:tcBorders>
              <w:top w:val="single" w:sz="4" w:space="0" w:color="auto"/>
              <w:left w:val="single" w:sz="4" w:space="0" w:color="auto"/>
              <w:bottom w:val="single" w:sz="4" w:space="0" w:color="auto"/>
              <w:right w:val="single" w:sz="4" w:space="0" w:color="auto"/>
            </w:tcBorders>
          </w:tcPr>
          <w:p w:rsidR="005523FE" w:rsidRPr="006A3AB0" w:rsidRDefault="005523FE" w:rsidP="006A3AB0">
            <w:pPr>
              <w:widowControl w:val="0"/>
              <w:tabs>
                <w:tab w:val="left" w:pos="360"/>
              </w:tabs>
              <w:spacing w:line="240" w:lineRule="auto"/>
              <w:ind w:right="-14"/>
              <w:rPr>
                <w:rFonts w:eastAsia="Arial"/>
                <w:sz w:val="20"/>
                <w:szCs w:val="20"/>
              </w:rPr>
            </w:pPr>
            <w:r w:rsidRPr="006A3AB0">
              <w:rPr>
                <w:rFonts w:eastAsia="Times New Roman"/>
                <w:color w:val="000000"/>
                <w:sz w:val="20"/>
                <w:szCs w:val="20"/>
              </w:rPr>
              <w:t>IP 37801 Safety Reviews, Design Changes, and Modifications</w:t>
            </w:r>
          </w:p>
        </w:tc>
      </w:tr>
      <w:tr w:rsidR="005523FE" w:rsidRPr="006C22C5" w:rsidTr="006A3AB0">
        <w:trPr>
          <w:trHeight w:val="28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71111.22</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5523FE" w:rsidRPr="006A3AB0" w:rsidRDefault="005523FE" w:rsidP="006A3AB0">
            <w:pPr>
              <w:spacing w:line="240" w:lineRule="auto"/>
              <w:rPr>
                <w:rFonts w:eastAsia="Times New Roman"/>
                <w:color w:val="000000"/>
                <w:sz w:val="20"/>
                <w:szCs w:val="20"/>
              </w:rPr>
            </w:pPr>
            <w:r w:rsidRPr="006A3AB0">
              <w:rPr>
                <w:rFonts w:eastAsia="Times New Roman"/>
                <w:color w:val="000000"/>
                <w:sz w:val="20"/>
                <w:szCs w:val="20"/>
              </w:rPr>
              <w:t>Surveillance Testing</w:t>
            </w:r>
          </w:p>
        </w:tc>
        <w:tc>
          <w:tcPr>
            <w:tcW w:w="3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6A3AB0">
            <w:pPr>
              <w:widowControl w:val="0"/>
              <w:tabs>
                <w:tab w:val="left" w:pos="360"/>
              </w:tabs>
              <w:spacing w:line="240" w:lineRule="auto"/>
              <w:ind w:right="-20"/>
              <w:rPr>
                <w:rFonts w:eastAsia="Arial"/>
                <w:sz w:val="20"/>
                <w:szCs w:val="20"/>
              </w:rPr>
            </w:pPr>
            <w:r w:rsidRPr="006A3AB0">
              <w:rPr>
                <w:rFonts w:eastAsia="Arial"/>
                <w:spacing w:val="-1"/>
                <w:sz w:val="20"/>
                <w:szCs w:val="20"/>
              </w:rPr>
              <w:t>A</w:t>
            </w:r>
            <w:r w:rsidRPr="006A3AB0">
              <w:rPr>
                <w:rFonts w:eastAsia="Arial"/>
                <w:spacing w:val="1"/>
                <w:sz w:val="20"/>
                <w:szCs w:val="20"/>
              </w:rPr>
              <w:t>ttr</w:t>
            </w:r>
            <w:r w:rsidRPr="006A3AB0">
              <w:rPr>
                <w:rFonts w:eastAsia="Arial"/>
                <w:spacing w:val="-6"/>
                <w:sz w:val="20"/>
                <w:szCs w:val="20"/>
              </w:rPr>
              <w:t>i</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1"/>
                <w:sz w:val="20"/>
                <w:szCs w:val="20"/>
              </w:rPr>
              <w:t>i</w:t>
            </w:r>
            <w:r w:rsidRPr="006A3AB0">
              <w:rPr>
                <w:rFonts w:eastAsia="Arial"/>
                <w:sz w:val="20"/>
                <w:szCs w:val="20"/>
              </w:rPr>
              <w:t>n</w:t>
            </w:r>
            <w:r w:rsidRPr="006A3AB0">
              <w:rPr>
                <w:rFonts w:eastAsia="Arial"/>
                <w:spacing w:val="1"/>
                <w:sz w:val="20"/>
                <w:szCs w:val="20"/>
              </w:rPr>
              <w:t xml:space="preserve"> </w:t>
            </w:r>
            <w:r w:rsidRPr="006A3AB0">
              <w:rPr>
                <w:rFonts w:eastAsia="Arial"/>
                <w:spacing w:val="-2"/>
                <w:sz w:val="20"/>
                <w:szCs w:val="20"/>
              </w:rPr>
              <w:t>s</w:t>
            </w:r>
            <w:r w:rsidRPr="006A3AB0">
              <w:rPr>
                <w:rFonts w:eastAsia="Arial"/>
                <w:spacing w:val="1"/>
                <w:sz w:val="20"/>
                <w:szCs w:val="20"/>
              </w:rPr>
              <w:t>t</w:t>
            </w:r>
            <w:r w:rsidRPr="006A3AB0">
              <w:rPr>
                <w:rFonts w:eastAsia="Arial"/>
                <w:spacing w:val="-5"/>
                <w:sz w:val="20"/>
                <w:szCs w:val="20"/>
              </w:rPr>
              <w:t>a</w:t>
            </w:r>
            <w:r w:rsidRPr="006A3AB0">
              <w:rPr>
                <w:rFonts w:eastAsia="Arial"/>
                <w:spacing w:val="1"/>
                <w:sz w:val="20"/>
                <w:szCs w:val="20"/>
              </w:rPr>
              <w:t>f</w:t>
            </w:r>
            <w:r w:rsidRPr="006A3AB0">
              <w:rPr>
                <w:rFonts w:eastAsia="Arial"/>
                <w:spacing w:val="6"/>
                <w:sz w:val="20"/>
                <w:szCs w:val="20"/>
              </w:rPr>
              <w:t>f</w:t>
            </w:r>
            <w:r w:rsidRPr="006A3AB0">
              <w:rPr>
                <w:rFonts w:eastAsia="Arial"/>
                <w:spacing w:val="-1"/>
                <w:sz w:val="20"/>
                <w:szCs w:val="20"/>
              </w:rPr>
              <w:t>i</w:t>
            </w:r>
            <w:r w:rsidRPr="006A3AB0">
              <w:rPr>
                <w:rFonts w:eastAsia="Arial"/>
                <w:spacing w:val="-5"/>
                <w:sz w:val="20"/>
                <w:szCs w:val="20"/>
              </w:rPr>
              <w:t>n</w:t>
            </w:r>
            <w:r w:rsidRPr="006A3AB0">
              <w:rPr>
                <w:rFonts w:eastAsia="Arial"/>
                <w:sz w:val="20"/>
                <w:szCs w:val="20"/>
              </w:rPr>
              <w:t>g</w:t>
            </w:r>
            <w:r w:rsidRPr="006A3AB0">
              <w:rPr>
                <w:rFonts w:eastAsia="Arial"/>
                <w:spacing w:val="1"/>
                <w:sz w:val="20"/>
                <w:szCs w:val="20"/>
              </w:rPr>
              <w:t xml:space="preserve"> </w:t>
            </w:r>
            <w:r w:rsidRPr="006A3AB0">
              <w:rPr>
                <w:rFonts w:eastAsia="Arial"/>
                <w:spacing w:val="-1"/>
                <w:sz w:val="20"/>
                <w:szCs w:val="20"/>
              </w:rPr>
              <w:t>l</w:t>
            </w:r>
            <w:r w:rsidRPr="006A3AB0">
              <w:rPr>
                <w:rFonts w:eastAsia="Arial"/>
                <w:sz w:val="20"/>
                <w:szCs w:val="20"/>
              </w:rPr>
              <w:t>e</w:t>
            </w:r>
            <w:r w:rsidRPr="006A3AB0">
              <w:rPr>
                <w:rFonts w:eastAsia="Arial"/>
                <w:spacing w:val="-5"/>
                <w:sz w:val="20"/>
                <w:szCs w:val="20"/>
              </w:rPr>
              <w:t>v</w:t>
            </w:r>
            <w:r w:rsidRPr="006A3AB0">
              <w:rPr>
                <w:rFonts w:eastAsia="Arial"/>
                <w:sz w:val="20"/>
                <w:szCs w:val="20"/>
              </w:rPr>
              <w:t>e</w:t>
            </w:r>
            <w:r w:rsidRPr="006A3AB0">
              <w:rPr>
                <w:rFonts w:eastAsia="Arial"/>
                <w:spacing w:val="-1"/>
                <w:sz w:val="20"/>
                <w:szCs w:val="20"/>
              </w:rPr>
              <w:t>l</w:t>
            </w:r>
            <w:r w:rsidRPr="006A3AB0">
              <w:rPr>
                <w:rFonts w:eastAsia="Arial"/>
                <w:sz w:val="20"/>
                <w:szCs w:val="20"/>
              </w:rPr>
              <w:t>s</w:t>
            </w:r>
            <w:r w:rsidRPr="006A3AB0">
              <w:rPr>
                <w:rFonts w:eastAsia="Arial"/>
                <w:spacing w:val="1"/>
                <w:sz w:val="20"/>
                <w:szCs w:val="20"/>
              </w:rPr>
              <w:t xml:space="preserve"> </w:t>
            </w:r>
            <w:r w:rsidRPr="006A3AB0">
              <w:rPr>
                <w:rFonts w:eastAsia="Arial"/>
                <w:sz w:val="20"/>
                <w:szCs w:val="20"/>
              </w:rPr>
              <w:t>and</w:t>
            </w:r>
            <w:r w:rsidRPr="006A3AB0">
              <w:rPr>
                <w:rFonts w:eastAsia="Arial"/>
                <w:spacing w:val="1"/>
                <w:sz w:val="20"/>
                <w:szCs w:val="20"/>
              </w:rPr>
              <w:t xml:space="preserve"> r</w:t>
            </w:r>
            <w:r w:rsidRPr="006A3AB0">
              <w:rPr>
                <w:rFonts w:eastAsia="Arial"/>
                <w:sz w:val="20"/>
                <w:szCs w:val="20"/>
              </w:rPr>
              <w:t>ed</w:t>
            </w:r>
            <w:r w:rsidRPr="006A3AB0">
              <w:rPr>
                <w:rFonts w:eastAsia="Arial"/>
                <w:spacing w:val="-1"/>
                <w:sz w:val="20"/>
                <w:szCs w:val="20"/>
              </w:rPr>
              <w:t>u</w:t>
            </w:r>
            <w:r w:rsidRPr="006A3AB0">
              <w:rPr>
                <w:rFonts w:eastAsia="Arial"/>
                <w:spacing w:val="-2"/>
                <w:sz w:val="20"/>
                <w:szCs w:val="20"/>
              </w:rPr>
              <w:t>c</w:t>
            </w:r>
            <w:r w:rsidRPr="006A3AB0">
              <w:rPr>
                <w:rFonts w:eastAsia="Arial"/>
                <w:spacing w:val="1"/>
                <w:sz w:val="20"/>
                <w:szCs w:val="20"/>
              </w:rPr>
              <w:t>t</w:t>
            </w:r>
            <w:r w:rsidRPr="006A3AB0">
              <w:rPr>
                <w:rFonts w:eastAsia="Arial"/>
                <w:spacing w:val="-1"/>
                <w:sz w:val="20"/>
                <w:szCs w:val="20"/>
              </w:rPr>
              <w:t>i</w:t>
            </w:r>
            <w:r w:rsidRPr="006A3AB0">
              <w:rPr>
                <w:rFonts w:eastAsia="Arial"/>
                <w:sz w:val="20"/>
                <w:szCs w:val="20"/>
              </w:rPr>
              <w:t>on</w:t>
            </w:r>
            <w:r w:rsidRPr="006A3AB0">
              <w:rPr>
                <w:rFonts w:eastAsia="Arial"/>
                <w:spacing w:val="1"/>
                <w:sz w:val="20"/>
                <w:szCs w:val="20"/>
              </w:rPr>
              <w:t xml:space="preserve"> </w:t>
            </w:r>
            <w:r w:rsidRPr="006A3AB0">
              <w:rPr>
                <w:rFonts w:eastAsia="Arial"/>
                <w:spacing w:val="-5"/>
                <w:sz w:val="20"/>
                <w:szCs w:val="20"/>
              </w:rPr>
              <w:t>o</w:t>
            </w:r>
            <w:r w:rsidRPr="006A3AB0">
              <w:rPr>
                <w:rFonts w:eastAsia="Arial"/>
                <w:sz w:val="20"/>
                <w:szCs w:val="20"/>
              </w:rPr>
              <w:t>f</w:t>
            </w:r>
            <w:r w:rsidRPr="006A3AB0">
              <w:rPr>
                <w:rFonts w:eastAsia="Arial"/>
                <w:spacing w:val="5"/>
                <w:sz w:val="20"/>
                <w:szCs w:val="20"/>
              </w:rPr>
              <w:t xml:space="preserve"> </w:t>
            </w:r>
            <w:r w:rsidRPr="006A3AB0">
              <w:rPr>
                <w:rFonts w:eastAsia="Arial"/>
                <w:spacing w:val="-5"/>
                <w:sz w:val="20"/>
                <w:szCs w:val="20"/>
              </w:rPr>
              <w:t>c</w:t>
            </w:r>
            <w:r w:rsidRPr="006A3AB0">
              <w:rPr>
                <w:rFonts w:eastAsia="Arial"/>
                <w:spacing w:val="1"/>
                <w:sz w:val="20"/>
                <w:szCs w:val="20"/>
              </w:rPr>
              <w:t>r</w:t>
            </w:r>
            <w:r w:rsidRPr="006A3AB0">
              <w:rPr>
                <w:rFonts w:eastAsia="Arial"/>
                <w:spacing w:val="-5"/>
                <w:sz w:val="20"/>
                <w:szCs w:val="20"/>
              </w:rPr>
              <w:t>a</w:t>
            </w:r>
            <w:r w:rsidRPr="006A3AB0">
              <w:rPr>
                <w:rFonts w:eastAsia="Arial"/>
                <w:spacing w:val="3"/>
                <w:sz w:val="20"/>
                <w:szCs w:val="20"/>
              </w:rPr>
              <w:t>f</w:t>
            </w:r>
            <w:r w:rsidRPr="006A3AB0">
              <w:rPr>
                <w:rFonts w:eastAsia="Arial"/>
                <w:sz w:val="20"/>
                <w:szCs w:val="20"/>
              </w:rPr>
              <w:t>t</w:t>
            </w:r>
            <w:r w:rsidRPr="006A3AB0">
              <w:rPr>
                <w:rFonts w:eastAsia="Arial"/>
                <w:spacing w:val="2"/>
                <w:sz w:val="20"/>
                <w:szCs w:val="20"/>
              </w:rPr>
              <w:t xml:space="preserve"> </w:t>
            </w:r>
            <w:r w:rsidRPr="006A3AB0">
              <w:rPr>
                <w:rFonts w:eastAsia="Arial"/>
                <w:spacing w:val="-5"/>
                <w:sz w:val="20"/>
                <w:szCs w:val="20"/>
              </w:rPr>
              <w:t>s</w:t>
            </w:r>
            <w:r w:rsidRPr="006A3AB0">
              <w:rPr>
                <w:rFonts w:eastAsia="Arial"/>
                <w:spacing w:val="2"/>
                <w:sz w:val="20"/>
                <w:szCs w:val="20"/>
              </w:rPr>
              <w:t>k</w:t>
            </w:r>
            <w:r w:rsidRPr="006A3AB0">
              <w:rPr>
                <w:rFonts w:eastAsia="Arial"/>
                <w:spacing w:val="-1"/>
                <w:sz w:val="20"/>
                <w:szCs w:val="20"/>
              </w:rPr>
              <w:t>i</w:t>
            </w:r>
            <w:r w:rsidRPr="006A3AB0">
              <w:rPr>
                <w:rFonts w:eastAsia="Arial"/>
                <w:spacing w:val="-3"/>
                <w:sz w:val="20"/>
                <w:szCs w:val="20"/>
              </w:rPr>
              <w:t>l</w:t>
            </w:r>
            <w:r w:rsidRPr="006A3AB0">
              <w:rPr>
                <w:rFonts w:eastAsia="Arial"/>
                <w:sz w:val="20"/>
                <w:szCs w:val="20"/>
              </w:rPr>
              <w:t>l</w:t>
            </w:r>
            <w:r w:rsidR="00D24320" w:rsidRPr="006A3AB0">
              <w:rPr>
                <w:rFonts w:eastAsia="Arial"/>
                <w:sz w:val="20"/>
                <w:szCs w:val="20"/>
              </w:rPr>
              <w:t>.</w:t>
            </w:r>
          </w:p>
        </w:tc>
        <w:tc>
          <w:tcPr>
            <w:tcW w:w="2340" w:type="dxa"/>
            <w:tcBorders>
              <w:top w:val="single" w:sz="4" w:space="0" w:color="auto"/>
              <w:left w:val="single" w:sz="4" w:space="0" w:color="auto"/>
              <w:bottom w:val="single" w:sz="4" w:space="0" w:color="auto"/>
              <w:right w:val="single" w:sz="4" w:space="0" w:color="auto"/>
            </w:tcBorders>
          </w:tcPr>
          <w:p w:rsidR="005523FE" w:rsidRPr="006A3AB0" w:rsidRDefault="005523FE" w:rsidP="006A3AB0">
            <w:pPr>
              <w:widowControl w:val="0"/>
              <w:tabs>
                <w:tab w:val="left" w:pos="360"/>
              </w:tabs>
              <w:spacing w:line="240" w:lineRule="auto"/>
              <w:ind w:right="-20"/>
              <w:rPr>
                <w:rFonts w:eastAsia="Arial"/>
                <w:spacing w:val="-1"/>
                <w:sz w:val="20"/>
                <w:szCs w:val="20"/>
              </w:rPr>
            </w:pPr>
            <w:r w:rsidRPr="006A3AB0">
              <w:rPr>
                <w:rFonts w:eastAsia="Arial"/>
                <w:spacing w:val="-1"/>
                <w:sz w:val="20"/>
                <w:szCs w:val="20"/>
              </w:rPr>
              <w:t>IP 61726 Surveillance Observation</w:t>
            </w:r>
          </w:p>
        </w:tc>
      </w:tr>
    </w:tbl>
    <w:p w:rsidR="00476509" w:rsidRDefault="00476509"/>
    <w:p w:rsidR="006069BF" w:rsidRDefault="006069BF" w:rsidP="00057F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81426" w:rsidRDefault="00A81426" w:rsidP="00E415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6509" w:rsidRDefault="00476509">
      <w:pPr>
        <w:sectPr w:rsidR="00476509" w:rsidSect="005B48FF">
          <w:footerReference w:type="default" r:id="rId10"/>
          <w:pgSz w:w="12240" w:h="15840"/>
          <w:pgMar w:top="1440" w:right="1440" w:bottom="1440" w:left="1440" w:header="1440" w:footer="1440" w:gutter="0"/>
          <w:cols w:space="720"/>
          <w:docGrid w:linePitch="360"/>
        </w:sectPr>
      </w:pPr>
    </w:p>
    <w:p w:rsidR="00E71631" w:rsidRDefault="00476509" w:rsidP="006B18E0">
      <w:pPr>
        <w:pStyle w:val="ListParagraph"/>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jc w:val="center"/>
      </w:pPr>
      <w:r>
        <w:lastRenderedPageBreak/>
        <w:t xml:space="preserve">Attachment 2 </w:t>
      </w:r>
      <w:r w:rsidR="005523FE">
        <w:t>–</w:t>
      </w:r>
      <w:r>
        <w:t xml:space="preserve"> </w:t>
      </w:r>
      <w:r w:rsidR="005523FE">
        <w:t xml:space="preserve">SUGGESTED </w:t>
      </w:r>
      <w:r w:rsidR="00003801">
        <w:t>DECREASE IN NUMBER OF INSPECTIONS PERFORMED FOR THE FOLLOWING AREAS</w:t>
      </w:r>
    </w:p>
    <w:tbl>
      <w:tblPr>
        <w:tblW w:w="9558" w:type="dxa"/>
        <w:tblLayout w:type="fixed"/>
        <w:tblLook w:val="04A0" w:firstRow="1" w:lastRow="0" w:firstColumn="1" w:lastColumn="0" w:noHBand="0" w:noVBand="1"/>
      </w:tblPr>
      <w:tblGrid>
        <w:gridCol w:w="1188"/>
        <w:gridCol w:w="1440"/>
        <w:gridCol w:w="4320"/>
        <w:gridCol w:w="2610"/>
      </w:tblGrid>
      <w:tr w:rsidR="005523FE" w:rsidRPr="004F4079" w:rsidTr="006A3AB0">
        <w:trPr>
          <w:trHeight w:val="287"/>
          <w:tblHeader/>
        </w:trPr>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 xml:space="preserve">IP Number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 xml:space="preserve">Title/Section </w:t>
            </w:r>
          </w:p>
        </w:tc>
        <w:tc>
          <w:tcPr>
            <w:tcW w:w="4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 xml:space="preserve">Comments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Decommissioning Inspection Procedure as Applicable</w:t>
            </w: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71111.06</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Internal Flood Protection Measures</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943A5E">
            <w:pPr>
              <w:spacing w:line="240" w:lineRule="auto"/>
              <w:rPr>
                <w:rFonts w:eastAsia="Times New Roman"/>
                <w:color w:val="000000"/>
                <w:sz w:val="20"/>
                <w:szCs w:val="20"/>
              </w:rPr>
            </w:pPr>
            <w:r w:rsidRPr="006A3AB0">
              <w:rPr>
                <w:rFonts w:eastAsia="Times New Roman"/>
                <w:color w:val="000000"/>
                <w:sz w:val="20"/>
                <w:szCs w:val="20"/>
              </w:rPr>
              <w:t xml:space="preserve">Submerged cables for </w:t>
            </w:r>
            <w:r w:rsidR="00943A5E" w:rsidRPr="006A3AB0">
              <w:rPr>
                <w:rFonts w:eastAsia="Times New Roman"/>
                <w:color w:val="000000"/>
                <w:sz w:val="20"/>
                <w:szCs w:val="20"/>
              </w:rPr>
              <w:t>structures, systems and components (</w:t>
            </w:r>
            <w:r w:rsidRPr="006A3AB0">
              <w:rPr>
                <w:rFonts w:eastAsia="Times New Roman"/>
                <w:color w:val="000000"/>
                <w:sz w:val="20"/>
                <w:szCs w:val="20"/>
              </w:rPr>
              <w:t>SSC</w:t>
            </w:r>
            <w:r w:rsidR="00943A5E" w:rsidRPr="006A3AB0">
              <w:rPr>
                <w:rFonts w:eastAsia="Times New Roman"/>
                <w:color w:val="000000"/>
                <w:sz w:val="20"/>
                <w:szCs w:val="20"/>
              </w:rPr>
              <w:t>)</w:t>
            </w:r>
            <w:r w:rsidRPr="006A3AB0">
              <w:rPr>
                <w:rFonts w:eastAsia="Times New Roman"/>
                <w:color w:val="000000"/>
                <w:sz w:val="20"/>
                <w:szCs w:val="20"/>
              </w:rPr>
              <w:t xml:space="preserve"> that will be taken out of service will not pose risk</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1E34D2">
            <w:pPr>
              <w:spacing w:line="240" w:lineRule="auto"/>
              <w:rPr>
                <w:rFonts w:eastAsia="Times New Roman"/>
                <w:color w:val="000000"/>
                <w:sz w:val="20"/>
                <w:szCs w:val="20"/>
              </w:rPr>
            </w:pP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71111.07A</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Heat Sink Performance</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 xml:space="preserve">Consider </w:t>
            </w:r>
            <w:r w:rsidR="006A3AB0">
              <w:rPr>
                <w:rFonts w:eastAsia="Times New Roman"/>
                <w:color w:val="000000"/>
                <w:sz w:val="20"/>
                <w:szCs w:val="20"/>
              </w:rPr>
              <w:t>Spent Fu</w:t>
            </w:r>
            <w:r w:rsidR="00C91759" w:rsidRPr="006A3AB0">
              <w:rPr>
                <w:rFonts w:eastAsia="Times New Roman"/>
                <w:color w:val="000000"/>
                <w:sz w:val="20"/>
                <w:szCs w:val="20"/>
              </w:rPr>
              <w:t>el Pool</w:t>
            </w:r>
            <w:r w:rsidR="00943A5E" w:rsidRPr="006A3AB0">
              <w:rPr>
                <w:rFonts w:eastAsia="Times New Roman"/>
                <w:color w:val="000000"/>
                <w:sz w:val="20"/>
                <w:szCs w:val="20"/>
              </w:rPr>
              <w:t xml:space="preserve"> (</w:t>
            </w:r>
            <w:r w:rsidRPr="006A3AB0">
              <w:rPr>
                <w:rFonts w:eastAsia="Times New Roman"/>
                <w:color w:val="000000"/>
                <w:sz w:val="20"/>
                <w:szCs w:val="20"/>
              </w:rPr>
              <w:t>SFP</w:t>
            </w:r>
            <w:r w:rsidR="00943A5E" w:rsidRPr="006A3AB0">
              <w:rPr>
                <w:rFonts w:eastAsia="Times New Roman"/>
                <w:color w:val="000000"/>
                <w:sz w:val="20"/>
                <w:szCs w:val="20"/>
              </w:rPr>
              <w:t xml:space="preserve">) Heat </w:t>
            </w:r>
            <w:proofErr w:type="spellStart"/>
            <w:r w:rsidR="00943A5E" w:rsidRPr="006A3AB0">
              <w:rPr>
                <w:rFonts w:eastAsia="Times New Roman"/>
                <w:color w:val="000000"/>
                <w:sz w:val="20"/>
                <w:szCs w:val="20"/>
              </w:rPr>
              <w:t>Exanger</w:t>
            </w:r>
            <w:proofErr w:type="spellEnd"/>
            <w:r w:rsidRPr="006A3AB0">
              <w:rPr>
                <w:rFonts w:eastAsia="Times New Roman"/>
                <w:color w:val="000000"/>
                <w:sz w:val="20"/>
                <w:szCs w:val="20"/>
              </w:rPr>
              <w:t xml:space="preserve"> </w:t>
            </w:r>
            <w:r w:rsidR="00943A5E" w:rsidRPr="006A3AB0">
              <w:rPr>
                <w:rFonts w:eastAsia="Times New Roman"/>
                <w:color w:val="000000"/>
                <w:sz w:val="20"/>
                <w:szCs w:val="20"/>
              </w:rPr>
              <w:t>(</w:t>
            </w:r>
            <w:r w:rsidRPr="006A3AB0">
              <w:rPr>
                <w:rFonts w:eastAsia="Times New Roman"/>
                <w:color w:val="000000"/>
                <w:sz w:val="20"/>
                <w:szCs w:val="20"/>
              </w:rPr>
              <w:t>HX</w:t>
            </w:r>
            <w:r w:rsidR="00943A5E" w:rsidRPr="006A3AB0">
              <w:rPr>
                <w:rFonts w:eastAsia="Times New Roman"/>
                <w:color w:val="000000"/>
                <w:sz w:val="20"/>
                <w:szCs w:val="20"/>
              </w:rPr>
              <w:t>)</w:t>
            </w:r>
            <w:r w:rsidRPr="006A3AB0">
              <w:rPr>
                <w:rFonts w:eastAsia="Times New Roman"/>
                <w:color w:val="000000"/>
                <w:sz w:val="20"/>
                <w:szCs w:val="20"/>
              </w:rPr>
              <w:t xml:space="preserve"> or Containment Spray HX </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1E34D2">
            <w:pPr>
              <w:spacing w:line="240" w:lineRule="auto"/>
              <w:rPr>
                <w:rFonts w:eastAsia="Times New Roman"/>
                <w:color w:val="000000"/>
                <w:sz w:val="20"/>
                <w:szCs w:val="20"/>
              </w:rPr>
            </w:pP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71111.12</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Maintenance Effectiveness</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 xml:space="preserve">Consider 1 annual maintenance effectiveness review on an equipment issue or system important to spent fuel safety </w:t>
            </w:r>
          </w:p>
          <w:p w:rsidR="005523FE" w:rsidRPr="006A3AB0" w:rsidRDefault="005523FE" w:rsidP="001E34D2">
            <w:pPr>
              <w:widowControl w:val="0"/>
              <w:tabs>
                <w:tab w:val="left" w:pos="360"/>
              </w:tabs>
              <w:spacing w:line="240" w:lineRule="auto"/>
              <w:ind w:right="-20"/>
              <w:rPr>
                <w:rFonts w:eastAsia="Arial"/>
                <w:sz w:val="20"/>
                <w:szCs w:val="20"/>
              </w:rPr>
            </w:pPr>
            <w:r w:rsidRPr="006A3AB0">
              <w:rPr>
                <w:rFonts w:eastAsia="Arial"/>
                <w:spacing w:val="-1"/>
                <w:sz w:val="20"/>
                <w:szCs w:val="20"/>
              </w:rPr>
              <w:t>Review d</w:t>
            </w:r>
            <w:r w:rsidRPr="006A3AB0">
              <w:rPr>
                <w:rFonts w:eastAsia="Arial"/>
                <w:spacing w:val="-3"/>
                <w:sz w:val="20"/>
                <w:szCs w:val="20"/>
              </w:rPr>
              <w:t>e</w:t>
            </w:r>
            <w:r w:rsidRPr="006A3AB0">
              <w:rPr>
                <w:rFonts w:eastAsia="Arial"/>
                <w:spacing w:val="6"/>
                <w:sz w:val="20"/>
                <w:szCs w:val="20"/>
              </w:rPr>
              <w:t>f</w:t>
            </w:r>
            <w:r w:rsidRPr="006A3AB0">
              <w:rPr>
                <w:rFonts w:eastAsia="Arial"/>
                <w:spacing w:val="-3"/>
                <w:sz w:val="20"/>
                <w:szCs w:val="20"/>
              </w:rPr>
              <w:t>e</w:t>
            </w:r>
            <w:r w:rsidRPr="006A3AB0">
              <w:rPr>
                <w:rFonts w:eastAsia="Arial"/>
                <w:spacing w:val="1"/>
                <w:sz w:val="20"/>
                <w:szCs w:val="20"/>
              </w:rPr>
              <w:t>rr</w:t>
            </w:r>
            <w:r w:rsidRPr="006A3AB0">
              <w:rPr>
                <w:rFonts w:eastAsia="Arial"/>
                <w:sz w:val="20"/>
                <w:szCs w:val="20"/>
              </w:rPr>
              <w:t xml:space="preserve">al </w:t>
            </w:r>
            <w:r w:rsidRPr="006A3AB0">
              <w:rPr>
                <w:rFonts w:eastAsia="Arial"/>
                <w:spacing w:val="-5"/>
                <w:sz w:val="20"/>
                <w:szCs w:val="20"/>
              </w:rPr>
              <w:t>o</w:t>
            </w:r>
            <w:r w:rsidRPr="006A3AB0">
              <w:rPr>
                <w:rFonts w:eastAsia="Arial"/>
                <w:sz w:val="20"/>
                <w:szCs w:val="20"/>
              </w:rPr>
              <w:t>f</w:t>
            </w:r>
            <w:r w:rsidRPr="006A3AB0">
              <w:rPr>
                <w:rFonts w:eastAsia="Arial"/>
                <w:spacing w:val="2"/>
                <w:sz w:val="20"/>
                <w:szCs w:val="20"/>
              </w:rPr>
              <w:t xml:space="preserve"> </w:t>
            </w:r>
            <w:r w:rsidRPr="006A3AB0">
              <w:rPr>
                <w:rFonts w:eastAsia="Arial"/>
                <w:sz w:val="20"/>
                <w:szCs w:val="20"/>
              </w:rPr>
              <w:t>p</w:t>
            </w:r>
            <w:r w:rsidRPr="006A3AB0">
              <w:rPr>
                <w:rFonts w:eastAsia="Arial"/>
                <w:spacing w:val="1"/>
                <w:sz w:val="20"/>
                <w:szCs w:val="20"/>
              </w:rPr>
              <w:t>r</w:t>
            </w:r>
            <w:r w:rsidRPr="006A3AB0">
              <w:rPr>
                <w:rFonts w:eastAsia="Arial"/>
                <w:sz w:val="20"/>
                <w:szCs w:val="20"/>
              </w:rPr>
              <w:t>e</w:t>
            </w:r>
            <w:r w:rsidRPr="006A3AB0">
              <w:rPr>
                <w:rFonts w:eastAsia="Arial"/>
                <w:spacing w:val="-5"/>
                <w:sz w:val="20"/>
                <w:szCs w:val="20"/>
              </w:rPr>
              <w:t>v</w:t>
            </w:r>
            <w:r w:rsidRPr="006A3AB0">
              <w:rPr>
                <w:rFonts w:eastAsia="Arial"/>
                <w:sz w:val="20"/>
                <w:szCs w:val="20"/>
              </w:rPr>
              <w:t>e</w:t>
            </w:r>
            <w:r w:rsidRPr="006A3AB0">
              <w:rPr>
                <w:rFonts w:eastAsia="Arial"/>
                <w:spacing w:val="-1"/>
                <w:sz w:val="20"/>
                <w:szCs w:val="20"/>
              </w:rPr>
              <w:t>n</w:t>
            </w:r>
            <w:r w:rsidRPr="006A3AB0">
              <w:rPr>
                <w:rFonts w:eastAsia="Arial"/>
                <w:spacing w:val="1"/>
                <w:sz w:val="20"/>
                <w:szCs w:val="20"/>
              </w:rPr>
              <w:t>t</w:t>
            </w:r>
            <w:r w:rsidRPr="006A3AB0">
              <w:rPr>
                <w:rFonts w:eastAsia="Arial"/>
                <w:sz w:val="20"/>
                <w:szCs w:val="20"/>
              </w:rPr>
              <w:t>a</w:t>
            </w:r>
            <w:r w:rsidRPr="006A3AB0">
              <w:rPr>
                <w:rFonts w:eastAsia="Arial"/>
                <w:spacing w:val="1"/>
                <w:sz w:val="20"/>
                <w:szCs w:val="20"/>
              </w:rPr>
              <w:t>t</w:t>
            </w:r>
            <w:r w:rsidRPr="006A3AB0">
              <w:rPr>
                <w:rFonts w:eastAsia="Arial"/>
                <w:spacing w:val="-1"/>
                <w:sz w:val="20"/>
                <w:szCs w:val="20"/>
              </w:rPr>
              <w:t>i</w:t>
            </w:r>
            <w:r w:rsidRPr="006A3AB0">
              <w:rPr>
                <w:rFonts w:eastAsia="Arial"/>
                <w:spacing w:val="-5"/>
                <w:sz w:val="20"/>
                <w:szCs w:val="20"/>
              </w:rPr>
              <w:t>v</w:t>
            </w:r>
            <w:r w:rsidRPr="006A3AB0">
              <w:rPr>
                <w:rFonts w:eastAsia="Arial"/>
                <w:sz w:val="20"/>
                <w:szCs w:val="20"/>
              </w:rPr>
              <w:t>e</w:t>
            </w:r>
            <w:r w:rsidRPr="006A3AB0">
              <w:rPr>
                <w:rFonts w:eastAsia="Arial"/>
                <w:spacing w:val="-2"/>
                <w:sz w:val="20"/>
                <w:szCs w:val="20"/>
              </w:rPr>
              <w:t xml:space="preserve"> </w:t>
            </w:r>
            <w:r w:rsidRPr="006A3AB0">
              <w:rPr>
                <w:rFonts w:eastAsia="Arial"/>
                <w:spacing w:val="1"/>
                <w:sz w:val="20"/>
                <w:szCs w:val="20"/>
              </w:rPr>
              <w:t>m</w:t>
            </w:r>
            <w:r w:rsidRPr="006A3AB0">
              <w:rPr>
                <w:rFonts w:eastAsia="Arial"/>
                <w:sz w:val="20"/>
                <w:szCs w:val="20"/>
              </w:rPr>
              <w:t>a</w:t>
            </w:r>
            <w:r w:rsidRPr="006A3AB0">
              <w:rPr>
                <w:rFonts w:eastAsia="Arial"/>
                <w:spacing w:val="-1"/>
                <w:sz w:val="20"/>
                <w:szCs w:val="20"/>
              </w:rPr>
              <w:t>i</w:t>
            </w:r>
            <w:r w:rsidRPr="006A3AB0">
              <w:rPr>
                <w:rFonts w:eastAsia="Arial"/>
                <w:sz w:val="20"/>
                <w:szCs w:val="20"/>
              </w:rPr>
              <w:t>n</w:t>
            </w:r>
            <w:r w:rsidRPr="006A3AB0">
              <w:rPr>
                <w:rFonts w:eastAsia="Arial"/>
                <w:spacing w:val="1"/>
                <w:sz w:val="20"/>
                <w:szCs w:val="20"/>
              </w:rPr>
              <w:t>t</w:t>
            </w:r>
            <w:r w:rsidRPr="006A3AB0">
              <w:rPr>
                <w:rFonts w:eastAsia="Arial"/>
                <w:sz w:val="20"/>
                <w:szCs w:val="20"/>
              </w:rPr>
              <w:t>enance</w:t>
            </w:r>
            <w:r w:rsidRPr="006A3AB0">
              <w:rPr>
                <w:rFonts w:eastAsia="Arial"/>
                <w:spacing w:val="-1"/>
                <w:sz w:val="20"/>
                <w:szCs w:val="20"/>
              </w:rPr>
              <w:t xml:space="preserve"> </w:t>
            </w:r>
            <w:r w:rsidRPr="006A3AB0">
              <w:rPr>
                <w:rFonts w:eastAsia="Arial"/>
                <w:sz w:val="20"/>
                <w:szCs w:val="20"/>
              </w:rPr>
              <w:t>and</w:t>
            </w:r>
            <w:r w:rsidRPr="006A3AB0">
              <w:rPr>
                <w:rFonts w:eastAsia="Arial"/>
                <w:spacing w:val="1"/>
                <w:sz w:val="20"/>
                <w:szCs w:val="20"/>
              </w:rPr>
              <w:t xml:space="preserve"> </w:t>
            </w:r>
            <w:r w:rsidRPr="006A3AB0">
              <w:rPr>
                <w:rFonts w:eastAsia="Arial"/>
                <w:sz w:val="20"/>
                <w:szCs w:val="20"/>
              </w:rPr>
              <w:t>s</w:t>
            </w:r>
            <w:r w:rsidRPr="006A3AB0">
              <w:rPr>
                <w:rFonts w:eastAsia="Arial"/>
                <w:spacing w:val="-3"/>
                <w:sz w:val="20"/>
                <w:szCs w:val="20"/>
              </w:rPr>
              <w:t>u</w:t>
            </w:r>
            <w:r w:rsidRPr="006A3AB0">
              <w:rPr>
                <w:rFonts w:eastAsia="Arial"/>
                <w:spacing w:val="1"/>
                <w:sz w:val="20"/>
                <w:szCs w:val="20"/>
              </w:rPr>
              <w:t>r</w:t>
            </w:r>
            <w:r w:rsidRPr="006A3AB0">
              <w:rPr>
                <w:rFonts w:eastAsia="Arial"/>
                <w:spacing w:val="-5"/>
                <w:sz w:val="20"/>
                <w:szCs w:val="20"/>
              </w:rPr>
              <w:t>v</w:t>
            </w:r>
            <w:r w:rsidRPr="006A3AB0">
              <w:rPr>
                <w:rFonts w:eastAsia="Arial"/>
                <w:sz w:val="20"/>
                <w:szCs w:val="20"/>
              </w:rPr>
              <w:t>e</w:t>
            </w:r>
            <w:r w:rsidRPr="006A3AB0">
              <w:rPr>
                <w:rFonts w:eastAsia="Arial"/>
                <w:spacing w:val="-1"/>
                <w:sz w:val="20"/>
                <w:szCs w:val="20"/>
              </w:rPr>
              <w:t>ill</w:t>
            </w:r>
            <w:r w:rsidRPr="006A3AB0">
              <w:rPr>
                <w:rFonts w:eastAsia="Arial"/>
                <w:sz w:val="20"/>
                <w:szCs w:val="20"/>
              </w:rPr>
              <w:t>ance</w:t>
            </w:r>
            <w:r w:rsidRPr="006A3AB0">
              <w:rPr>
                <w:rFonts w:eastAsia="Arial"/>
                <w:spacing w:val="1"/>
                <w:sz w:val="20"/>
                <w:szCs w:val="20"/>
              </w:rPr>
              <w:t xml:space="preserve"> t</w:t>
            </w:r>
            <w:r w:rsidRPr="006A3AB0">
              <w:rPr>
                <w:rFonts w:eastAsia="Arial"/>
                <w:sz w:val="20"/>
                <w:szCs w:val="20"/>
              </w:rPr>
              <w:t>e</w:t>
            </w:r>
            <w:r w:rsidRPr="006A3AB0">
              <w:rPr>
                <w:rFonts w:eastAsia="Arial"/>
                <w:spacing w:val="-2"/>
                <w:sz w:val="20"/>
                <w:szCs w:val="20"/>
              </w:rPr>
              <w:t>s</w:t>
            </w:r>
            <w:r w:rsidRPr="006A3AB0">
              <w:rPr>
                <w:rFonts w:eastAsia="Arial"/>
                <w:spacing w:val="1"/>
                <w:sz w:val="20"/>
                <w:szCs w:val="20"/>
              </w:rPr>
              <w:t>t</w:t>
            </w:r>
            <w:r w:rsidRPr="006A3AB0">
              <w:rPr>
                <w:rFonts w:eastAsia="Arial"/>
                <w:sz w:val="20"/>
                <w:szCs w:val="20"/>
              </w:rPr>
              <w:t>s</w:t>
            </w:r>
          </w:p>
          <w:p w:rsidR="005523FE" w:rsidRPr="006A3AB0" w:rsidRDefault="005523FE" w:rsidP="001E34D2">
            <w:pPr>
              <w:spacing w:line="240" w:lineRule="auto"/>
              <w:rPr>
                <w:rFonts w:eastAsia="Times New Roman"/>
                <w:color w:val="000000"/>
                <w:sz w:val="20"/>
                <w:szCs w:val="20"/>
              </w:rPr>
            </w:pPr>
            <w:r w:rsidRPr="006A3AB0">
              <w:rPr>
                <w:rFonts w:eastAsia="Arial"/>
                <w:sz w:val="20"/>
                <w:szCs w:val="20"/>
              </w:rPr>
              <w:t>Attention to increasing corrective maintenance backlogs</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IP 62801 Maintenance Rule</w:t>
            </w: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71111.13</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Maintenance Risk Assessment &amp; Emergent Work Control</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1E34D2">
            <w:pPr>
              <w:spacing w:line="240" w:lineRule="auto"/>
              <w:rPr>
                <w:rFonts w:eastAsia="Times New Roman"/>
                <w:color w:val="000000"/>
                <w:sz w:val="20"/>
                <w:szCs w:val="20"/>
              </w:rPr>
            </w:pPr>
            <w:r w:rsidRPr="006A3AB0">
              <w:rPr>
                <w:rFonts w:eastAsia="Times New Roman"/>
                <w:color w:val="000000"/>
                <w:sz w:val="20"/>
                <w:szCs w:val="20"/>
              </w:rPr>
              <w:t>Given the reduction or elimination of preventive maintenance work and planned work windows removing systems from service, there will be few planned maintenance work activities for which management of risk will be valuable sample.  The noted flexibility takes into Account that emergent activities will continue to be a focus area.</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1E34D2">
            <w:pPr>
              <w:spacing w:line="240" w:lineRule="auto"/>
              <w:rPr>
                <w:rFonts w:eastAsia="Times New Roman"/>
                <w:color w:val="000000"/>
                <w:sz w:val="20"/>
                <w:szCs w:val="20"/>
              </w:rPr>
            </w:pP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71111.19</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Post Maintenance Testing</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Number of maintenance activities will decrease</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5523FE">
            <w:pPr>
              <w:spacing w:line="240" w:lineRule="auto"/>
              <w:rPr>
                <w:rFonts w:eastAsia="Times New Roman"/>
                <w:color w:val="000000"/>
                <w:sz w:val="20"/>
                <w:szCs w:val="20"/>
              </w:rPr>
            </w:pPr>
          </w:p>
        </w:tc>
      </w:tr>
      <w:tr w:rsidR="005523FE" w:rsidRPr="004F4079" w:rsidTr="006A3AB0">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71114.06</w:t>
            </w:r>
          </w:p>
        </w:tc>
        <w:tc>
          <w:tcPr>
            <w:tcW w:w="1440" w:type="dxa"/>
            <w:tcBorders>
              <w:top w:val="nil"/>
              <w:left w:val="nil"/>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EP Drill Evaluation</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23FE" w:rsidRPr="006A3AB0" w:rsidRDefault="005523FE" w:rsidP="005523FE">
            <w:pPr>
              <w:spacing w:line="240" w:lineRule="auto"/>
              <w:rPr>
                <w:rFonts w:eastAsia="Times New Roman"/>
                <w:color w:val="000000"/>
                <w:sz w:val="20"/>
                <w:szCs w:val="20"/>
              </w:rPr>
            </w:pPr>
            <w:r w:rsidRPr="006A3AB0">
              <w:rPr>
                <w:rFonts w:eastAsia="Times New Roman"/>
                <w:color w:val="000000"/>
                <w:sz w:val="20"/>
                <w:szCs w:val="20"/>
              </w:rPr>
              <w:t>As the staffing challenges arise ensure adequate staffing for Emergency response</w:t>
            </w:r>
          </w:p>
        </w:tc>
        <w:tc>
          <w:tcPr>
            <w:tcW w:w="2610" w:type="dxa"/>
            <w:tcBorders>
              <w:top w:val="single" w:sz="4" w:space="0" w:color="auto"/>
              <w:left w:val="single" w:sz="4" w:space="0" w:color="auto"/>
              <w:bottom w:val="single" w:sz="4" w:space="0" w:color="auto"/>
              <w:right w:val="single" w:sz="4" w:space="0" w:color="auto"/>
            </w:tcBorders>
          </w:tcPr>
          <w:p w:rsidR="005523FE" w:rsidRPr="006A3AB0" w:rsidRDefault="005523FE" w:rsidP="005523FE">
            <w:pPr>
              <w:spacing w:line="240" w:lineRule="auto"/>
              <w:rPr>
                <w:rFonts w:eastAsia="Times New Roman"/>
                <w:color w:val="000000"/>
                <w:sz w:val="20"/>
                <w:szCs w:val="20"/>
              </w:rPr>
            </w:pPr>
          </w:p>
        </w:tc>
      </w:tr>
    </w:tbl>
    <w:p w:rsidR="001E34D2" w:rsidRDefault="001E34D2">
      <w:pPr>
        <w:sectPr w:rsidR="001E34D2" w:rsidSect="005B48FF">
          <w:footerReference w:type="default" r:id="rId11"/>
          <w:pgSz w:w="12240" w:h="15840"/>
          <w:pgMar w:top="1440" w:right="1440" w:bottom="1440" w:left="1440" w:header="1440" w:footer="1440" w:gutter="0"/>
          <w:cols w:space="720"/>
          <w:docGrid w:linePitch="360"/>
        </w:sectPr>
      </w:pPr>
    </w:p>
    <w:p w:rsidR="00A93F30" w:rsidRDefault="00A93F30" w:rsidP="00A93F30">
      <w:pPr>
        <w:pStyle w:val="ListParagraph"/>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jc w:val="center"/>
      </w:pPr>
      <w:r>
        <w:lastRenderedPageBreak/>
        <w:t>Attachment 3 – NO CHANGES IN NUMBER OF INSPECTIONS PERFORMED FOR THE FOLLOWING AREAS</w:t>
      </w:r>
    </w:p>
    <w:p w:rsidR="00476509" w:rsidRDefault="00476509"/>
    <w:tbl>
      <w:tblPr>
        <w:tblW w:w="9558" w:type="dxa"/>
        <w:tblLayout w:type="fixed"/>
        <w:tblLook w:val="04A0" w:firstRow="1" w:lastRow="0" w:firstColumn="1" w:lastColumn="0" w:noHBand="0" w:noVBand="1"/>
      </w:tblPr>
      <w:tblGrid>
        <w:gridCol w:w="1188"/>
        <w:gridCol w:w="1440"/>
        <w:gridCol w:w="4500"/>
        <w:gridCol w:w="2430"/>
      </w:tblGrid>
      <w:tr w:rsidR="00015AA0" w:rsidRPr="004F4079" w:rsidTr="004F1ECC">
        <w:trPr>
          <w:trHeight w:val="287"/>
          <w:tblHeader/>
        </w:trPr>
        <w:tc>
          <w:tcPr>
            <w:tcW w:w="1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15AA0" w:rsidRPr="006A3AB0" w:rsidRDefault="00015AA0" w:rsidP="0057593D">
            <w:pPr>
              <w:spacing w:line="240" w:lineRule="auto"/>
              <w:rPr>
                <w:rFonts w:eastAsia="Times New Roman"/>
                <w:color w:val="000000"/>
                <w:sz w:val="20"/>
                <w:szCs w:val="20"/>
              </w:rPr>
            </w:pPr>
            <w:r w:rsidRPr="006A3AB0">
              <w:rPr>
                <w:rFonts w:eastAsia="Times New Roman"/>
                <w:color w:val="000000"/>
                <w:sz w:val="20"/>
                <w:szCs w:val="20"/>
              </w:rPr>
              <w:t xml:space="preserve">IP Number </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015AA0" w:rsidRPr="006A3AB0" w:rsidRDefault="00015AA0" w:rsidP="0057593D">
            <w:pPr>
              <w:spacing w:line="240" w:lineRule="auto"/>
              <w:rPr>
                <w:rFonts w:eastAsia="Times New Roman"/>
                <w:color w:val="000000"/>
                <w:sz w:val="20"/>
                <w:szCs w:val="20"/>
              </w:rPr>
            </w:pPr>
            <w:r w:rsidRPr="006A3AB0">
              <w:rPr>
                <w:rFonts w:eastAsia="Times New Roman"/>
                <w:color w:val="000000"/>
                <w:sz w:val="20"/>
                <w:szCs w:val="20"/>
              </w:rPr>
              <w:t xml:space="preserve">Title/Section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15AA0" w:rsidRPr="006A3AB0" w:rsidRDefault="00015AA0" w:rsidP="0057593D">
            <w:pPr>
              <w:spacing w:line="240" w:lineRule="auto"/>
              <w:rPr>
                <w:rFonts w:eastAsia="Times New Roman"/>
                <w:color w:val="000000"/>
                <w:sz w:val="20"/>
                <w:szCs w:val="20"/>
              </w:rPr>
            </w:pPr>
            <w:r w:rsidRPr="006A3AB0">
              <w:rPr>
                <w:rFonts w:eastAsia="Times New Roman"/>
                <w:color w:val="000000"/>
                <w:sz w:val="20"/>
                <w:szCs w:val="20"/>
              </w:rPr>
              <w:t xml:space="preserve">Comments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15AA0" w:rsidRPr="006A3AB0" w:rsidRDefault="00015AA0" w:rsidP="0057593D">
            <w:pPr>
              <w:spacing w:line="240" w:lineRule="auto"/>
              <w:rPr>
                <w:rFonts w:eastAsia="Times New Roman"/>
                <w:color w:val="000000"/>
                <w:sz w:val="20"/>
                <w:szCs w:val="20"/>
              </w:rPr>
            </w:pPr>
            <w:r w:rsidRPr="006A3AB0">
              <w:rPr>
                <w:rFonts w:eastAsia="Times New Roman"/>
                <w:color w:val="000000"/>
                <w:sz w:val="20"/>
                <w:szCs w:val="20"/>
              </w:rPr>
              <w:t>Decommissioning Inspection Procedure as Applicable</w:t>
            </w: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 xml:space="preserve">71111.01 </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 xml:space="preserve">Adverse Weather </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 xml:space="preserve">Hurricane season </w:t>
            </w:r>
          </w:p>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Cold weather preparation</w:t>
            </w: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71111.05A</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Fire Drill</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 xml:space="preserve">71111.20 </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Refueling and Outage Activities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 xml:space="preserve">Verify SFP </w:t>
            </w:r>
            <w:r w:rsidR="00943A5E" w:rsidRPr="006A3AB0">
              <w:rPr>
                <w:rFonts w:eastAsia="Times New Roman"/>
                <w:color w:val="000000"/>
                <w:sz w:val="20"/>
                <w:szCs w:val="20"/>
              </w:rPr>
              <w:t>Foreign Material Exclusion (</w:t>
            </w:r>
            <w:r w:rsidRPr="006A3AB0">
              <w:rPr>
                <w:rFonts w:eastAsia="Times New Roman"/>
                <w:color w:val="000000"/>
                <w:sz w:val="20"/>
                <w:szCs w:val="20"/>
              </w:rPr>
              <w:t>FME</w:t>
            </w:r>
            <w:r w:rsidR="00943A5E" w:rsidRPr="006A3AB0">
              <w:rPr>
                <w:rFonts w:eastAsia="Times New Roman"/>
                <w:color w:val="000000"/>
                <w:sz w:val="20"/>
                <w:szCs w:val="20"/>
              </w:rPr>
              <w:t>)</w:t>
            </w:r>
            <w:r w:rsidRPr="006A3AB0">
              <w:rPr>
                <w:rFonts w:eastAsia="Times New Roman"/>
                <w:color w:val="000000"/>
                <w:sz w:val="20"/>
                <w:szCs w:val="20"/>
              </w:rPr>
              <w:t xml:space="preserve"> controls and SFP protection </w:t>
            </w: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IP 60801 Spent Fuel Pool Safety at PSRs</w:t>
            </w: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71151</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Performance Indicator Verification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71152</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Problem Identification &amp; Resolution</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Consider focus on maintenance backlog and preventive maintenance history</w:t>
            </w: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IP 40801, Self-Assessment, Auditing and Corrective Action for Decommissioning</w:t>
            </w: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71153</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Event Follow up</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p>
        </w:tc>
      </w:tr>
      <w:tr w:rsidR="00C204DB" w:rsidRPr="004F4079" w:rsidTr="004F1ECC">
        <w:trPr>
          <w:trHeight w:val="285"/>
        </w:trPr>
        <w:tc>
          <w:tcPr>
            <w:tcW w:w="1188" w:type="dxa"/>
            <w:tcBorders>
              <w:top w:val="nil"/>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IMC 2515, App D</w:t>
            </w:r>
          </w:p>
        </w:tc>
        <w:tc>
          <w:tcPr>
            <w:tcW w:w="1440" w:type="dxa"/>
            <w:tcBorders>
              <w:top w:val="nil"/>
              <w:left w:val="nil"/>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Plant Status</w:t>
            </w:r>
          </w:p>
        </w:tc>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Focus on SSCs necessary for the safe storage of spent fuel including security, radiation protection, and emergency preparedness</w:t>
            </w:r>
          </w:p>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Periodically discuss with licensee representatives the status of decommissioning activities, problems encountered, and performance insights</w:t>
            </w:r>
          </w:p>
        </w:tc>
        <w:tc>
          <w:tcPr>
            <w:tcW w:w="2430" w:type="dxa"/>
            <w:tcBorders>
              <w:top w:val="single" w:sz="4" w:space="0" w:color="auto"/>
              <w:left w:val="single" w:sz="4" w:space="0" w:color="auto"/>
              <w:bottom w:val="single" w:sz="4" w:space="0" w:color="auto"/>
              <w:right w:val="single" w:sz="4" w:space="0" w:color="auto"/>
            </w:tcBorders>
          </w:tcPr>
          <w:p w:rsidR="00C204DB" w:rsidRPr="006A3AB0" w:rsidRDefault="00C204DB" w:rsidP="00C204DB">
            <w:pPr>
              <w:spacing w:line="240" w:lineRule="auto"/>
              <w:rPr>
                <w:rFonts w:eastAsia="Times New Roman"/>
                <w:color w:val="000000"/>
                <w:sz w:val="20"/>
                <w:szCs w:val="20"/>
              </w:rPr>
            </w:pPr>
            <w:r w:rsidRPr="006A3AB0">
              <w:rPr>
                <w:rFonts w:eastAsia="Times New Roman"/>
                <w:color w:val="000000"/>
                <w:sz w:val="20"/>
                <w:szCs w:val="20"/>
              </w:rPr>
              <w:t>IP 71801 Decommissioning Performance and Status Review</w:t>
            </w:r>
          </w:p>
          <w:p w:rsidR="00C204DB" w:rsidRPr="006A3AB0" w:rsidRDefault="00C204DB" w:rsidP="00C204DB">
            <w:pPr>
              <w:spacing w:line="240" w:lineRule="auto"/>
              <w:rPr>
                <w:rFonts w:eastAsia="Times New Roman"/>
                <w:color w:val="000000"/>
                <w:sz w:val="20"/>
                <w:szCs w:val="20"/>
              </w:rPr>
            </w:pPr>
          </w:p>
          <w:p w:rsidR="00C204DB" w:rsidRPr="006A3AB0" w:rsidRDefault="00C204DB" w:rsidP="00C204DB">
            <w:pPr>
              <w:spacing w:line="240" w:lineRule="auto"/>
              <w:rPr>
                <w:rFonts w:eastAsia="Times New Roman"/>
                <w:color w:val="000000"/>
                <w:sz w:val="20"/>
                <w:szCs w:val="20"/>
              </w:rPr>
            </w:pPr>
          </w:p>
        </w:tc>
      </w:tr>
    </w:tbl>
    <w:p w:rsidR="0057593D" w:rsidRDefault="0057593D"/>
    <w:p w:rsidR="0057593D" w:rsidRDefault="0057593D">
      <w:pPr>
        <w:sectPr w:rsidR="0057593D" w:rsidSect="005B48FF">
          <w:footerReference w:type="default" r:id="rId12"/>
          <w:pgSz w:w="12240" w:h="15840"/>
          <w:pgMar w:top="1440" w:right="1440" w:bottom="1440" w:left="1440" w:header="1440" w:footer="1440" w:gutter="0"/>
          <w:cols w:space="720"/>
          <w:docGrid w:linePitch="360"/>
        </w:sectPr>
      </w:pPr>
    </w:p>
    <w:p w:rsidR="00277FF6" w:rsidRDefault="00277FF6"/>
    <w:p w:rsidR="00E71631" w:rsidRDefault="00015AA0" w:rsidP="001E34D2">
      <w:pPr>
        <w:pStyle w:val="ListParagraph"/>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jc w:val="center"/>
      </w:pPr>
      <w:r>
        <w:t>Attachment 4</w:t>
      </w:r>
      <w:r w:rsidR="00476509">
        <w:t xml:space="preserve"> - </w:t>
      </w:r>
      <w:r w:rsidR="005766C1">
        <w:t xml:space="preserve">BASELINE INSPECTION PROGRAM </w:t>
      </w:r>
      <w:r w:rsidR="00277FF6">
        <w:t>TEAM INSPECTIONS:</w:t>
      </w:r>
    </w:p>
    <w:p w:rsidR="002933B6" w:rsidRDefault="002933B6" w:rsidP="002933B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2933B6" w:rsidRDefault="00F55FE9" w:rsidP="00F55FE9">
      <w:pPr>
        <w:pStyle w:val="Default"/>
        <w:rPr>
          <w:sz w:val="22"/>
          <w:szCs w:val="22"/>
        </w:rPr>
      </w:pPr>
      <w:r>
        <w:rPr>
          <w:sz w:val="22"/>
          <w:szCs w:val="22"/>
        </w:rPr>
        <w:t>In addition to the inspection procedures that Resident inspectors complete, baseline inspections continue to be conducted</w:t>
      </w:r>
      <w:r w:rsidR="00174B46">
        <w:rPr>
          <w:sz w:val="22"/>
          <w:szCs w:val="22"/>
        </w:rPr>
        <w:t xml:space="preserve"> by the regional</w:t>
      </w:r>
      <w:r>
        <w:rPr>
          <w:sz w:val="22"/>
          <w:szCs w:val="22"/>
        </w:rPr>
        <w:t xml:space="preserve"> inspectors such as engineering, radiation protection, emergency preparedness, operator licensing, and security with focus including but not limited to the following: </w:t>
      </w:r>
    </w:p>
    <w:p w:rsidR="002933B6" w:rsidRDefault="002933B6" w:rsidP="00F55FE9">
      <w:pPr>
        <w:pStyle w:val="Default"/>
        <w:rPr>
          <w:sz w:val="22"/>
          <w:szCs w:val="22"/>
        </w:rPr>
      </w:pPr>
    </w:p>
    <w:p w:rsidR="00F55FE9" w:rsidRDefault="00F55FE9" w:rsidP="00F55FE9">
      <w:pPr>
        <w:pStyle w:val="Default"/>
        <w:numPr>
          <w:ilvl w:val="0"/>
          <w:numId w:val="6"/>
        </w:numPr>
        <w:spacing w:after="31"/>
        <w:rPr>
          <w:sz w:val="22"/>
          <w:szCs w:val="22"/>
        </w:rPr>
      </w:pPr>
      <w:r>
        <w:rPr>
          <w:sz w:val="22"/>
          <w:szCs w:val="22"/>
        </w:rPr>
        <w:t xml:space="preserve">Samples of licensee evaluation and response to License Amendments, Generic Letters, Bulletins and Information Notices after shutdown announcement </w:t>
      </w:r>
    </w:p>
    <w:p w:rsidR="002933B6" w:rsidRDefault="002933B6" w:rsidP="002933B6">
      <w:pPr>
        <w:pStyle w:val="Default"/>
        <w:spacing w:after="31"/>
        <w:ind w:left="360"/>
        <w:rPr>
          <w:sz w:val="22"/>
          <w:szCs w:val="22"/>
        </w:rPr>
      </w:pPr>
    </w:p>
    <w:p w:rsidR="00F55FE9" w:rsidRDefault="00F55FE9" w:rsidP="00F55FE9">
      <w:pPr>
        <w:pStyle w:val="Default"/>
        <w:numPr>
          <w:ilvl w:val="0"/>
          <w:numId w:val="6"/>
        </w:numPr>
        <w:rPr>
          <w:sz w:val="22"/>
          <w:szCs w:val="22"/>
        </w:rPr>
      </w:pPr>
      <w:r>
        <w:rPr>
          <w:sz w:val="22"/>
          <w:szCs w:val="22"/>
        </w:rPr>
        <w:t xml:space="preserve">Potential degradation to radiological controls including increase in dose and area of contamination on site </w:t>
      </w:r>
    </w:p>
    <w:p w:rsidR="002933B6" w:rsidRDefault="002933B6" w:rsidP="002933B6">
      <w:pPr>
        <w:pStyle w:val="Default"/>
        <w:rPr>
          <w:sz w:val="22"/>
          <w:szCs w:val="22"/>
        </w:rPr>
      </w:pPr>
    </w:p>
    <w:p w:rsidR="00F55FE9" w:rsidRDefault="00F55FE9" w:rsidP="00F55FE9">
      <w:pPr>
        <w:pStyle w:val="Default"/>
        <w:numPr>
          <w:ilvl w:val="0"/>
          <w:numId w:val="6"/>
        </w:numPr>
        <w:spacing w:after="27"/>
        <w:rPr>
          <w:sz w:val="22"/>
          <w:szCs w:val="22"/>
        </w:rPr>
      </w:pPr>
      <w:r w:rsidRPr="003235C1">
        <w:rPr>
          <w:sz w:val="22"/>
          <w:szCs w:val="22"/>
        </w:rPr>
        <w:t>Evaluation of I</w:t>
      </w:r>
      <w:r w:rsidR="007501B7" w:rsidRPr="003235C1">
        <w:rPr>
          <w:sz w:val="22"/>
          <w:szCs w:val="22"/>
        </w:rPr>
        <w:t xml:space="preserve">n </w:t>
      </w:r>
      <w:r w:rsidRPr="003235C1">
        <w:rPr>
          <w:sz w:val="22"/>
          <w:szCs w:val="22"/>
        </w:rPr>
        <w:t>S</w:t>
      </w:r>
      <w:r w:rsidR="007501B7" w:rsidRPr="003235C1">
        <w:rPr>
          <w:sz w:val="22"/>
          <w:szCs w:val="22"/>
        </w:rPr>
        <w:t xml:space="preserve">ervice </w:t>
      </w:r>
      <w:r w:rsidRPr="003235C1">
        <w:rPr>
          <w:sz w:val="22"/>
          <w:szCs w:val="22"/>
        </w:rPr>
        <w:t>I</w:t>
      </w:r>
      <w:r w:rsidR="007501B7" w:rsidRPr="003235C1">
        <w:rPr>
          <w:sz w:val="22"/>
          <w:szCs w:val="22"/>
        </w:rPr>
        <w:t>nspection</w:t>
      </w:r>
      <w:r w:rsidRPr="003235C1">
        <w:rPr>
          <w:sz w:val="22"/>
          <w:szCs w:val="22"/>
        </w:rPr>
        <w:t xml:space="preserve"> deferrals </w:t>
      </w:r>
    </w:p>
    <w:p w:rsidR="002933B6" w:rsidRPr="003235C1" w:rsidRDefault="002933B6" w:rsidP="002933B6">
      <w:pPr>
        <w:pStyle w:val="Default"/>
        <w:spacing w:after="27"/>
        <w:rPr>
          <w:sz w:val="22"/>
          <w:szCs w:val="22"/>
        </w:rPr>
      </w:pPr>
    </w:p>
    <w:p w:rsidR="00B728EA" w:rsidRDefault="00B728EA" w:rsidP="008E4E6D">
      <w:pPr>
        <w:pStyle w:val="Default"/>
        <w:numPr>
          <w:ilvl w:val="0"/>
          <w:numId w:val="6"/>
        </w:numPr>
        <w:rPr>
          <w:sz w:val="22"/>
          <w:szCs w:val="22"/>
        </w:rPr>
      </w:pPr>
      <w:r>
        <w:rPr>
          <w:sz w:val="22"/>
          <w:szCs w:val="22"/>
        </w:rPr>
        <w:t xml:space="preserve">Security IPs remain as scheduled until all spent nuclear fuel (SNF) is removed. </w:t>
      </w:r>
    </w:p>
    <w:p w:rsidR="00B728EA" w:rsidRDefault="00B728EA" w:rsidP="00B728EA">
      <w:pPr>
        <w:pStyle w:val="ListParagraph"/>
      </w:pPr>
    </w:p>
    <w:p w:rsidR="008E4E6D" w:rsidRDefault="00F55FE9" w:rsidP="008E4E6D">
      <w:pPr>
        <w:pStyle w:val="Default"/>
        <w:numPr>
          <w:ilvl w:val="0"/>
          <w:numId w:val="6"/>
        </w:numPr>
        <w:rPr>
          <w:sz w:val="22"/>
          <w:szCs w:val="22"/>
        </w:rPr>
      </w:pPr>
      <w:r>
        <w:rPr>
          <w:sz w:val="22"/>
          <w:szCs w:val="22"/>
        </w:rPr>
        <w:t>Availability of emergency facilities</w:t>
      </w:r>
      <w:r w:rsidR="007501B7">
        <w:rPr>
          <w:sz w:val="22"/>
          <w:szCs w:val="22"/>
        </w:rPr>
        <w:t>, staffing</w:t>
      </w:r>
      <w:r>
        <w:rPr>
          <w:sz w:val="22"/>
          <w:szCs w:val="22"/>
        </w:rPr>
        <w:t xml:space="preserve"> and operability of emergency sirens </w:t>
      </w:r>
    </w:p>
    <w:p w:rsidR="002933B6" w:rsidRDefault="002933B6" w:rsidP="002933B6">
      <w:pPr>
        <w:pStyle w:val="Default"/>
        <w:rPr>
          <w:sz w:val="22"/>
          <w:szCs w:val="22"/>
        </w:rPr>
      </w:pPr>
    </w:p>
    <w:p w:rsidR="00F55FE9" w:rsidRDefault="008E4E6D" w:rsidP="008E4E6D">
      <w:pPr>
        <w:pStyle w:val="Default"/>
        <w:numPr>
          <w:ilvl w:val="0"/>
          <w:numId w:val="6"/>
        </w:numPr>
        <w:rPr>
          <w:sz w:val="22"/>
          <w:szCs w:val="22"/>
        </w:rPr>
      </w:pPr>
      <w:r w:rsidRPr="006A7BD7">
        <w:rPr>
          <w:sz w:val="22"/>
          <w:szCs w:val="22"/>
        </w:rPr>
        <w:t>For Component Design Basis Inspection</w:t>
      </w:r>
      <w:r w:rsidR="00174B46">
        <w:rPr>
          <w:sz w:val="22"/>
          <w:szCs w:val="22"/>
        </w:rPr>
        <w:t xml:space="preserve"> (CDBI), IP 71111.21</w:t>
      </w:r>
      <w:r w:rsidRPr="006A7BD7">
        <w:rPr>
          <w:sz w:val="22"/>
          <w:szCs w:val="22"/>
        </w:rPr>
        <w:t>,</w:t>
      </w:r>
      <w:r w:rsidR="007501B7">
        <w:rPr>
          <w:sz w:val="22"/>
          <w:szCs w:val="22"/>
        </w:rPr>
        <w:t>”Component Design Bases Inspection,”</w:t>
      </w:r>
      <w:r w:rsidRPr="006A7BD7">
        <w:rPr>
          <w:sz w:val="22"/>
          <w:szCs w:val="22"/>
        </w:rPr>
        <w:t xml:space="preserve"> if the</w:t>
      </w:r>
      <w:r w:rsidR="00D50DCB" w:rsidRPr="006A7BD7">
        <w:rPr>
          <w:sz w:val="22"/>
          <w:szCs w:val="22"/>
        </w:rPr>
        <w:t xml:space="preserve"> target date for the permanent shutdown is more than 3 years in the future, the next CDBI should occur as normally scheduled within the current triennial period</w:t>
      </w:r>
      <w:r w:rsidR="00715A3C">
        <w:rPr>
          <w:sz w:val="22"/>
          <w:szCs w:val="22"/>
        </w:rPr>
        <w:t xml:space="preserve"> (</w:t>
      </w:r>
      <w:r w:rsidR="00A13FA0">
        <w:rPr>
          <w:sz w:val="22"/>
          <w:szCs w:val="22"/>
        </w:rPr>
        <w:t>s</w:t>
      </w:r>
      <w:r w:rsidR="00C91759">
        <w:rPr>
          <w:sz w:val="22"/>
          <w:szCs w:val="22"/>
        </w:rPr>
        <w:t>ample</w:t>
      </w:r>
      <w:r w:rsidR="00A13FA0">
        <w:rPr>
          <w:sz w:val="22"/>
          <w:szCs w:val="22"/>
        </w:rPr>
        <w:t xml:space="preserve"> examples</w:t>
      </w:r>
      <w:r w:rsidR="00715A3C">
        <w:rPr>
          <w:sz w:val="22"/>
          <w:szCs w:val="22"/>
        </w:rPr>
        <w:t xml:space="preserve">: </w:t>
      </w:r>
      <w:r w:rsidR="006A3AB0">
        <w:rPr>
          <w:sz w:val="22"/>
          <w:szCs w:val="22"/>
        </w:rPr>
        <w:t xml:space="preserve"> </w:t>
      </w:r>
      <w:r w:rsidR="00715A3C">
        <w:rPr>
          <w:sz w:val="22"/>
          <w:szCs w:val="22"/>
        </w:rPr>
        <w:t xml:space="preserve">standby fuel pool cooling system (pump, pump motor and heat exchanger), normal fuel pool cooling system isolation valve, review of corrective action for NRC </w:t>
      </w:r>
      <w:r w:rsidR="007501B7">
        <w:rPr>
          <w:sz w:val="22"/>
          <w:szCs w:val="22"/>
        </w:rPr>
        <w:t>Information Notice (</w:t>
      </w:r>
      <w:r w:rsidR="00715A3C">
        <w:rPr>
          <w:sz w:val="22"/>
          <w:szCs w:val="22"/>
        </w:rPr>
        <w:t>IN</w:t>
      </w:r>
      <w:r w:rsidR="007501B7">
        <w:rPr>
          <w:sz w:val="22"/>
          <w:szCs w:val="22"/>
        </w:rPr>
        <w:t>)</w:t>
      </w:r>
      <w:r w:rsidR="00715A3C">
        <w:rPr>
          <w:sz w:val="22"/>
          <w:szCs w:val="22"/>
        </w:rPr>
        <w:t xml:space="preserve"> 2009-26 – Degraded Neutron Absorber in the Spent Fuel Pool, NRC IN 2011-03 – Non</w:t>
      </w:r>
      <w:r w:rsidR="00A13FA0">
        <w:rPr>
          <w:sz w:val="22"/>
          <w:szCs w:val="22"/>
        </w:rPr>
        <w:t>-</w:t>
      </w:r>
      <w:r w:rsidR="00715A3C">
        <w:rPr>
          <w:sz w:val="22"/>
          <w:szCs w:val="22"/>
        </w:rPr>
        <w:t>conservative Criticality Safety Analyses for Fuel)</w:t>
      </w:r>
      <w:r w:rsidR="00A13FA0">
        <w:rPr>
          <w:sz w:val="22"/>
          <w:szCs w:val="22"/>
        </w:rPr>
        <w:t>.</w:t>
      </w:r>
      <w:r w:rsidR="00715A3C">
        <w:rPr>
          <w:sz w:val="22"/>
          <w:szCs w:val="22"/>
        </w:rPr>
        <w:t xml:space="preserve">  </w:t>
      </w:r>
      <w:r w:rsidR="00D50DCB" w:rsidRPr="006A7BD7">
        <w:rPr>
          <w:sz w:val="22"/>
          <w:szCs w:val="22"/>
        </w:rPr>
        <w:t>If the target date for the permanent shutdown is less than 3 years in the future, the Region (in consultation with NRR/</w:t>
      </w:r>
      <w:r w:rsidR="005766C1">
        <w:rPr>
          <w:sz w:val="22"/>
          <w:szCs w:val="22"/>
        </w:rPr>
        <w:t>DIRS</w:t>
      </w:r>
      <w:r w:rsidR="00D50DCB" w:rsidRPr="006A7BD7">
        <w:rPr>
          <w:sz w:val="22"/>
          <w:szCs w:val="22"/>
        </w:rPr>
        <w:t>) should consider</w:t>
      </w:r>
      <w:r w:rsidRPr="006A7BD7">
        <w:rPr>
          <w:sz w:val="22"/>
          <w:szCs w:val="22"/>
        </w:rPr>
        <w:t xml:space="preserve"> either canc</w:t>
      </w:r>
      <w:r w:rsidR="005766C1">
        <w:rPr>
          <w:sz w:val="22"/>
          <w:szCs w:val="22"/>
        </w:rPr>
        <w:t>elling the inspection or combining</w:t>
      </w:r>
      <w:r w:rsidRPr="006A7BD7">
        <w:rPr>
          <w:sz w:val="22"/>
          <w:szCs w:val="22"/>
        </w:rPr>
        <w:t xml:space="preserve"> the CDBI with </w:t>
      </w:r>
      <w:r w:rsidR="00C91759">
        <w:rPr>
          <w:sz w:val="22"/>
          <w:szCs w:val="22"/>
        </w:rPr>
        <w:t>e</w:t>
      </w:r>
      <w:r w:rsidRPr="006A7BD7">
        <w:rPr>
          <w:sz w:val="22"/>
          <w:szCs w:val="22"/>
        </w:rPr>
        <w:t>valuations of changes, tests or experiments and permanent plant modif</w:t>
      </w:r>
      <w:r w:rsidR="00A13FA0">
        <w:rPr>
          <w:sz w:val="22"/>
          <w:szCs w:val="22"/>
        </w:rPr>
        <w:t>ications (IP 71111.17T</w:t>
      </w:r>
      <w:r w:rsidR="007501B7">
        <w:rPr>
          <w:sz w:val="22"/>
          <w:szCs w:val="22"/>
        </w:rPr>
        <w:t xml:space="preserve">, “Evaluations of Changes, Tests and Experiments and Permanent Plant </w:t>
      </w:r>
      <w:r w:rsidR="003235C1">
        <w:rPr>
          <w:sz w:val="22"/>
          <w:szCs w:val="22"/>
        </w:rPr>
        <w:t>Modifications</w:t>
      </w:r>
      <w:r w:rsidR="007501B7">
        <w:rPr>
          <w:sz w:val="22"/>
          <w:szCs w:val="22"/>
        </w:rPr>
        <w:t>”</w:t>
      </w:r>
      <w:r w:rsidR="00A13FA0">
        <w:rPr>
          <w:sz w:val="22"/>
          <w:szCs w:val="22"/>
        </w:rPr>
        <w:t>).  Combining the inspections allows flexibility for sample selection to the inspectors for covering</w:t>
      </w:r>
      <w:r w:rsidR="0043701E">
        <w:rPr>
          <w:sz w:val="22"/>
          <w:szCs w:val="22"/>
        </w:rPr>
        <w:t xml:space="preserve"> </w:t>
      </w:r>
      <w:r w:rsidR="00A13FA0">
        <w:rPr>
          <w:sz w:val="22"/>
          <w:szCs w:val="22"/>
        </w:rPr>
        <w:t xml:space="preserve">CDBI and Plant Modifications.   </w:t>
      </w:r>
    </w:p>
    <w:p w:rsidR="00943A5E" w:rsidRDefault="00943A5E" w:rsidP="00943A5E">
      <w:pPr>
        <w:pStyle w:val="ListParagraph"/>
      </w:pPr>
    </w:p>
    <w:p w:rsidR="00943A5E" w:rsidRDefault="00943A5E" w:rsidP="00943A5E">
      <w:pPr>
        <w:pStyle w:val="Default"/>
        <w:numPr>
          <w:ilvl w:val="0"/>
          <w:numId w:val="6"/>
        </w:numPr>
        <w:rPr>
          <w:sz w:val="22"/>
          <w:szCs w:val="22"/>
        </w:rPr>
      </w:pPr>
      <w:r>
        <w:rPr>
          <w:sz w:val="22"/>
          <w:szCs w:val="22"/>
        </w:rPr>
        <w:t xml:space="preserve">A Biennial Problem Identification and Resolution </w:t>
      </w:r>
      <w:r w:rsidR="00DC3CDA">
        <w:rPr>
          <w:sz w:val="22"/>
          <w:szCs w:val="22"/>
        </w:rPr>
        <w:t xml:space="preserve">(PI&amp;R) </w:t>
      </w:r>
      <w:r>
        <w:rPr>
          <w:sz w:val="22"/>
          <w:szCs w:val="22"/>
        </w:rPr>
        <w:t>Inspection, if it falls in the last year of the shutdown cycle, the region can consider reduced scope of the inspection.  A decreasing trend for identifying issues and correcting them in a timely manner may be evaluated by the resident inspectors routinely.</w:t>
      </w:r>
      <w:r>
        <w:rPr>
          <w:sz w:val="22"/>
          <w:szCs w:val="22"/>
        </w:rPr>
        <w:br/>
      </w:r>
    </w:p>
    <w:p w:rsidR="00943A5E" w:rsidRDefault="00943A5E" w:rsidP="008E4E6D">
      <w:pPr>
        <w:pStyle w:val="Default"/>
        <w:numPr>
          <w:ilvl w:val="0"/>
          <w:numId w:val="6"/>
        </w:numPr>
        <w:rPr>
          <w:sz w:val="22"/>
          <w:szCs w:val="22"/>
        </w:rPr>
      </w:pPr>
      <w:r>
        <w:rPr>
          <w:sz w:val="22"/>
          <w:szCs w:val="22"/>
        </w:rPr>
        <w:t>Consideration should be given to other baseline team inspections performed on a biennial and triennial basis for performance/scope increase or decrease as mentioned in the above CDBI and PI&amp;R discussions.</w:t>
      </w:r>
    </w:p>
    <w:p w:rsidR="002933B6" w:rsidRPr="006A7BD7" w:rsidRDefault="002933B6" w:rsidP="002933B6">
      <w:pPr>
        <w:pStyle w:val="Default"/>
        <w:rPr>
          <w:sz w:val="22"/>
          <w:szCs w:val="22"/>
        </w:rPr>
      </w:pPr>
    </w:p>
    <w:p w:rsidR="00943A5E" w:rsidRDefault="00943A5E" w:rsidP="00943A5E">
      <w:pPr>
        <w:pStyle w:val="Default"/>
        <w:rPr>
          <w:sz w:val="22"/>
          <w:szCs w:val="22"/>
        </w:rPr>
      </w:pPr>
    </w:p>
    <w:p w:rsidR="00943A5E" w:rsidRPr="00943A5E" w:rsidRDefault="00943A5E" w:rsidP="00943A5E">
      <w:pPr>
        <w:pStyle w:val="Default"/>
        <w:rPr>
          <w:sz w:val="22"/>
          <w:szCs w:val="22"/>
        </w:rPr>
        <w:sectPr w:rsidR="00943A5E" w:rsidRPr="00943A5E" w:rsidSect="005B48FF">
          <w:footerReference w:type="default" r:id="rId13"/>
          <w:pgSz w:w="12240" w:h="15840"/>
          <w:pgMar w:top="1440" w:right="1440" w:bottom="1440" w:left="1440" w:header="1440" w:footer="1440" w:gutter="0"/>
          <w:cols w:space="720"/>
          <w:docGrid w:linePitch="360"/>
        </w:sectPr>
      </w:pPr>
    </w:p>
    <w:tbl>
      <w:tblPr>
        <w:tblW w:w="9000" w:type="dxa"/>
        <w:tblInd w:w="108" w:type="dxa"/>
        <w:tblLook w:val="04A0" w:firstRow="1" w:lastRow="0" w:firstColumn="1" w:lastColumn="0" w:noHBand="0" w:noVBand="1"/>
      </w:tblPr>
      <w:tblGrid>
        <w:gridCol w:w="1284"/>
        <w:gridCol w:w="1710"/>
        <w:gridCol w:w="2070"/>
        <w:gridCol w:w="1961"/>
        <w:gridCol w:w="1975"/>
      </w:tblGrid>
      <w:tr w:rsidR="00EF7A8F" w:rsidRPr="00244EC7" w:rsidTr="006A3AB0">
        <w:trPr>
          <w:trHeight w:val="285"/>
          <w:tblHeader/>
        </w:trPr>
        <w:tc>
          <w:tcPr>
            <w:tcW w:w="128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lastRenderedPageBreak/>
              <w:t xml:space="preserve">IP Number </w:t>
            </w:r>
          </w:p>
        </w:tc>
        <w:tc>
          <w:tcPr>
            <w:tcW w:w="1710" w:type="dxa"/>
            <w:tcBorders>
              <w:top w:val="single" w:sz="4" w:space="0" w:color="auto"/>
              <w:left w:val="nil"/>
              <w:bottom w:val="single" w:sz="4" w:space="0" w:color="auto"/>
              <w:right w:val="single" w:sz="4" w:space="0" w:color="auto"/>
            </w:tcBorders>
            <w:shd w:val="clear" w:color="000000" w:fill="EEECE1"/>
            <w:noWrap/>
            <w:vAlign w:val="bottom"/>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 xml:space="preserve">Title/Section </w:t>
            </w:r>
          </w:p>
        </w:tc>
        <w:tc>
          <w:tcPr>
            <w:tcW w:w="2070" w:type="dxa"/>
            <w:tcBorders>
              <w:top w:val="single" w:sz="4" w:space="0" w:color="auto"/>
              <w:left w:val="nil"/>
              <w:bottom w:val="single" w:sz="4" w:space="0" w:color="auto"/>
              <w:right w:val="single" w:sz="4" w:space="0" w:color="auto"/>
            </w:tcBorders>
            <w:shd w:val="clear" w:color="000000" w:fill="EEECE1"/>
            <w:noWrap/>
            <w:vAlign w:val="bottom"/>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Last year</w:t>
            </w:r>
          </w:p>
        </w:tc>
        <w:tc>
          <w:tcPr>
            <w:tcW w:w="1961" w:type="dxa"/>
            <w:tcBorders>
              <w:top w:val="single" w:sz="4" w:space="0" w:color="auto"/>
              <w:left w:val="nil"/>
              <w:bottom w:val="single" w:sz="4" w:space="0" w:color="auto"/>
              <w:right w:val="single" w:sz="4" w:space="0" w:color="auto"/>
            </w:tcBorders>
            <w:shd w:val="clear" w:color="000000" w:fill="EEECE1"/>
            <w:vAlign w:val="bottom"/>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 xml:space="preserve">Total Inspection Hours </w:t>
            </w:r>
          </w:p>
        </w:tc>
        <w:tc>
          <w:tcPr>
            <w:tcW w:w="1975" w:type="dxa"/>
            <w:tcBorders>
              <w:top w:val="single" w:sz="4" w:space="0" w:color="auto"/>
              <w:left w:val="nil"/>
              <w:bottom w:val="single" w:sz="4" w:space="0" w:color="auto"/>
              <w:right w:val="single" w:sz="4" w:space="0" w:color="auto"/>
            </w:tcBorders>
            <w:shd w:val="clear" w:color="000000" w:fill="EEECE1"/>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Decommissioning Inspection Procedure as Applicable</w:t>
            </w:r>
          </w:p>
        </w:tc>
      </w:tr>
      <w:tr w:rsidR="00EF7A8F"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71114.01-.04</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 xml:space="preserve">Exercise </w:t>
            </w:r>
            <w:proofErr w:type="spellStart"/>
            <w:r w:rsidRPr="00244EC7">
              <w:rPr>
                <w:rFonts w:eastAsia="Times New Roman"/>
                <w:color w:val="000000"/>
                <w:sz w:val="18"/>
                <w:szCs w:val="18"/>
              </w:rPr>
              <w:t>Eval</w:t>
            </w:r>
            <w:proofErr w:type="spellEnd"/>
          </w:p>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Emergency Action Level (EAL)  Emergency Preparedness (EP) changes</w:t>
            </w:r>
          </w:p>
        </w:tc>
        <w:tc>
          <w:tcPr>
            <w:tcW w:w="2070" w:type="dxa"/>
            <w:tcBorders>
              <w:top w:val="nil"/>
              <w:left w:val="nil"/>
              <w:bottom w:val="single" w:sz="4" w:space="0" w:color="auto"/>
              <w:right w:val="single" w:sz="4" w:space="0" w:color="auto"/>
            </w:tcBorders>
            <w:shd w:val="clear" w:color="auto" w:fill="auto"/>
            <w:noWrap/>
            <w:hideMark/>
          </w:tcPr>
          <w:p w:rsidR="00EF7A8F" w:rsidRPr="00244EC7" w:rsidRDefault="009E7BC4" w:rsidP="006A3AB0">
            <w:pPr>
              <w:spacing w:line="240" w:lineRule="auto"/>
              <w:rPr>
                <w:rFonts w:eastAsia="Times New Roman"/>
                <w:color w:val="000000"/>
                <w:sz w:val="18"/>
                <w:szCs w:val="18"/>
              </w:rPr>
            </w:pPr>
            <w:r w:rsidRPr="00244EC7">
              <w:rPr>
                <w:rFonts w:eastAsia="Times New Roman"/>
                <w:color w:val="000000"/>
                <w:sz w:val="18"/>
                <w:szCs w:val="18"/>
              </w:rPr>
              <w:t>Continue as scheduled until certification of permanent removal of fuel</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IAW IP</w:t>
            </w:r>
          </w:p>
          <w:p w:rsidR="00EF7A8F" w:rsidRPr="00244EC7" w:rsidRDefault="00EF7A8F" w:rsidP="006A3AB0">
            <w:pPr>
              <w:spacing w:line="240" w:lineRule="auto"/>
              <w:rPr>
                <w:rFonts w:eastAsia="Times New Roman"/>
                <w:color w:val="000000"/>
                <w:sz w:val="18"/>
                <w:szCs w:val="18"/>
              </w:rPr>
            </w:pPr>
          </w:p>
        </w:tc>
        <w:tc>
          <w:tcPr>
            <w:tcW w:w="1975" w:type="dxa"/>
            <w:tcBorders>
              <w:top w:val="nil"/>
              <w:left w:val="nil"/>
              <w:bottom w:val="single" w:sz="4" w:space="0" w:color="auto"/>
              <w:right w:val="single" w:sz="4" w:space="0" w:color="auto"/>
            </w:tcBorders>
          </w:tcPr>
          <w:p w:rsidR="00EF7A8F" w:rsidRPr="00244EC7" w:rsidRDefault="002E4D24" w:rsidP="006A3AB0">
            <w:pPr>
              <w:spacing w:line="240" w:lineRule="auto"/>
              <w:rPr>
                <w:rFonts w:eastAsia="Times New Roman"/>
                <w:color w:val="000000"/>
                <w:sz w:val="18"/>
                <w:szCs w:val="18"/>
              </w:rPr>
            </w:pPr>
            <w:r w:rsidRPr="00244EC7">
              <w:rPr>
                <w:rFonts w:eastAsia="Times New Roman"/>
                <w:color w:val="000000"/>
                <w:sz w:val="18"/>
                <w:szCs w:val="18"/>
              </w:rPr>
              <w:t>IP 88XXX Emergency Preparedness</w:t>
            </w:r>
          </w:p>
        </w:tc>
      </w:tr>
      <w:tr w:rsidR="00EF7A8F"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71130.0X</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Security Baseline Inspection</w:t>
            </w:r>
          </w:p>
        </w:tc>
        <w:tc>
          <w:tcPr>
            <w:tcW w:w="2070" w:type="dxa"/>
            <w:tcBorders>
              <w:top w:val="nil"/>
              <w:left w:val="nil"/>
              <w:bottom w:val="single" w:sz="4" w:space="0" w:color="auto"/>
              <w:right w:val="single" w:sz="4" w:space="0" w:color="auto"/>
            </w:tcBorders>
            <w:shd w:val="clear" w:color="auto" w:fill="auto"/>
            <w:noWrap/>
          </w:tcPr>
          <w:p w:rsidR="00EF7A8F" w:rsidRPr="00244EC7" w:rsidRDefault="00F52303" w:rsidP="006A3AB0">
            <w:pPr>
              <w:spacing w:line="240" w:lineRule="auto"/>
              <w:rPr>
                <w:rFonts w:eastAsia="Times New Roman"/>
                <w:color w:val="000000"/>
                <w:sz w:val="18"/>
                <w:szCs w:val="18"/>
              </w:rPr>
            </w:pPr>
            <w:r w:rsidRPr="00244EC7">
              <w:rPr>
                <w:rFonts w:eastAsia="Times New Roman"/>
                <w:color w:val="000000"/>
                <w:sz w:val="18"/>
                <w:szCs w:val="18"/>
              </w:rPr>
              <w:t>Continue as scheduled until certification of permanent removal of fuel</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IAW IP</w:t>
            </w:r>
          </w:p>
          <w:p w:rsidR="00EF7A8F" w:rsidRPr="00244EC7" w:rsidRDefault="00EF7A8F" w:rsidP="006A3AB0">
            <w:pPr>
              <w:spacing w:line="240" w:lineRule="auto"/>
              <w:rPr>
                <w:rFonts w:eastAsia="Times New Roman"/>
                <w:color w:val="000000"/>
                <w:sz w:val="18"/>
                <w:szCs w:val="18"/>
              </w:rPr>
            </w:pPr>
          </w:p>
        </w:tc>
        <w:tc>
          <w:tcPr>
            <w:tcW w:w="1975"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IP 81</w:t>
            </w:r>
            <w:r w:rsidR="00F52303" w:rsidRPr="00244EC7">
              <w:rPr>
                <w:rFonts w:eastAsia="Times New Roman"/>
                <w:color w:val="000000"/>
                <w:sz w:val="18"/>
                <w:szCs w:val="18"/>
              </w:rPr>
              <w:t>200, Security</w:t>
            </w:r>
            <w:r w:rsidRPr="00244EC7">
              <w:rPr>
                <w:rFonts w:eastAsia="Times New Roman"/>
                <w:color w:val="000000"/>
                <w:sz w:val="18"/>
                <w:szCs w:val="18"/>
              </w:rPr>
              <w:t xml:space="preserve"> </w:t>
            </w:r>
          </w:p>
        </w:tc>
      </w:tr>
      <w:tr w:rsidR="00EF7A8F"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71124.0X</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Radiation Protection (RP) Inspections</w:t>
            </w:r>
          </w:p>
        </w:tc>
        <w:tc>
          <w:tcPr>
            <w:tcW w:w="2070" w:type="dxa"/>
            <w:tcBorders>
              <w:top w:val="nil"/>
              <w:left w:val="nil"/>
              <w:bottom w:val="single" w:sz="4" w:space="0" w:color="auto"/>
              <w:right w:val="single" w:sz="4" w:space="0" w:color="auto"/>
            </w:tcBorders>
            <w:shd w:val="clear" w:color="auto" w:fill="auto"/>
            <w:noWrap/>
          </w:tcPr>
          <w:p w:rsidR="00EF7A8F" w:rsidRPr="00244EC7" w:rsidRDefault="009E7BC4" w:rsidP="006A3AB0">
            <w:pPr>
              <w:spacing w:line="240" w:lineRule="auto"/>
              <w:rPr>
                <w:rFonts w:eastAsia="Times New Roman"/>
                <w:color w:val="000000"/>
                <w:sz w:val="18"/>
                <w:szCs w:val="18"/>
              </w:rPr>
            </w:pPr>
            <w:r w:rsidRPr="00244EC7">
              <w:rPr>
                <w:rFonts w:eastAsia="Times New Roman"/>
                <w:color w:val="000000"/>
                <w:sz w:val="18"/>
                <w:szCs w:val="18"/>
              </w:rPr>
              <w:t xml:space="preserve">Continue as scheduled until certification of permanent removal of fuel </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IAW IP</w:t>
            </w:r>
          </w:p>
          <w:p w:rsidR="00EF7A8F" w:rsidRPr="00244EC7" w:rsidRDefault="00EF7A8F" w:rsidP="006A3AB0">
            <w:pPr>
              <w:spacing w:line="240" w:lineRule="auto"/>
              <w:rPr>
                <w:rFonts w:eastAsia="Times New Roman"/>
                <w:color w:val="000000"/>
                <w:sz w:val="18"/>
                <w:szCs w:val="18"/>
              </w:rPr>
            </w:pPr>
          </w:p>
        </w:tc>
        <w:tc>
          <w:tcPr>
            <w:tcW w:w="1975"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color w:val="000000"/>
                <w:sz w:val="18"/>
                <w:szCs w:val="18"/>
              </w:rPr>
            </w:pPr>
            <w:r w:rsidRPr="00244EC7">
              <w:rPr>
                <w:rFonts w:eastAsia="Times New Roman"/>
                <w:color w:val="000000"/>
                <w:sz w:val="18"/>
                <w:szCs w:val="18"/>
              </w:rPr>
              <w:t>IPs 83750, 84750, 86750 may be used as additional guidance during transition</w:t>
            </w:r>
          </w:p>
        </w:tc>
      </w:tr>
      <w:tr w:rsidR="00F4458A"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71152B</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Problem Identification and Resolution, Biennial Inspection</w:t>
            </w:r>
          </w:p>
        </w:tc>
        <w:tc>
          <w:tcPr>
            <w:tcW w:w="2070" w:type="dxa"/>
            <w:tcBorders>
              <w:top w:val="nil"/>
              <w:left w:val="nil"/>
              <w:bottom w:val="single" w:sz="4" w:space="0" w:color="auto"/>
              <w:right w:val="single" w:sz="4" w:space="0" w:color="auto"/>
            </w:tcBorders>
            <w:shd w:val="clear" w:color="auto" w:fill="auto"/>
            <w:noWrap/>
          </w:tcPr>
          <w:p w:rsidR="00EF7A8F" w:rsidRPr="00244EC7" w:rsidRDefault="00C204DB" w:rsidP="006A3AB0">
            <w:pPr>
              <w:spacing w:line="240" w:lineRule="auto"/>
              <w:rPr>
                <w:rFonts w:eastAsia="Times New Roman"/>
                <w:sz w:val="18"/>
                <w:szCs w:val="18"/>
              </w:rPr>
            </w:pPr>
            <w:r w:rsidRPr="00244EC7">
              <w:rPr>
                <w:rFonts w:eastAsia="Times New Roman"/>
                <w:sz w:val="18"/>
                <w:szCs w:val="18"/>
              </w:rPr>
              <w:t>Recommend Reduced Scope</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 xml:space="preserve">212-228 hours </w:t>
            </w:r>
          </w:p>
        </w:tc>
        <w:tc>
          <w:tcPr>
            <w:tcW w:w="1975"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p>
        </w:tc>
      </w:tr>
      <w:tr w:rsidR="00F4458A"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711111.17T</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Evaluations of Changes, Tests, or Experiments and Permanent Plant Modifications</w:t>
            </w:r>
          </w:p>
        </w:tc>
        <w:tc>
          <w:tcPr>
            <w:tcW w:w="2070" w:type="dxa"/>
            <w:tcBorders>
              <w:top w:val="nil"/>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 xml:space="preserve">Recommend increased sample size due to increase number of temporary modifications </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172-212 hours (Maximize)</w:t>
            </w:r>
          </w:p>
        </w:tc>
        <w:tc>
          <w:tcPr>
            <w:tcW w:w="1975" w:type="dxa"/>
            <w:tcBorders>
              <w:top w:val="nil"/>
              <w:left w:val="nil"/>
              <w:bottom w:val="single" w:sz="4" w:space="0" w:color="auto"/>
              <w:right w:val="single" w:sz="4" w:space="0" w:color="auto"/>
            </w:tcBorders>
          </w:tcPr>
          <w:p w:rsidR="00EF7A8F" w:rsidRPr="00244EC7" w:rsidRDefault="002E4D24" w:rsidP="006A3AB0">
            <w:pPr>
              <w:spacing w:line="240" w:lineRule="auto"/>
              <w:rPr>
                <w:rFonts w:eastAsia="Times New Roman"/>
                <w:sz w:val="18"/>
                <w:szCs w:val="18"/>
              </w:rPr>
            </w:pPr>
            <w:r w:rsidRPr="00244EC7">
              <w:rPr>
                <w:rFonts w:eastAsia="Times New Roman"/>
                <w:sz w:val="18"/>
                <w:szCs w:val="18"/>
              </w:rPr>
              <w:t>IP 37001 (Facility Modifications), IP 37700 (Design Changes and Modifications)</w:t>
            </w:r>
          </w:p>
        </w:tc>
      </w:tr>
      <w:tr w:rsidR="00F4458A" w:rsidRPr="00244EC7" w:rsidTr="006A3AB0">
        <w:trPr>
          <w:trHeight w:val="285"/>
        </w:trPr>
        <w:tc>
          <w:tcPr>
            <w:tcW w:w="1284" w:type="dxa"/>
            <w:tcBorders>
              <w:top w:val="nil"/>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71111.21</w:t>
            </w:r>
          </w:p>
        </w:tc>
        <w:tc>
          <w:tcPr>
            <w:tcW w:w="1710" w:type="dxa"/>
            <w:tcBorders>
              <w:top w:val="nil"/>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Component Design Basis Inspection</w:t>
            </w:r>
          </w:p>
        </w:tc>
        <w:tc>
          <w:tcPr>
            <w:tcW w:w="2070" w:type="dxa"/>
            <w:tcBorders>
              <w:top w:val="nil"/>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Not Recommended or combine with Plant Modification</w:t>
            </w:r>
          </w:p>
        </w:tc>
        <w:tc>
          <w:tcPr>
            <w:tcW w:w="1961"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408 hours (+/- 15%)</w:t>
            </w:r>
          </w:p>
        </w:tc>
        <w:tc>
          <w:tcPr>
            <w:tcW w:w="1975" w:type="dxa"/>
            <w:tcBorders>
              <w:top w:val="nil"/>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p>
        </w:tc>
      </w:tr>
      <w:tr w:rsidR="00F4458A" w:rsidRPr="00244EC7" w:rsidTr="006A3AB0">
        <w:trPr>
          <w:trHeight w:val="285"/>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2E4D24" w:rsidRPr="00244EC7" w:rsidRDefault="002E4D24" w:rsidP="006A3AB0">
            <w:pPr>
              <w:spacing w:line="240" w:lineRule="auto"/>
              <w:rPr>
                <w:rFonts w:eastAsia="Times New Roman"/>
                <w:sz w:val="18"/>
                <w:szCs w:val="18"/>
              </w:rPr>
            </w:pPr>
            <w:r w:rsidRPr="00244EC7">
              <w:rPr>
                <w:rFonts w:eastAsia="Times New Roman"/>
                <w:sz w:val="18"/>
                <w:szCs w:val="18"/>
              </w:rPr>
              <w:t>71111.05T</w:t>
            </w:r>
          </w:p>
        </w:tc>
        <w:tc>
          <w:tcPr>
            <w:tcW w:w="1710" w:type="dxa"/>
            <w:tcBorders>
              <w:top w:val="single" w:sz="4" w:space="0" w:color="auto"/>
              <w:left w:val="nil"/>
              <w:bottom w:val="single" w:sz="4" w:space="0" w:color="auto"/>
              <w:right w:val="single" w:sz="4" w:space="0" w:color="auto"/>
            </w:tcBorders>
            <w:shd w:val="clear" w:color="auto" w:fill="auto"/>
            <w:noWrap/>
          </w:tcPr>
          <w:p w:rsidR="002E4D24" w:rsidRPr="00244EC7" w:rsidRDefault="002E4D24" w:rsidP="006A3AB0">
            <w:pPr>
              <w:spacing w:line="240" w:lineRule="auto"/>
              <w:rPr>
                <w:rFonts w:eastAsia="Times New Roman"/>
                <w:sz w:val="18"/>
                <w:szCs w:val="18"/>
              </w:rPr>
            </w:pPr>
            <w:r w:rsidRPr="00244EC7">
              <w:rPr>
                <w:rFonts w:eastAsia="Times New Roman"/>
                <w:sz w:val="18"/>
                <w:szCs w:val="18"/>
              </w:rPr>
              <w:t>Triennial Fire Protection Inspection</w:t>
            </w:r>
          </w:p>
        </w:tc>
        <w:tc>
          <w:tcPr>
            <w:tcW w:w="2070" w:type="dxa"/>
            <w:tcBorders>
              <w:top w:val="single" w:sz="4" w:space="0" w:color="auto"/>
              <w:left w:val="nil"/>
              <w:bottom w:val="single" w:sz="4" w:space="0" w:color="auto"/>
              <w:right w:val="single" w:sz="4" w:space="0" w:color="auto"/>
            </w:tcBorders>
            <w:shd w:val="clear" w:color="auto" w:fill="auto"/>
            <w:noWrap/>
          </w:tcPr>
          <w:p w:rsidR="002E4D24" w:rsidRPr="00244EC7" w:rsidRDefault="002E4D24" w:rsidP="006A3AB0">
            <w:pPr>
              <w:spacing w:line="240" w:lineRule="auto"/>
              <w:rPr>
                <w:rFonts w:eastAsia="Times New Roman"/>
                <w:sz w:val="18"/>
                <w:szCs w:val="18"/>
              </w:rPr>
            </w:pPr>
            <w:r w:rsidRPr="00244EC7">
              <w:rPr>
                <w:rFonts w:eastAsia="Times New Roman"/>
                <w:sz w:val="18"/>
                <w:szCs w:val="18"/>
              </w:rPr>
              <w:t>Adjust schedule and scope based on licensee’s schedule of decommissioning activities</w:t>
            </w:r>
          </w:p>
        </w:tc>
        <w:tc>
          <w:tcPr>
            <w:tcW w:w="1961" w:type="dxa"/>
            <w:tcBorders>
              <w:top w:val="single" w:sz="4" w:space="0" w:color="auto"/>
              <w:left w:val="nil"/>
              <w:bottom w:val="single" w:sz="4" w:space="0" w:color="auto"/>
              <w:right w:val="single" w:sz="4" w:space="0" w:color="auto"/>
            </w:tcBorders>
          </w:tcPr>
          <w:p w:rsidR="002E4D24" w:rsidRPr="00244EC7" w:rsidRDefault="002E4D24" w:rsidP="006A3AB0">
            <w:pPr>
              <w:spacing w:line="240" w:lineRule="auto"/>
              <w:rPr>
                <w:rFonts w:eastAsia="Times New Roman"/>
                <w:sz w:val="18"/>
                <w:szCs w:val="18"/>
              </w:rPr>
            </w:pPr>
            <w:r w:rsidRPr="00244EC7">
              <w:rPr>
                <w:rFonts w:eastAsia="Times New Roman"/>
                <w:sz w:val="18"/>
                <w:szCs w:val="18"/>
              </w:rPr>
              <w:t>IAW IP</w:t>
            </w:r>
          </w:p>
        </w:tc>
        <w:tc>
          <w:tcPr>
            <w:tcW w:w="1975" w:type="dxa"/>
            <w:tcBorders>
              <w:top w:val="single" w:sz="4" w:space="0" w:color="auto"/>
              <w:left w:val="nil"/>
              <w:bottom w:val="single" w:sz="4" w:space="0" w:color="auto"/>
              <w:right w:val="single" w:sz="4" w:space="0" w:color="auto"/>
            </w:tcBorders>
          </w:tcPr>
          <w:p w:rsidR="002E4D24" w:rsidRPr="00244EC7" w:rsidRDefault="002E4D24" w:rsidP="006A3AB0">
            <w:pPr>
              <w:spacing w:line="240" w:lineRule="auto"/>
              <w:rPr>
                <w:rFonts w:eastAsia="Times New Roman"/>
                <w:sz w:val="18"/>
                <w:szCs w:val="18"/>
              </w:rPr>
            </w:pPr>
            <w:r w:rsidRPr="00244EC7">
              <w:rPr>
                <w:rFonts w:eastAsia="Times New Roman"/>
                <w:sz w:val="18"/>
                <w:szCs w:val="18"/>
              </w:rPr>
              <w:t>IP 64704 (Fire Protection Program)</w:t>
            </w:r>
          </w:p>
        </w:tc>
      </w:tr>
      <w:tr w:rsidR="00F4458A" w:rsidRPr="00244EC7" w:rsidTr="006A3AB0">
        <w:trPr>
          <w:trHeight w:val="285"/>
        </w:trPr>
        <w:tc>
          <w:tcPr>
            <w:tcW w:w="1284" w:type="dxa"/>
            <w:tcBorders>
              <w:top w:val="single" w:sz="4" w:space="0" w:color="auto"/>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71111.08</w:t>
            </w:r>
          </w:p>
        </w:tc>
        <w:tc>
          <w:tcPr>
            <w:tcW w:w="1710" w:type="dxa"/>
            <w:tcBorders>
              <w:top w:val="single" w:sz="4" w:space="0" w:color="auto"/>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In-Service Inspection</w:t>
            </w:r>
          </w:p>
        </w:tc>
        <w:tc>
          <w:tcPr>
            <w:tcW w:w="2070" w:type="dxa"/>
            <w:tcBorders>
              <w:top w:val="single" w:sz="4" w:space="0" w:color="auto"/>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Not Recommended</w:t>
            </w:r>
          </w:p>
        </w:tc>
        <w:tc>
          <w:tcPr>
            <w:tcW w:w="1961"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30-42 for</w:t>
            </w:r>
            <w:r w:rsidR="00DC3CDA" w:rsidRPr="00244EC7">
              <w:rPr>
                <w:rFonts w:eastAsia="Times New Roman"/>
                <w:sz w:val="18"/>
                <w:szCs w:val="18"/>
              </w:rPr>
              <w:t xml:space="preserve"> Boiling Water Reactor (</w:t>
            </w:r>
            <w:r w:rsidRPr="00244EC7">
              <w:rPr>
                <w:rFonts w:eastAsia="Times New Roman"/>
                <w:sz w:val="18"/>
                <w:szCs w:val="18"/>
              </w:rPr>
              <w:t>BWR</w:t>
            </w:r>
            <w:r w:rsidR="00DC3CDA" w:rsidRPr="00244EC7">
              <w:rPr>
                <w:rFonts w:eastAsia="Times New Roman"/>
                <w:sz w:val="18"/>
                <w:szCs w:val="18"/>
              </w:rPr>
              <w:t>)</w:t>
            </w:r>
          </w:p>
          <w:p w:rsidR="00EF7A8F" w:rsidRPr="00244EC7" w:rsidRDefault="00EF7A8F" w:rsidP="006A3AB0">
            <w:pPr>
              <w:spacing w:line="240" w:lineRule="auto"/>
              <w:rPr>
                <w:rFonts w:eastAsia="Times New Roman"/>
                <w:sz w:val="18"/>
                <w:szCs w:val="18"/>
              </w:rPr>
            </w:pPr>
            <w:r w:rsidRPr="00244EC7">
              <w:rPr>
                <w:rFonts w:eastAsia="Times New Roman"/>
                <w:sz w:val="18"/>
                <w:szCs w:val="18"/>
              </w:rPr>
              <w:t xml:space="preserve">80-100 for </w:t>
            </w:r>
            <w:r w:rsidR="00DC3CDA" w:rsidRPr="00244EC7">
              <w:rPr>
                <w:rFonts w:eastAsia="Times New Roman"/>
                <w:sz w:val="18"/>
                <w:szCs w:val="18"/>
              </w:rPr>
              <w:t>Pressurized Water Reactor (</w:t>
            </w:r>
            <w:r w:rsidRPr="00244EC7">
              <w:rPr>
                <w:rFonts w:eastAsia="Times New Roman"/>
                <w:sz w:val="18"/>
                <w:szCs w:val="18"/>
              </w:rPr>
              <w:t>PWR</w:t>
            </w:r>
            <w:r w:rsidR="00DC3CDA" w:rsidRPr="00244EC7">
              <w:rPr>
                <w:rFonts w:eastAsia="Times New Roman"/>
                <w:sz w:val="18"/>
                <w:szCs w:val="18"/>
              </w:rPr>
              <w:t>)</w:t>
            </w:r>
          </w:p>
        </w:tc>
        <w:tc>
          <w:tcPr>
            <w:tcW w:w="1975"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p>
        </w:tc>
      </w:tr>
      <w:tr w:rsidR="00F4458A" w:rsidRPr="00244EC7" w:rsidTr="006A3AB0">
        <w:trPr>
          <w:trHeight w:val="285"/>
        </w:trPr>
        <w:tc>
          <w:tcPr>
            <w:tcW w:w="1284" w:type="dxa"/>
            <w:tcBorders>
              <w:top w:val="single" w:sz="4" w:space="0" w:color="auto"/>
              <w:left w:val="single" w:sz="4" w:space="0" w:color="auto"/>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71111.11</w:t>
            </w:r>
          </w:p>
        </w:tc>
        <w:tc>
          <w:tcPr>
            <w:tcW w:w="1710" w:type="dxa"/>
            <w:tcBorders>
              <w:top w:val="single" w:sz="4" w:space="0" w:color="auto"/>
              <w:left w:val="nil"/>
              <w:bottom w:val="single" w:sz="4" w:space="0" w:color="auto"/>
              <w:right w:val="single" w:sz="4" w:space="0" w:color="auto"/>
            </w:tcBorders>
            <w:shd w:val="clear" w:color="auto" w:fill="auto"/>
            <w:noWrap/>
            <w:hideMark/>
          </w:tcPr>
          <w:p w:rsidR="00EF7A8F" w:rsidRPr="00244EC7" w:rsidRDefault="00EF7A8F" w:rsidP="006A3AB0">
            <w:pPr>
              <w:spacing w:line="240" w:lineRule="auto"/>
              <w:rPr>
                <w:rFonts w:eastAsia="Times New Roman"/>
                <w:sz w:val="18"/>
                <w:szCs w:val="18"/>
              </w:rPr>
            </w:pPr>
            <w:r w:rsidRPr="00244EC7">
              <w:rPr>
                <w:rFonts w:eastAsia="Times New Roman"/>
                <w:sz w:val="18"/>
                <w:szCs w:val="18"/>
              </w:rPr>
              <w:t>Operations Training</w:t>
            </w:r>
          </w:p>
        </w:tc>
        <w:tc>
          <w:tcPr>
            <w:tcW w:w="2070" w:type="dxa"/>
            <w:tcBorders>
              <w:top w:val="single" w:sz="4" w:space="0" w:color="auto"/>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Recommend in the 1</w:t>
            </w:r>
            <w:r w:rsidRPr="00244EC7">
              <w:rPr>
                <w:rFonts w:eastAsia="Times New Roman"/>
                <w:sz w:val="18"/>
                <w:szCs w:val="18"/>
                <w:vertAlign w:val="superscript"/>
              </w:rPr>
              <w:t>st</w:t>
            </w:r>
            <w:r w:rsidRPr="00244EC7">
              <w:rPr>
                <w:rFonts w:eastAsia="Times New Roman"/>
                <w:sz w:val="18"/>
                <w:szCs w:val="18"/>
              </w:rPr>
              <w:t xml:space="preserve"> two </w:t>
            </w:r>
            <w:r w:rsidR="00DC3CDA" w:rsidRPr="00244EC7">
              <w:rPr>
                <w:rFonts w:eastAsia="Times New Roman"/>
                <w:sz w:val="18"/>
                <w:szCs w:val="18"/>
              </w:rPr>
              <w:t>Quarters (</w:t>
            </w:r>
            <w:r w:rsidRPr="00244EC7">
              <w:rPr>
                <w:rFonts w:eastAsia="Times New Roman"/>
                <w:sz w:val="18"/>
                <w:szCs w:val="18"/>
              </w:rPr>
              <w:t>QTR</w:t>
            </w:r>
            <w:r w:rsidR="00DC3CDA" w:rsidRPr="00244EC7">
              <w:rPr>
                <w:rFonts w:eastAsia="Times New Roman"/>
                <w:sz w:val="18"/>
                <w:szCs w:val="18"/>
              </w:rPr>
              <w:t>)</w:t>
            </w:r>
            <w:r w:rsidRPr="00244EC7">
              <w:rPr>
                <w:rFonts w:eastAsia="Times New Roman"/>
                <w:sz w:val="18"/>
                <w:szCs w:val="18"/>
              </w:rPr>
              <w:t>s to ensure adequate staffing and training</w:t>
            </w:r>
          </w:p>
        </w:tc>
        <w:tc>
          <w:tcPr>
            <w:tcW w:w="1961"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96 hours</w:t>
            </w:r>
          </w:p>
        </w:tc>
        <w:tc>
          <w:tcPr>
            <w:tcW w:w="1975"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p>
        </w:tc>
      </w:tr>
      <w:tr w:rsidR="00F4458A" w:rsidRPr="00244EC7" w:rsidTr="006A3AB0">
        <w:trPr>
          <w:trHeight w:val="285"/>
        </w:trPr>
        <w:tc>
          <w:tcPr>
            <w:tcW w:w="1284" w:type="dxa"/>
            <w:tcBorders>
              <w:top w:val="single" w:sz="4" w:space="0" w:color="auto"/>
              <w:left w:val="single" w:sz="4" w:space="0" w:color="auto"/>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71130.11</w:t>
            </w:r>
          </w:p>
        </w:tc>
        <w:tc>
          <w:tcPr>
            <w:tcW w:w="1710" w:type="dxa"/>
            <w:tcBorders>
              <w:top w:val="single" w:sz="4" w:space="0" w:color="auto"/>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Material Control and Accountability Inspection</w:t>
            </w:r>
          </w:p>
        </w:tc>
        <w:tc>
          <w:tcPr>
            <w:tcW w:w="2070" w:type="dxa"/>
            <w:tcBorders>
              <w:top w:val="single" w:sz="4" w:space="0" w:color="auto"/>
              <w:left w:val="nil"/>
              <w:bottom w:val="single" w:sz="4" w:space="0" w:color="auto"/>
              <w:right w:val="single" w:sz="4" w:space="0" w:color="auto"/>
            </w:tcBorders>
            <w:shd w:val="clear" w:color="auto" w:fill="auto"/>
            <w:noWrap/>
          </w:tcPr>
          <w:p w:rsidR="00EF7A8F" w:rsidRPr="00244EC7" w:rsidRDefault="00EF7A8F" w:rsidP="006A3AB0">
            <w:pPr>
              <w:spacing w:line="240" w:lineRule="auto"/>
              <w:rPr>
                <w:rFonts w:eastAsia="Times New Roman"/>
                <w:sz w:val="18"/>
                <w:szCs w:val="18"/>
              </w:rPr>
            </w:pPr>
            <w:r w:rsidRPr="00244EC7">
              <w:rPr>
                <w:rFonts w:eastAsia="Times New Roman"/>
                <w:sz w:val="18"/>
                <w:szCs w:val="18"/>
              </w:rPr>
              <w:t>If it is in the last year of the transition cycle use the guidance of IP 85102 from IMC 2561</w:t>
            </w:r>
          </w:p>
        </w:tc>
        <w:tc>
          <w:tcPr>
            <w:tcW w:w="1961"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IAW IP</w:t>
            </w:r>
          </w:p>
        </w:tc>
        <w:tc>
          <w:tcPr>
            <w:tcW w:w="1975" w:type="dxa"/>
            <w:tcBorders>
              <w:top w:val="single" w:sz="4" w:space="0" w:color="auto"/>
              <w:left w:val="nil"/>
              <w:bottom w:val="single" w:sz="4" w:space="0" w:color="auto"/>
              <w:right w:val="single" w:sz="4" w:space="0" w:color="auto"/>
            </w:tcBorders>
          </w:tcPr>
          <w:p w:rsidR="00EF7A8F" w:rsidRPr="00244EC7" w:rsidRDefault="00EF7A8F" w:rsidP="006A3AB0">
            <w:pPr>
              <w:spacing w:line="240" w:lineRule="auto"/>
              <w:rPr>
                <w:rFonts w:eastAsia="Times New Roman"/>
                <w:sz w:val="18"/>
                <w:szCs w:val="18"/>
              </w:rPr>
            </w:pPr>
            <w:r w:rsidRPr="00244EC7">
              <w:rPr>
                <w:rFonts w:eastAsia="Times New Roman"/>
                <w:sz w:val="18"/>
                <w:szCs w:val="18"/>
              </w:rPr>
              <w:t>IP 85102 (Material Control and Accounting – Reactors) as part of IMC 2561</w:t>
            </w:r>
          </w:p>
        </w:tc>
      </w:tr>
    </w:tbl>
    <w:p w:rsidR="006B18E0" w:rsidRDefault="006B18E0" w:rsidP="00F55F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44EC7" w:rsidRDefault="00244EC7" w:rsidP="00F55F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B18E0" w:rsidRDefault="006B18E0" w:rsidP="006B18E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6B18E0" w:rsidSect="005B48FF">
          <w:footerReference w:type="default" r:id="rId14"/>
          <w:pgSz w:w="12240" w:h="15840"/>
          <w:pgMar w:top="1440" w:right="1440" w:bottom="1440" w:left="1440" w:header="1440" w:footer="1440" w:gutter="0"/>
          <w:cols w:space="720"/>
          <w:docGrid w:linePitch="360"/>
        </w:sectPr>
      </w:pPr>
      <w:r>
        <w:t>END</w:t>
      </w:r>
    </w:p>
    <w:p w:rsidR="001E34D2" w:rsidRDefault="00015AA0" w:rsidP="001E34D2">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bookmarkStart w:id="10" w:name="_Toc192323324"/>
      <w:bookmarkStart w:id="11" w:name="_Toc193523661"/>
      <w:bookmarkStart w:id="12" w:name="_Toc237151135"/>
      <w:r>
        <w:rPr>
          <w:sz w:val="22"/>
          <w:szCs w:val="22"/>
        </w:rPr>
        <w:lastRenderedPageBreak/>
        <w:t>Attachment 5</w:t>
      </w:r>
    </w:p>
    <w:p w:rsidR="001E34D2" w:rsidRDefault="001E34D2" w:rsidP="001E34D2">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p>
    <w:p w:rsidR="001E34D2" w:rsidRPr="00AA205C" w:rsidRDefault="001E34D2" w:rsidP="001E34D2">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sidRPr="00AA205C">
        <w:rPr>
          <w:sz w:val="22"/>
          <w:szCs w:val="22"/>
        </w:rPr>
        <w:t xml:space="preserve">Revision History </w:t>
      </w:r>
      <w:bookmarkEnd w:id="1"/>
      <w:bookmarkEnd w:id="2"/>
      <w:bookmarkEnd w:id="3"/>
      <w:bookmarkEnd w:id="4"/>
      <w:bookmarkEnd w:id="5"/>
      <w:bookmarkEnd w:id="6"/>
      <w:bookmarkEnd w:id="7"/>
      <w:bookmarkEnd w:id="8"/>
      <w:bookmarkEnd w:id="9"/>
      <w:bookmarkEnd w:id="10"/>
      <w:bookmarkEnd w:id="11"/>
      <w:bookmarkEnd w:id="12"/>
      <w:r w:rsidRPr="00AA205C">
        <w:rPr>
          <w:sz w:val="22"/>
          <w:szCs w:val="22"/>
        </w:rPr>
        <w:t xml:space="preserve">for </w:t>
      </w:r>
      <w:r>
        <w:rPr>
          <w:sz w:val="22"/>
          <w:szCs w:val="22"/>
        </w:rPr>
        <w:t>IMC 2515 Appendix G</w:t>
      </w:r>
    </w:p>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pPr>
    </w:p>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pP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1790"/>
        <w:gridCol w:w="5320"/>
        <w:gridCol w:w="2430"/>
        <w:gridCol w:w="2070"/>
      </w:tblGrid>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rsidRPr="00AA205C">
              <w:t>Commitment Tracking Number</w:t>
            </w:r>
          </w:p>
        </w:tc>
        <w:tc>
          <w:tcPr>
            <w:tcW w:w="1790" w:type="dxa"/>
            <w:tcBorders>
              <w:top w:val="single" w:sz="7" w:space="0" w:color="000000"/>
              <w:left w:val="single" w:sz="7" w:space="0" w:color="000000"/>
              <w:bottom w:val="single" w:sz="7" w:space="0" w:color="000000"/>
              <w:right w:val="single" w:sz="7" w:space="0" w:color="000000"/>
            </w:tcBorders>
          </w:tcPr>
          <w:p w:rsidR="001E34D2"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jc w:val="center"/>
              <w:outlineLvl w:val="1"/>
            </w:pPr>
            <w:r>
              <w:t>Accession Number</w:t>
            </w:r>
          </w:p>
          <w:p w:rsidR="001E34D2"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jc w:val="center"/>
              <w:outlineLvl w:val="1"/>
            </w:pPr>
            <w:r w:rsidRPr="00AA205C">
              <w:t>Issue Date</w:t>
            </w:r>
          </w:p>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jc w:val="center"/>
              <w:outlineLvl w:val="1"/>
            </w:pPr>
            <w:r>
              <w:t>Change Notice</w:t>
            </w: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jc w:val="center"/>
              <w:outlineLvl w:val="1"/>
            </w:pPr>
            <w:r w:rsidRPr="00AA205C">
              <w:t>Description of Change</w:t>
            </w: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 xml:space="preserve">Description  of </w:t>
            </w:r>
            <w:r w:rsidRPr="00AA205C">
              <w:t xml:space="preserve">Training </w:t>
            </w:r>
            <w:r>
              <w:t>Required and Completion Date</w:t>
            </w:r>
          </w:p>
        </w:tc>
        <w:tc>
          <w:tcPr>
            <w:tcW w:w="2070" w:type="dxa"/>
            <w:tcBorders>
              <w:top w:val="single" w:sz="7" w:space="0" w:color="000000"/>
              <w:left w:val="single" w:sz="7" w:space="0" w:color="000000"/>
              <w:bottom w:val="single" w:sz="7" w:space="0" w:color="000000"/>
              <w:right w:val="single" w:sz="7" w:space="0" w:color="000000"/>
            </w:tcBorders>
          </w:tcPr>
          <w:p w:rsidR="001E34D2"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rsidRPr="00AA205C">
              <w:t xml:space="preserve">Comment </w:t>
            </w:r>
            <w:r>
              <w:t xml:space="preserve">and  Feedback </w:t>
            </w:r>
            <w:r w:rsidRPr="00AA205C">
              <w:t>Resolution Accession Number</w:t>
            </w:r>
          </w:p>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(Pre-Decisional, Non-Public)</w:t>
            </w: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ML15183A264</w:t>
            </w:r>
          </w:p>
          <w:p w:rsidR="001E34D2" w:rsidRDefault="00244EC7"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02/01/16</w:t>
            </w:r>
          </w:p>
          <w:p w:rsidR="001E34D2" w:rsidRPr="00AA205C" w:rsidRDefault="00244EC7"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CN 16-004</w:t>
            </w: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Initial issuance.  Researched commitments for four years and found none.</w:t>
            </w:r>
            <w:r w:rsidR="00244EC7">
              <w:t xml:space="preserve">  Created to provide guidance to the regional staff for nuclear power licensees preparing to transition from an operating power reactor to a </w:t>
            </w:r>
            <w:r w:rsidR="00927997">
              <w:t>decommissioning reactor facilit</w:t>
            </w:r>
            <w:r w:rsidR="00244EC7">
              <w:t>y</w:t>
            </w: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244EC7"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r>
              <w:t>ML15188A020</w:t>
            </w: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r>
      <w:tr w:rsidR="001E34D2" w:rsidRPr="00AA205C" w:rsidTr="00244EC7">
        <w:tc>
          <w:tcPr>
            <w:tcW w:w="16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179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532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43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c>
          <w:tcPr>
            <w:tcW w:w="2070" w:type="dxa"/>
            <w:tcBorders>
              <w:top w:val="single" w:sz="7" w:space="0" w:color="000000"/>
              <w:left w:val="single" w:sz="7" w:space="0" w:color="000000"/>
              <w:bottom w:val="single" w:sz="7" w:space="0" w:color="000000"/>
              <w:right w:val="single" w:sz="7" w:space="0" w:color="000000"/>
            </w:tcBorders>
          </w:tcPr>
          <w:p w:rsidR="001E34D2" w:rsidRPr="00AA205C" w:rsidRDefault="001E34D2" w:rsidP="001E34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auto"/>
              <w:outlineLvl w:val="1"/>
            </w:pPr>
          </w:p>
        </w:tc>
      </w:tr>
    </w:tbl>
    <w:p w:rsidR="00F55FE9" w:rsidRPr="00F4458A" w:rsidRDefault="00F55FE9" w:rsidP="00F55F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F55FE9" w:rsidRPr="00F4458A" w:rsidSect="001E34D2">
      <w:footerReference w:type="default" r:id="rId15"/>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EC7" w:rsidRDefault="00244EC7" w:rsidP="005B48FF">
      <w:pPr>
        <w:spacing w:line="240" w:lineRule="auto"/>
      </w:pPr>
      <w:r>
        <w:separator/>
      </w:r>
    </w:p>
  </w:endnote>
  <w:endnote w:type="continuationSeparator" w:id="0">
    <w:p w:rsidR="00244EC7" w:rsidRDefault="00244EC7" w:rsidP="005B4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r>
    <w:r>
      <w:fldChar w:fldCharType="begin"/>
    </w:r>
    <w:r>
      <w:instrText xml:space="preserve"> PAGE   \* MERGEFORMAT </w:instrText>
    </w:r>
    <w:r>
      <w:fldChar w:fldCharType="separate"/>
    </w:r>
    <w:r w:rsidR="00927997">
      <w:rPr>
        <w:noProof/>
      </w:rPr>
      <w:t>1</w:t>
    </w:r>
    <w:r>
      <w:rPr>
        <w:noProof/>
      </w:rPr>
      <w:fldChar w:fldCharType="end"/>
    </w:r>
    <w:r>
      <w:rPr>
        <w:noProof/>
      </w:rPr>
      <w:tab/>
      <w:t>IMC 2515 Appendix 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t>Att1 - 1</w:t>
    </w:r>
    <w:r>
      <w:rPr>
        <w:noProof/>
      </w:rPr>
      <w:tab/>
      <w:t>IMC 2515 Appendix 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t>Att2 - 1</w:t>
    </w:r>
    <w:r>
      <w:rPr>
        <w:noProof/>
      </w:rPr>
      <w:tab/>
      <w:t>IMC 2515 Appendix 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t>Att3 - 1</w:t>
    </w:r>
    <w:r>
      <w:rPr>
        <w:noProof/>
      </w:rPr>
      <w:tab/>
      <w:t>IMC 2515 Appendix 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t>Att4 - 1</w:t>
    </w:r>
    <w:r>
      <w:rPr>
        <w:noProof/>
      </w:rPr>
      <w:tab/>
      <w:t>IMC 2515 Appendix 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pPr>
      <w:pStyle w:val="Footer"/>
      <w:rPr>
        <w:noProof/>
      </w:rPr>
    </w:pPr>
    <w:r>
      <w:t>Issue Date:  02/01/16</w:t>
    </w:r>
    <w:r>
      <w:tab/>
      <w:t>Att4 - 2</w:t>
    </w:r>
    <w:r>
      <w:rPr>
        <w:noProof/>
      </w:rPr>
      <w:tab/>
      <w:t>IMC 2515 Appendix 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C7" w:rsidRDefault="00244EC7" w:rsidP="001E34D2">
    <w:pPr>
      <w:pStyle w:val="Footer"/>
      <w:tabs>
        <w:tab w:val="clear" w:pos="4680"/>
        <w:tab w:val="clear" w:pos="9360"/>
        <w:tab w:val="center" w:pos="6480"/>
        <w:tab w:val="right" w:pos="12960"/>
      </w:tabs>
      <w:rPr>
        <w:noProof/>
      </w:rPr>
    </w:pPr>
    <w:r>
      <w:t>Issue Date:  02/01/16</w:t>
    </w:r>
    <w:r>
      <w:tab/>
      <w:t>Att5 - 1</w:t>
    </w:r>
    <w:r>
      <w:rPr>
        <w:noProof/>
      </w:rPr>
      <w:tab/>
      <w:t>IMC 2515 Appendix 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EC7" w:rsidRDefault="00244EC7" w:rsidP="005B48FF">
      <w:pPr>
        <w:spacing w:line="240" w:lineRule="auto"/>
      </w:pPr>
      <w:r>
        <w:separator/>
      </w:r>
    </w:p>
  </w:footnote>
  <w:footnote w:type="continuationSeparator" w:id="0">
    <w:p w:rsidR="00244EC7" w:rsidRDefault="00244EC7" w:rsidP="005B48F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5AC6"/>
    <w:multiLevelType w:val="hybridMultilevel"/>
    <w:tmpl w:val="A6EAECC0"/>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
    <w:nsid w:val="21295140"/>
    <w:multiLevelType w:val="hybridMultilevel"/>
    <w:tmpl w:val="5160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F039E"/>
    <w:multiLevelType w:val="hybridMultilevel"/>
    <w:tmpl w:val="0ACA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64E0F"/>
    <w:multiLevelType w:val="hybridMultilevel"/>
    <w:tmpl w:val="E1FC2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CD3BEE"/>
    <w:multiLevelType w:val="hybridMultilevel"/>
    <w:tmpl w:val="A49EB5A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2E2261"/>
    <w:multiLevelType w:val="multilevel"/>
    <w:tmpl w:val="5C00CE8E"/>
    <w:lvl w:ilvl="0">
      <w:start w:val="4"/>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3A68EF"/>
    <w:multiLevelType w:val="hybridMultilevel"/>
    <w:tmpl w:val="12886DDC"/>
    <w:lvl w:ilvl="0" w:tplc="773C954C">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nsid w:val="5FDC35AD"/>
    <w:multiLevelType w:val="hybridMultilevel"/>
    <w:tmpl w:val="D752F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611C01"/>
    <w:multiLevelType w:val="hybridMultilevel"/>
    <w:tmpl w:val="FAD0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28791D"/>
    <w:multiLevelType w:val="hybridMultilevel"/>
    <w:tmpl w:val="01789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E20FB9"/>
    <w:multiLevelType w:val="hybridMultilevel"/>
    <w:tmpl w:val="A412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75D49"/>
    <w:multiLevelType w:val="multilevel"/>
    <w:tmpl w:val="1B46CB1C"/>
    <w:lvl w:ilvl="0">
      <w:start w:val="3"/>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E27646A"/>
    <w:multiLevelType w:val="hybridMultilevel"/>
    <w:tmpl w:val="4FA6E26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7"/>
  </w:num>
  <w:num w:numId="4">
    <w:abstractNumId w:val="8"/>
  </w:num>
  <w:num w:numId="5">
    <w:abstractNumId w:val="10"/>
  </w:num>
  <w:num w:numId="6">
    <w:abstractNumId w:val="3"/>
  </w:num>
  <w:num w:numId="7">
    <w:abstractNumId w:val="4"/>
  </w:num>
  <w:num w:numId="8">
    <w:abstractNumId w:val="1"/>
  </w:num>
  <w:num w:numId="9">
    <w:abstractNumId w:val="2"/>
  </w:num>
  <w:num w:numId="10">
    <w:abstractNumId w:val="0"/>
  </w:num>
  <w:num w:numId="11">
    <w:abstractNumId w:val="6"/>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4A"/>
    <w:rsid w:val="00000F93"/>
    <w:rsid w:val="00003801"/>
    <w:rsid w:val="000045EF"/>
    <w:rsid w:val="000063B0"/>
    <w:rsid w:val="00010945"/>
    <w:rsid w:val="00015AA0"/>
    <w:rsid w:val="000364FD"/>
    <w:rsid w:val="00057FC8"/>
    <w:rsid w:val="000665F7"/>
    <w:rsid w:val="00073155"/>
    <w:rsid w:val="00077866"/>
    <w:rsid w:val="00081F94"/>
    <w:rsid w:val="000B55C4"/>
    <w:rsid w:val="000C6812"/>
    <w:rsid w:val="000D0F9A"/>
    <w:rsid w:val="000D2348"/>
    <w:rsid w:val="000F0560"/>
    <w:rsid w:val="00102517"/>
    <w:rsid w:val="00112381"/>
    <w:rsid w:val="0011467A"/>
    <w:rsid w:val="00132B15"/>
    <w:rsid w:val="001406C2"/>
    <w:rsid w:val="00160E55"/>
    <w:rsid w:val="00174B46"/>
    <w:rsid w:val="00176EF4"/>
    <w:rsid w:val="00181D15"/>
    <w:rsid w:val="00190108"/>
    <w:rsid w:val="001A2615"/>
    <w:rsid w:val="001A3B47"/>
    <w:rsid w:val="001C6047"/>
    <w:rsid w:val="001E34D2"/>
    <w:rsid w:val="001E5A7A"/>
    <w:rsid w:val="001F7C5E"/>
    <w:rsid w:val="00216688"/>
    <w:rsid w:val="00244EC7"/>
    <w:rsid w:val="00260394"/>
    <w:rsid w:val="002630EF"/>
    <w:rsid w:val="00277FF6"/>
    <w:rsid w:val="00281112"/>
    <w:rsid w:val="002933B6"/>
    <w:rsid w:val="00295D9D"/>
    <w:rsid w:val="002A73AD"/>
    <w:rsid w:val="002B5D82"/>
    <w:rsid w:val="002B6318"/>
    <w:rsid w:val="002D36F2"/>
    <w:rsid w:val="002E4D24"/>
    <w:rsid w:val="002F0CEE"/>
    <w:rsid w:val="00310341"/>
    <w:rsid w:val="003235C1"/>
    <w:rsid w:val="003405F5"/>
    <w:rsid w:val="00381794"/>
    <w:rsid w:val="003A1A03"/>
    <w:rsid w:val="003B193B"/>
    <w:rsid w:val="003B6F62"/>
    <w:rsid w:val="003B6FA1"/>
    <w:rsid w:val="003C7244"/>
    <w:rsid w:val="003D2069"/>
    <w:rsid w:val="003D4E0D"/>
    <w:rsid w:val="00401706"/>
    <w:rsid w:val="0040316D"/>
    <w:rsid w:val="0043701E"/>
    <w:rsid w:val="004404DD"/>
    <w:rsid w:val="0044294D"/>
    <w:rsid w:val="00454C21"/>
    <w:rsid w:val="00476509"/>
    <w:rsid w:val="00487325"/>
    <w:rsid w:val="004F1ECC"/>
    <w:rsid w:val="00517139"/>
    <w:rsid w:val="005523FE"/>
    <w:rsid w:val="0057593D"/>
    <w:rsid w:val="00575B3C"/>
    <w:rsid w:val="005766C1"/>
    <w:rsid w:val="00580506"/>
    <w:rsid w:val="00580B4A"/>
    <w:rsid w:val="005812D1"/>
    <w:rsid w:val="0058635F"/>
    <w:rsid w:val="005A7C0A"/>
    <w:rsid w:val="005B1F9C"/>
    <w:rsid w:val="005B48FF"/>
    <w:rsid w:val="005C361D"/>
    <w:rsid w:val="005F7153"/>
    <w:rsid w:val="0060107B"/>
    <w:rsid w:val="00601E79"/>
    <w:rsid w:val="006069BF"/>
    <w:rsid w:val="0061303A"/>
    <w:rsid w:val="00614CCC"/>
    <w:rsid w:val="00622F6A"/>
    <w:rsid w:val="00664232"/>
    <w:rsid w:val="0066714A"/>
    <w:rsid w:val="00676863"/>
    <w:rsid w:val="006A3AB0"/>
    <w:rsid w:val="006A7BD7"/>
    <w:rsid w:val="006B0D00"/>
    <w:rsid w:val="006B18E0"/>
    <w:rsid w:val="006B6412"/>
    <w:rsid w:val="006D6FD8"/>
    <w:rsid w:val="006E049E"/>
    <w:rsid w:val="006E61ED"/>
    <w:rsid w:val="0071118D"/>
    <w:rsid w:val="00715A3C"/>
    <w:rsid w:val="007249D5"/>
    <w:rsid w:val="007261AE"/>
    <w:rsid w:val="007501B7"/>
    <w:rsid w:val="00754038"/>
    <w:rsid w:val="007D21E3"/>
    <w:rsid w:val="007F01D9"/>
    <w:rsid w:val="0081299B"/>
    <w:rsid w:val="0081729F"/>
    <w:rsid w:val="0082339D"/>
    <w:rsid w:val="0083120E"/>
    <w:rsid w:val="00851C51"/>
    <w:rsid w:val="00856981"/>
    <w:rsid w:val="00872934"/>
    <w:rsid w:val="00885FD8"/>
    <w:rsid w:val="008A31E9"/>
    <w:rsid w:val="008B16EE"/>
    <w:rsid w:val="008B24EA"/>
    <w:rsid w:val="008C44DB"/>
    <w:rsid w:val="008E3D31"/>
    <w:rsid w:val="008E4E6D"/>
    <w:rsid w:val="0091489C"/>
    <w:rsid w:val="00927997"/>
    <w:rsid w:val="009363B2"/>
    <w:rsid w:val="00943A5E"/>
    <w:rsid w:val="009531EB"/>
    <w:rsid w:val="009547A9"/>
    <w:rsid w:val="009668B9"/>
    <w:rsid w:val="00976838"/>
    <w:rsid w:val="009775F0"/>
    <w:rsid w:val="009B10E5"/>
    <w:rsid w:val="009C449C"/>
    <w:rsid w:val="009D3C1D"/>
    <w:rsid w:val="009E7BC4"/>
    <w:rsid w:val="009F56F1"/>
    <w:rsid w:val="00A103B4"/>
    <w:rsid w:val="00A13FA0"/>
    <w:rsid w:val="00A65693"/>
    <w:rsid w:val="00A65F21"/>
    <w:rsid w:val="00A81426"/>
    <w:rsid w:val="00A91302"/>
    <w:rsid w:val="00A921DC"/>
    <w:rsid w:val="00A93F30"/>
    <w:rsid w:val="00AA3AD0"/>
    <w:rsid w:val="00AB3529"/>
    <w:rsid w:val="00AB75F1"/>
    <w:rsid w:val="00AC0C57"/>
    <w:rsid w:val="00AE2954"/>
    <w:rsid w:val="00B2162E"/>
    <w:rsid w:val="00B661C6"/>
    <w:rsid w:val="00B668AF"/>
    <w:rsid w:val="00B728EA"/>
    <w:rsid w:val="00BB5917"/>
    <w:rsid w:val="00BB592F"/>
    <w:rsid w:val="00BD1096"/>
    <w:rsid w:val="00BD362F"/>
    <w:rsid w:val="00C008CE"/>
    <w:rsid w:val="00C118A3"/>
    <w:rsid w:val="00C204DB"/>
    <w:rsid w:val="00C24C6A"/>
    <w:rsid w:val="00C32F85"/>
    <w:rsid w:val="00C3323F"/>
    <w:rsid w:val="00C519DF"/>
    <w:rsid w:val="00C52994"/>
    <w:rsid w:val="00C80541"/>
    <w:rsid w:val="00C91759"/>
    <w:rsid w:val="00CA7987"/>
    <w:rsid w:val="00CF3BAC"/>
    <w:rsid w:val="00D24320"/>
    <w:rsid w:val="00D36EA4"/>
    <w:rsid w:val="00D50DCB"/>
    <w:rsid w:val="00D603FD"/>
    <w:rsid w:val="00D620B3"/>
    <w:rsid w:val="00D70B0F"/>
    <w:rsid w:val="00D81D7D"/>
    <w:rsid w:val="00D82F19"/>
    <w:rsid w:val="00D94795"/>
    <w:rsid w:val="00DA5744"/>
    <w:rsid w:val="00DB30CD"/>
    <w:rsid w:val="00DC3CDA"/>
    <w:rsid w:val="00DE4814"/>
    <w:rsid w:val="00E01CD5"/>
    <w:rsid w:val="00E1065B"/>
    <w:rsid w:val="00E30C40"/>
    <w:rsid w:val="00E3509C"/>
    <w:rsid w:val="00E415CC"/>
    <w:rsid w:val="00E41FAF"/>
    <w:rsid w:val="00E63B38"/>
    <w:rsid w:val="00E71631"/>
    <w:rsid w:val="00E83DED"/>
    <w:rsid w:val="00E9422B"/>
    <w:rsid w:val="00EB0A1E"/>
    <w:rsid w:val="00ED495C"/>
    <w:rsid w:val="00ED5697"/>
    <w:rsid w:val="00ED7C92"/>
    <w:rsid w:val="00EE057D"/>
    <w:rsid w:val="00EE2FF1"/>
    <w:rsid w:val="00EF30C7"/>
    <w:rsid w:val="00EF74D8"/>
    <w:rsid w:val="00EF7A8F"/>
    <w:rsid w:val="00F01726"/>
    <w:rsid w:val="00F04517"/>
    <w:rsid w:val="00F32739"/>
    <w:rsid w:val="00F4458A"/>
    <w:rsid w:val="00F52303"/>
    <w:rsid w:val="00F55FE9"/>
    <w:rsid w:val="00F57B83"/>
    <w:rsid w:val="00F602B1"/>
    <w:rsid w:val="00F67055"/>
    <w:rsid w:val="00F876E9"/>
    <w:rsid w:val="00F902A5"/>
    <w:rsid w:val="00F91D12"/>
    <w:rsid w:val="00F95A2C"/>
    <w:rsid w:val="00F96BEB"/>
    <w:rsid w:val="00FE1765"/>
    <w:rsid w:val="00FF0C39"/>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4A"/>
    <w:pPr>
      <w:ind w:left="720"/>
      <w:contextualSpacing/>
    </w:pPr>
  </w:style>
  <w:style w:type="paragraph" w:customStyle="1" w:styleId="Default">
    <w:name w:val="Default"/>
    <w:rsid w:val="00F55FE9"/>
    <w:pPr>
      <w:autoSpaceDE w:val="0"/>
      <w:autoSpaceDN w:val="0"/>
      <w:adjustRightInd w:val="0"/>
      <w:spacing w:line="240" w:lineRule="auto"/>
    </w:pPr>
    <w:rPr>
      <w:color w:val="000000"/>
      <w:sz w:val="24"/>
      <w:szCs w:val="24"/>
    </w:rPr>
  </w:style>
  <w:style w:type="paragraph" w:styleId="BalloonText">
    <w:name w:val="Balloon Text"/>
    <w:basedOn w:val="Normal"/>
    <w:link w:val="BalloonTextChar"/>
    <w:uiPriority w:val="99"/>
    <w:semiHidden/>
    <w:unhideWhenUsed/>
    <w:rsid w:val="005C3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1D"/>
    <w:rPr>
      <w:rFonts w:ascii="Tahoma" w:hAnsi="Tahoma" w:cs="Tahoma"/>
      <w:sz w:val="16"/>
      <w:szCs w:val="16"/>
    </w:rPr>
  </w:style>
  <w:style w:type="paragraph" w:styleId="Header">
    <w:name w:val="header"/>
    <w:basedOn w:val="Normal"/>
    <w:link w:val="HeaderChar"/>
    <w:uiPriority w:val="99"/>
    <w:unhideWhenUsed/>
    <w:rsid w:val="005B48FF"/>
    <w:pPr>
      <w:tabs>
        <w:tab w:val="center" w:pos="4680"/>
        <w:tab w:val="right" w:pos="9360"/>
      </w:tabs>
      <w:spacing w:line="240" w:lineRule="auto"/>
    </w:pPr>
  </w:style>
  <w:style w:type="character" w:customStyle="1" w:styleId="HeaderChar">
    <w:name w:val="Header Char"/>
    <w:basedOn w:val="DefaultParagraphFont"/>
    <w:link w:val="Header"/>
    <w:uiPriority w:val="99"/>
    <w:rsid w:val="005B48FF"/>
  </w:style>
  <w:style w:type="paragraph" w:styleId="Footer">
    <w:name w:val="footer"/>
    <w:basedOn w:val="Normal"/>
    <w:link w:val="FooterChar"/>
    <w:uiPriority w:val="99"/>
    <w:unhideWhenUsed/>
    <w:rsid w:val="005B48FF"/>
    <w:pPr>
      <w:tabs>
        <w:tab w:val="center" w:pos="4680"/>
        <w:tab w:val="right" w:pos="9360"/>
      </w:tabs>
      <w:spacing w:line="240" w:lineRule="auto"/>
    </w:pPr>
  </w:style>
  <w:style w:type="character" w:customStyle="1" w:styleId="FooterChar">
    <w:name w:val="Footer Char"/>
    <w:basedOn w:val="DefaultParagraphFont"/>
    <w:link w:val="Footer"/>
    <w:uiPriority w:val="99"/>
    <w:rsid w:val="005B48FF"/>
  </w:style>
  <w:style w:type="table" w:styleId="TableGrid">
    <w:name w:val="Table Grid"/>
    <w:basedOn w:val="TableNormal"/>
    <w:uiPriority w:val="59"/>
    <w:rsid w:val="00F445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01Char">
    <w:name w:val="Header 01 Char"/>
    <w:basedOn w:val="DefaultParagraphFont"/>
    <w:link w:val="Header01"/>
    <w:rsid w:val="001E34D2"/>
    <w:rPr>
      <w:sz w:val="24"/>
      <w:szCs w:val="24"/>
    </w:rPr>
  </w:style>
  <w:style w:type="paragraph" w:customStyle="1" w:styleId="Header01">
    <w:name w:val="Header 01"/>
    <w:basedOn w:val="Normal"/>
    <w:link w:val="Header01Char"/>
    <w:rsid w:val="001E34D2"/>
    <w:pPr>
      <w:tabs>
        <w:tab w:val="left" w:pos="274"/>
        <w:tab w:val="left" w:pos="806"/>
        <w:tab w:val="left" w:pos="1440"/>
        <w:tab w:val="left" w:pos="2074"/>
        <w:tab w:val="left" w:pos="2707"/>
      </w:tabs>
      <w:spacing w:line="240" w:lineRule="auto"/>
      <w:outlineLvl w:val="0"/>
    </w:pPr>
    <w:rPr>
      <w:sz w:val="24"/>
      <w:szCs w:val="24"/>
    </w:rPr>
  </w:style>
  <w:style w:type="paragraph" w:styleId="NoSpacing">
    <w:name w:val="No Spacing"/>
    <w:uiPriority w:val="1"/>
    <w:qFormat/>
    <w:rsid w:val="00102517"/>
    <w:pPr>
      <w:spacing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14A"/>
    <w:pPr>
      <w:ind w:left="720"/>
      <w:contextualSpacing/>
    </w:pPr>
  </w:style>
  <w:style w:type="paragraph" w:customStyle="1" w:styleId="Default">
    <w:name w:val="Default"/>
    <w:rsid w:val="00F55FE9"/>
    <w:pPr>
      <w:autoSpaceDE w:val="0"/>
      <w:autoSpaceDN w:val="0"/>
      <w:adjustRightInd w:val="0"/>
      <w:spacing w:line="240" w:lineRule="auto"/>
    </w:pPr>
    <w:rPr>
      <w:color w:val="000000"/>
      <w:sz w:val="24"/>
      <w:szCs w:val="24"/>
    </w:rPr>
  </w:style>
  <w:style w:type="paragraph" w:styleId="BalloonText">
    <w:name w:val="Balloon Text"/>
    <w:basedOn w:val="Normal"/>
    <w:link w:val="BalloonTextChar"/>
    <w:uiPriority w:val="99"/>
    <w:semiHidden/>
    <w:unhideWhenUsed/>
    <w:rsid w:val="005C36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1D"/>
    <w:rPr>
      <w:rFonts w:ascii="Tahoma" w:hAnsi="Tahoma" w:cs="Tahoma"/>
      <w:sz w:val="16"/>
      <w:szCs w:val="16"/>
    </w:rPr>
  </w:style>
  <w:style w:type="paragraph" w:styleId="Header">
    <w:name w:val="header"/>
    <w:basedOn w:val="Normal"/>
    <w:link w:val="HeaderChar"/>
    <w:uiPriority w:val="99"/>
    <w:unhideWhenUsed/>
    <w:rsid w:val="005B48FF"/>
    <w:pPr>
      <w:tabs>
        <w:tab w:val="center" w:pos="4680"/>
        <w:tab w:val="right" w:pos="9360"/>
      </w:tabs>
      <w:spacing w:line="240" w:lineRule="auto"/>
    </w:pPr>
  </w:style>
  <w:style w:type="character" w:customStyle="1" w:styleId="HeaderChar">
    <w:name w:val="Header Char"/>
    <w:basedOn w:val="DefaultParagraphFont"/>
    <w:link w:val="Header"/>
    <w:uiPriority w:val="99"/>
    <w:rsid w:val="005B48FF"/>
  </w:style>
  <w:style w:type="paragraph" w:styleId="Footer">
    <w:name w:val="footer"/>
    <w:basedOn w:val="Normal"/>
    <w:link w:val="FooterChar"/>
    <w:uiPriority w:val="99"/>
    <w:unhideWhenUsed/>
    <w:rsid w:val="005B48FF"/>
    <w:pPr>
      <w:tabs>
        <w:tab w:val="center" w:pos="4680"/>
        <w:tab w:val="right" w:pos="9360"/>
      </w:tabs>
      <w:spacing w:line="240" w:lineRule="auto"/>
    </w:pPr>
  </w:style>
  <w:style w:type="character" w:customStyle="1" w:styleId="FooterChar">
    <w:name w:val="Footer Char"/>
    <w:basedOn w:val="DefaultParagraphFont"/>
    <w:link w:val="Footer"/>
    <w:uiPriority w:val="99"/>
    <w:rsid w:val="005B48FF"/>
  </w:style>
  <w:style w:type="table" w:styleId="TableGrid">
    <w:name w:val="Table Grid"/>
    <w:basedOn w:val="TableNormal"/>
    <w:uiPriority w:val="59"/>
    <w:rsid w:val="00F445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01Char">
    <w:name w:val="Header 01 Char"/>
    <w:basedOn w:val="DefaultParagraphFont"/>
    <w:link w:val="Header01"/>
    <w:rsid w:val="001E34D2"/>
    <w:rPr>
      <w:sz w:val="24"/>
      <w:szCs w:val="24"/>
    </w:rPr>
  </w:style>
  <w:style w:type="paragraph" w:customStyle="1" w:styleId="Header01">
    <w:name w:val="Header 01"/>
    <w:basedOn w:val="Normal"/>
    <w:link w:val="Header01Char"/>
    <w:rsid w:val="001E34D2"/>
    <w:pPr>
      <w:tabs>
        <w:tab w:val="left" w:pos="274"/>
        <w:tab w:val="left" w:pos="806"/>
        <w:tab w:val="left" w:pos="1440"/>
        <w:tab w:val="left" w:pos="2074"/>
        <w:tab w:val="left" w:pos="2707"/>
      </w:tabs>
      <w:spacing w:line="240" w:lineRule="auto"/>
      <w:outlineLvl w:val="0"/>
    </w:pPr>
    <w:rPr>
      <w:sz w:val="24"/>
      <w:szCs w:val="24"/>
    </w:rPr>
  </w:style>
  <w:style w:type="paragraph" w:styleId="NoSpacing">
    <w:name w:val="No Spacing"/>
    <w:uiPriority w:val="1"/>
    <w:qFormat/>
    <w:rsid w:val="00102517"/>
    <w:pPr>
      <w:spacing w:line="240"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2467-6DAD-4250-8E19-4C6E2037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1597</Words>
  <Characters>9106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Ami</dc:creator>
  <cp:lastModifiedBy>Curran, Bridget</cp:lastModifiedBy>
  <cp:revision>2</cp:revision>
  <cp:lastPrinted>2016-01-29T18:25:00Z</cp:lastPrinted>
  <dcterms:created xsi:type="dcterms:W3CDTF">2016-01-29T19:29:00Z</dcterms:created>
  <dcterms:modified xsi:type="dcterms:W3CDTF">2016-01-29T19:29:00Z</dcterms:modified>
</cp:coreProperties>
</file>