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A12B17">
              <w:rPr>
                <w:rFonts w:ascii="Arial" w:hAnsi="Arial" w:cs="Arial"/>
                <w:sz w:val="22"/>
                <w:szCs w:val="22"/>
              </w:rPr>
              <w:t>5-020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FA6801" w:rsidP="00FA680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F6A95">
        <w:rPr>
          <w:rFonts w:ascii="Arial" w:hAnsi="Arial" w:cs="Arial"/>
          <w:sz w:val="22"/>
          <w:szCs w:val="22"/>
        </w:rPr>
        <w:t xml:space="preserve">IMC </w:t>
      </w:r>
      <w:r w:rsidR="00A12B17">
        <w:rPr>
          <w:rFonts w:ascii="Arial" w:hAnsi="Arial" w:cs="Arial"/>
          <w:sz w:val="22"/>
          <w:szCs w:val="22"/>
        </w:rPr>
        <w:t>1245</w:t>
      </w:r>
      <w:r w:rsidR="005C0F78">
        <w:rPr>
          <w:rFonts w:ascii="Arial" w:hAnsi="Arial" w:cs="Arial"/>
          <w:sz w:val="22"/>
          <w:szCs w:val="22"/>
        </w:rPr>
        <w:t xml:space="preserve"> App</w:t>
      </w:r>
      <w:r w:rsidR="00A12B17">
        <w:rPr>
          <w:rFonts w:ascii="Arial" w:hAnsi="Arial" w:cs="Arial"/>
          <w:sz w:val="22"/>
          <w:szCs w:val="22"/>
        </w:rPr>
        <w:t xml:space="preserve"> C2</w:t>
      </w:r>
      <w:r w:rsidR="00A12B17">
        <w:rPr>
          <w:rFonts w:ascii="Arial" w:hAnsi="Arial" w:cs="Arial"/>
          <w:sz w:val="22"/>
          <w:szCs w:val="22"/>
        </w:rPr>
        <w:tab/>
        <w:t>12/19/12</w:t>
      </w:r>
      <w:r w:rsidR="00A12B17">
        <w:rPr>
          <w:rFonts w:ascii="Arial" w:hAnsi="Arial" w:cs="Arial"/>
          <w:sz w:val="22"/>
          <w:szCs w:val="22"/>
        </w:rPr>
        <w:tab/>
        <w:t>IMC 1245 App C2</w:t>
      </w:r>
      <w:r w:rsidR="00A12B17">
        <w:rPr>
          <w:rFonts w:ascii="Arial" w:hAnsi="Arial" w:cs="Arial"/>
          <w:sz w:val="22"/>
          <w:szCs w:val="22"/>
        </w:rPr>
        <w:tab/>
        <w:t>10/21</w:t>
      </w:r>
      <w:r w:rsidR="005C0F78">
        <w:rPr>
          <w:rFonts w:ascii="Arial" w:hAnsi="Arial" w:cs="Arial"/>
          <w:sz w:val="22"/>
          <w:szCs w:val="22"/>
        </w:rPr>
        <w:t>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B2593">
        <w:rPr>
          <w:rFonts w:ascii="Arial" w:hAnsi="Arial" w:cs="Arial"/>
          <w:sz w:val="22"/>
          <w:szCs w:val="22"/>
        </w:rPr>
        <w:t>.</w:t>
      </w:r>
      <w:r w:rsidR="009B2593">
        <w:rPr>
          <w:rFonts w:ascii="Arial" w:hAnsi="Arial" w:cs="Arial"/>
          <w:sz w:val="22"/>
          <w:szCs w:val="22"/>
        </w:rPr>
        <w:tab/>
      </w:r>
      <w:r w:rsidR="00A12B17">
        <w:rPr>
          <w:rFonts w:ascii="Arial" w:hAnsi="Arial" w:cs="Arial"/>
          <w:sz w:val="22"/>
          <w:szCs w:val="22"/>
        </w:rPr>
        <w:t>IMC 1245 App C7</w:t>
      </w:r>
      <w:r w:rsidR="005C0F78">
        <w:rPr>
          <w:rFonts w:ascii="Arial" w:hAnsi="Arial" w:cs="Arial"/>
          <w:sz w:val="22"/>
          <w:szCs w:val="22"/>
        </w:rPr>
        <w:tab/>
      </w:r>
      <w:r w:rsidR="00A12B17">
        <w:rPr>
          <w:rFonts w:ascii="Arial" w:hAnsi="Arial" w:cs="Arial"/>
          <w:sz w:val="22"/>
          <w:szCs w:val="22"/>
        </w:rPr>
        <w:t>12/19/12</w:t>
      </w:r>
      <w:r w:rsidR="005C0F78">
        <w:rPr>
          <w:rFonts w:ascii="Arial" w:hAnsi="Arial" w:cs="Arial"/>
          <w:sz w:val="22"/>
          <w:szCs w:val="22"/>
        </w:rPr>
        <w:tab/>
      </w:r>
      <w:r w:rsidR="00A12B17">
        <w:rPr>
          <w:rFonts w:ascii="Arial" w:hAnsi="Arial" w:cs="Arial"/>
          <w:sz w:val="22"/>
          <w:szCs w:val="22"/>
        </w:rPr>
        <w:t>IMC 1245 App C7</w:t>
      </w:r>
      <w:r w:rsidR="005C0F78">
        <w:rPr>
          <w:rFonts w:ascii="Arial" w:hAnsi="Arial" w:cs="Arial"/>
          <w:sz w:val="22"/>
          <w:szCs w:val="22"/>
        </w:rPr>
        <w:tab/>
      </w:r>
      <w:r w:rsidR="00A12B17">
        <w:rPr>
          <w:rFonts w:ascii="Arial" w:hAnsi="Arial" w:cs="Arial"/>
          <w:sz w:val="22"/>
          <w:szCs w:val="22"/>
        </w:rPr>
        <w:t>10/21</w:t>
      </w:r>
      <w:r w:rsidR="005C0F78">
        <w:rPr>
          <w:rFonts w:ascii="Arial" w:hAnsi="Arial" w:cs="Arial"/>
          <w:sz w:val="22"/>
          <w:szCs w:val="22"/>
        </w:rPr>
        <w:t>/15</w:t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A12B17" w:rsidRDefault="00A12B17" w:rsidP="00A12B1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IMC 1245 App C10</w:t>
      </w:r>
      <w:r>
        <w:rPr>
          <w:rFonts w:ascii="Arial" w:hAnsi="Arial" w:cs="Arial"/>
          <w:sz w:val="22"/>
          <w:szCs w:val="22"/>
        </w:rPr>
        <w:tab/>
        <w:t>08/27/12</w:t>
      </w:r>
      <w:r>
        <w:rPr>
          <w:rFonts w:ascii="Arial" w:hAnsi="Arial" w:cs="Arial"/>
          <w:sz w:val="22"/>
          <w:szCs w:val="22"/>
        </w:rPr>
        <w:tab/>
        <w:t>IMC 1245 App C10</w:t>
      </w:r>
      <w:r>
        <w:rPr>
          <w:rFonts w:ascii="Arial" w:hAnsi="Arial" w:cs="Arial"/>
          <w:sz w:val="22"/>
          <w:szCs w:val="22"/>
        </w:rPr>
        <w:tab/>
        <w:t>10/21/15</w:t>
      </w:r>
    </w:p>
    <w:p w:rsidR="00A12B17" w:rsidRDefault="00A12B1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F6A95" w:rsidRDefault="00A12B17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IMC 1245 App D2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07/08/09</w:t>
      </w:r>
      <w:r>
        <w:rPr>
          <w:rFonts w:ascii="Arial" w:hAnsi="Arial" w:cs="Arial"/>
          <w:sz w:val="22"/>
          <w:szCs w:val="22"/>
        </w:rPr>
        <w:tab/>
        <w:t>IMC 1245 App D2</w:t>
      </w:r>
      <w:r>
        <w:rPr>
          <w:rFonts w:ascii="Arial" w:hAnsi="Arial" w:cs="Arial"/>
          <w:sz w:val="22"/>
          <w:szCs w:val="22"/>
        </w:rPr>
        <w:tab/>
        <w:t>10/21/15</w:t>
      </w:r>
    </w:p>
    <w:p w:rsidR="00A12B17" w:rsidRDefault="00A12B17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04B2D" w:rsidRPr="00A12B17" w:rsidRDefault="003C4073" w:rsidP="005C0F78">
      <w:pPr>
        <w:ind w:left="1290" w:hanging="129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A12B17" w:rsidRPr="00A12B17">
        <w:rPr>
          <w:rFonts w:ascii="Arial" w:hAnsi="Arial" w:cs="Arial"/>
          <w:sz w:val="22"/>
          <w:szCs w:val="22"/>
        </w:rPr>
        <w:t>IMC 1245 App C2, “Reactor Engineering Inspector Technical Proficiency Training and Qualification Journal,”</w:t>
      </w:r>
      <w:r w:rsidR="00A12B17">
        <w:rPr>
          <w:rFonts w:ascii="Arial" w:hAnsi="Arial" w:cs="Arial"/>
          <w:sz w:val="22"/>
          <w:szCs w:val="22"/>
        </w:rPr>
        <w:t xml:space="preserve"> has been revised to update format, references in ISA6 (Maintenance Rule), and removes writing guidance in ISA-5 (SDP), including two scenarios that are out of date.</w:t>
      </w:r>
    </w:p>
    <w:p w:rsidR="00B379CE" w:rsidRDefault="00B379CE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Pr="00A12B17" w:rsidRDefault="00A12B17" w:rsidP="00A12B17">
      <w:pPr>
        <w:tabs>
          <w:tab w:val="left" w:pos="1260"/>
        </w:tabs>
        <w:ind w:left="1260" w:hanging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IMC 1245 App C7, </w:t>
      </w:r>
      <w:r w:rsidRPr="00A12B17">
        <w:rPr>
          <w:rFonts w:ascii="Arial" w:hAnsi="Arial" w:cs="Arial"/>
          <w:sz w:val="22"/>
          <w:szCs w:val="22"/>
        </w:rPr>
        <w:t>“</w:t>
      </w:r>
      <w:r w:rsidRPr="00A12B17">
        <w:rPr>
          <w:rFonts w:ascii="Arial" w:hAnsi="Arial" w:cs="Arial"/>
          <w:sz w:val="22"/>
          <w:szCs w:val="22"/>
        </w:rPr>
        <w:t>Fire Protection Inspector Technical Proficiency Training and Qualification Journal,”</w:t>
      </w:r>
      <w:r>
        <w:rPr>
          <w:rFonts w:ascii="Arial" w:hAnsi="Arial" w:cs="Arial"/>
          <w:sz w:val="22"/>
          <w:szCs w:val="22"/>
        </w:rPr>
        <w:t xml:space="preserve"> has been revised to update required training courses, references, and format.  It also clarifies that an oral qualification board is required, if not completed previously.</w:t>
      </w:r>
    </w:p>
    <w:p w:rsidR="005C0F78" w:rsidRDefault="005C0F78" w:rsidP="00A12B17">
      <w:pPr>
        <w:ind w:left="1260" w:hanging="1440"/>
        <w:rPr>
          <w:rFonts w:ascii="Arial" w:hAnsi="Arial" w:cs="Arial"/>
          <w:sz w:val="22"/>
          <w:szCs w:val="22"/>
        </w:rPr>
      </w:pPr>
    </w:p>
    <w:p w:rsidR="005C0F78" w:rsidRPr="00A12B17" w:rsidRDefault="00A12B17" w:rsidP="00A12B17">
      <w:pPr>
        <w:tabs>
          <w:tab w:val="left" w:pos="1260"/>
        </w:tabs>
        <w:ind w:left="1260" w:hanging="12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IMC 1245 App C10, </w:t>
      </w:r>
      <w:r w:rsidRPr="00A12B17">
        <w:rPr>
          <w:rFonts w:ascii="Arial" w:hAnsi="Arial" w:cs="Arial"/>
          <w:sz w:val="22"/>
          <w:szCs w:val="22"/>
        </w:rPr>
        <w:t>“Operator Licensing Examiner Technical Proficiency Training and Qualification Journal,”</w:t>
      </w:r>
      <w:r>
        <w:rPr>
          <w:rFonts w:ascii="Arial" w:hAnsi="Arial" w:cs="Arial"/>
          <w:sz w:val="22"/>
          <w:szCs w:val="22"/>
        </w:rPr>
        <w:t xml:space="preserve"> has been revised to update formatting, references and add training to ISA-4 on the decision by the ASLB to overturn the staff’s denial of a senior reactor operator license.</w:t>
      </w: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A12B17" w:rsidP="00A12B17">
      <w:pPr>
        <w:tabs>
          <w:tab w:val="left" w:pos="1260"/>
        </w:tabs>
        <w:ind w:left="126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IMC 1245 App D2, </w:t>
      </w:r>
      <w:r w:rsidRPr="00D24920">
        <w:rPr>
          <w:rFonts w:ascii="Arial" w:hAnsi="Arial" w:cs="Arial"/>
          <w:sz w:val="22"/>
          <w:szCs w:val="22"/>
        </w:rPr>
        <w:t>“</w:t>
      </w:r>
      <w:proofErr w:type="spellStart"/>
      <w:r w:rsidR="00D24920" w:rsidRPr="00D24920">
        <w:rPr>
          <w:rFonts w:ascii="Arial" w:hAnsi="Arial" w:cs="Arial"/>
          <w:sz w:val="22"/>
          <w:szCs w:val="22"/>
        </w:rPr>
        <w:t>Inservice</w:t>
      </w:r>
      <w:proofErr w:type="spellEnd"/>
      <w:r w:rsidR="00D24920" w:rsidRPr="00D24920">
        <w:rPr>
          <w:rFonts w:ascii="Arial" w:hAnsi="Arial" w:cs="Arial"/>
          <w:sz w:val="22"/>
          <w:szCs w:val="22"/>
        </w:rPr>
        <w:t xml:space="preserve"> Inspection Advanced-Level Training,”</w:t>
      </w:r>
      <w:r w:rsidR="00D24920">
        <w:rPr>
          <w:rFonts w:ascii="Arial" w:hAnsi="Arial" w:cs="Arial"/>
          <w:sz w:val="22"/>
          <w:szCs w:val="22"/>
        </w:rPr>
        <w:t xml:space="preserve"> has been revised to update formatting, and add training as “recommended” on ultrasonic examination, eddy current testing, and radiographic examination to more completely define an expert level of knowledge.</w:t>
      </w: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5C0F78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C0F78" w:rsidRDefault="004B36C4" w:rsidP="00A12B1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504B2D">
        <w:rPr>
          <w:rFonts w:ascii="Arial" w:hAnsi="Arial" w:cs="Arial"/>
          <w:sz w:val="22"/>
          <w:szCs w:val="22"/>
        </w:rPr>
        <w:t>Standard</w:t>
      </w:r>
    </w:p>
    <w:p w:rsidR="005C0F78" w:rsidRDefault="005C0F78" w:rsidP="00F20058">
      <w:pPr>
        <w:jc w:val="center"/>
        <w:rPr>
          <w:rFonts w:ascii="Arial" w:hAnsi="Arial" w:cs="Arial"/>
          <w:sz w:val="22"/>
          <w:szCs w:val="22"/>
        </w:rPr>
      </w:pPr>
    </w:p>
    <w:p w:rsidR="005C0F78" w:rsidRDefault="005C0F78" w:rsidP="00F20058">
      <w:pPr>
        <w:jc w:val="center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D24920">
      <w:rPr>
        <w:rFonts w:ascii="Arial" w:hAnsi="Arial" w:cs="Arial"/>
        <w:sz w:val="22"/>
        <w:szCs w:val="22"/>
      </w:rPr>
      <w:t>ssue Date:  10/21</w:t>
    </w:r>
    <w:r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D24920">
      <w:rPr>
        <w:rFonts w:ascii="Arial" w:hAnsi="Arial" w:cs="Arial"/>
        <w:sz w:val="22"/>
        <w:szCs w:val="22"/>
      </w:rPr>
      <w:t>1</w:t>
    </w:r>
    <w:r w:rsidR="00D24920">
      <w:rPr>
        <w:rFonts w:ascii="Arial" w:hAnsi="Arial" w:cs="Arial"/>
        <w:sz w:val="22"/>
        <w:szCs w:val="22"/>
      </w:rPr>
      <w:tab/>
      <w:t>15-020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40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2B1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920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B5860DED-1FC2-48DE-8469-0EA45DBB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FE503-B677-43B1-ABB6-2E3BF5BD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2015-10-14T17:57:00Z</cp:lastPrinted>
  <dcterms:created xsi:type="dcterms:W3CDTF">2015-10-14T17:58:00Z</dcterms:created>
  <dcterms:modified xsi:type="dcterms:W3CDTF">2015-10-14T17:58:00Z</dcterms:modified>
</cp:coreProperties>
</file>