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F4A" w:rsidRDefault="004B611E" w:rsidP="003A23B3">
      <w:pPr>
        <w:spacing w:before="11" w:after="0" w:line="240" w:lineRule="auto"/>
        <w:ind w:left="1559" w:right="44" w:firstLine="601"/>
        <w:jc w:val="center"/>
        <w:rPr>
          <w:rFonts w:ascii="Arial" w:eastAsia="Arial" w:hAnsi="Arial" w:cs="Arial"/>
          <w:sz w:val="20"/>
          <w:szCs w:val="20"/>
        </w:rPr>
      </w:pPr>
      <w:bookmarkStart w:id="0" w:name="_GoBack"/>
      <w:bookmarkEnd w:id="0"/>
      <w:r w:rsidRPr="00DC6A29">
        <w:rPr>
          <w:rFonts w:ascii="Arial" w:eastAsia="Arial" w:hAnsi="Arial" w:cs="Arial"/>
          <w:b/>
          <w:sz w:val="38"/>
          <w:szCs w:val="38"/>
          <w:u w:color="010101"/>
        </w:rPr>
        <w:t>NRC</w:t>
      </w:r>
      <w:r w:rsidRPr="00DC6A29">
        <w:rPr>
          <w:rFonts w:ascii="Arial" w:eastAsia="Arial" w:hAnsi="Arial" w:cs="Arial"/>
          <w:b/>
          <w:spacing w:val="-9"/>
          <w:sz w:val="38"/>
          <w:szCs w:val="38"/>
          <w:u w:color="010101"/>
        </w:rPr>
        <w:t xml:space="preserve"> </w:t>
      </w:r>
      <w:r w:rsidRPr="00DC6A29">
        <w:rPr>
          <w:rFonts w:ascii="Arial" w:eastAsia="Arial" w:hAnsi="Arial" w:cs="Arial"/>
          <w:b/>
          <w:sz w:val="38"/>
          <w:szCs w:val="38"/>
          <w:u w:color="010101"/>
        </w:rPr>
        <w:t>INSPECTION</w:t>
      </w:r>
      <w:r w:rsidRPr="00DC6A29">
        <w:rPr>
          <w:rFonts w:ascii="Arial" w:eastAsia="Arial" w:hAnsi="Arial" w:cs="Arial"/>
          <w:b/>
          <w:spacing w:val="-24"/>
          <w:sz w:val="38"/>
          <w:szCs w:val="38"/>
          <w:u w:color="010101"/>
        </w:rPr>
        <w:t xml:space="preserve"> </w:t>
      </w:r>
      <w:r w:rsidRPr="00DC6A29">
        <w:rPr>
          <w:rFonts w:ascii="Arial" w:eastAsia="Arial" w:hAnsi="Arial" w:cs="Arial"/>
          <w:b/>
          <w:sz w:val="38"/>
          <w:szCs w:val="38"/>
          <w:u w:color="010101"/>
        </w:rPr>
        <w:t>MANUAL</w:t>
      </w:r>
      <w:r w:rsidR="003A23B3" w:rsidRPr="003A23B3">
        <w:rPr>
          <w:rFonts w:ascii="Arial" w:eastAsia="Arial" w:hAnsi="Arial" w:cs="Arial"/>
          <w:sz w:val="38"/>
          <w:szCs w:val="38"/>
          <w:u w:color="010101"/>
        </w:rPr>
        <w:tab/>
      </w:r>
      <w:r w:rsidR="003A23B3" w:rsidRPr="003A23B3">
        <w:rPr>
          <w:rFonts w:ascii="Arial" w:eastAsia="Arial" w:hAnsi="Arial" w:cs="Arial"/>
          <w:sz w:val="38"/>
          <w:szCs w:val="38"/>
          <w:u w:color="010101"/>
        </w:rPr>
        <w:tab/>
      </w:r>
      <w:r w:rsidR="003A23B3" w:rsidRPr="003A23B3">
        <w:rPr>
          <w:rFonts w:ascii="Arial" w:eastAsia="Arial" w:hAnsi="Arial" w:cs="Arial"/>
          <w:sz w:val="38"/>
          <w:szCs w:val="38"/>
          <w:u w:color="010101"/>
        </w:rPr>
        <w:tab/>
      </w:r>
      <w:r>
        <w:rPr>
          <w:rFonts w:ascii="Arial" w:eastAsia="Arial" w:hAnsi="Arial" w:cs="Arial"/>
          <w:sz w:val="20"/>
          <w:szCs w:val="20"/>
        </w:rPr>
        <w:t>I</w:t>
      </w:r>
      <w:r w:rsidR="00E2706B">
        <w:rPr>
          <w:rFonts w:ascii="Arial" w:eastAsia="Arial" w:hAnsi="Arial" w:cs="Arial"/>
          <w:sz w:val="20"/>
          <w:szCs w:val="20"/>
        </w:rPr>
        <w:t>RIB</w:t>
      </w:r>
    </w:p>
    <w:p w:rsidR="003A23B3" w:rsidRDefault="003A23B3" w:rsidP="00DC6A29">
      <w:pPr>
        <w:spacing w:before="11" w:after="0" w:line="240" w:lineRule="auto"/>
        <w:ind w:left="1559" w:right="44" w:hanging="1559"/>
        <w:jc w:val="center"/>
        <w:rPr>
          <w:rFonts w:ascii="Arial" w:eastAsia="Arial" w:hAnsi="Arial" w:cs="Arial"/>
          <w:sz w:val="20"/>
          <w:szCs w:val="20"/>
        </w:rPr>
      </w:pPr>
      <w:r>
        <w:rPr>
          <w:rFonts w:ascii="Arial" w:eastAsia="Arial" w:hAnsi="Arial" w:cs="Arial"/>
          <w:noProof/>
          <w:sz w:val="20"/>
          <w:szCs w:val="20"/>
        </w:rPr>
        <mc:AlternateContent>
          <mc:Choice Requires="wps">
            <w:drawing>
              <wp:anchor distT="0" distB="0" distL="114300" distR="114300" simplePos="0" relativeHeight="251659264" behindDoc="0" locked="0" layoutInCell="1" allowOverlap="1" wp14:anchorId="2835FAC3" wp14:editId="39E1DE16">
                <wp:simplePos x="0" y="0"/>
                <wp:positionH relativeFrom="column">
                  <wp:posOffset>0</wp:posOffset>
                </wp:positionH>
                <wp:positionV relativeFrom="paragraph">
                  <wp:posOffset>121920</wp:posOffset>
                </wp:positionV>
                <wp:extent cx="5959687" cy="0"/>
                <wp:effectExtent l="0" t="0" r="22225" b="19050"/>
                <wp:wrapNone/>
                <wp:docPr id="1" name="Straight Connector 1"/>
                <wp:cNvGraphicFramePr/>
                <a:graphic xmlns:a="http://schemas.openxmlformats.org/drawingml/2006/main">
                  <a:graphicData uri="http://schemas.microsoft.com/office/word/2010/wordprocessingShape">
                    <wps:wsp>
                      <wps:cNvCnPr/>
                      <wps:spPr>
                        <a:xfrm flipH="1">
                          <a:off x="0" y="0"/>
                          <a:ext cx="595968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9.6pt" to="469.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" strokecolor="black [3213]"/>
            </w:pict>
          </mc:Fallback>
        </mc:AlternateContent>
      </w:r>
    </w:p>
    <w:p w:rsidR="007F7F4A" w:rsidRDefault="004B611E" w:rsidP="003A23B3">
      <w:pPr>
        <w:spacing w:before="42" w:after="0" w:line="240" w:lineRule="auto"/>
        <w:jc w:val="center"/>
        <w:rPr>
          <w:rFonts w:ascii="Arial" w:eastAsia="Arial" w:hAnsi="Arial" w:cs="Arial"/>
        </w:rPr>
      </w:pPr>
      <w:r w:rsidRPr="003A23B3">
        <w:rPr>
          <w:rFonts w:ascii="Arial" w:eastAsia="Arial" w:hAnsi="Arial" w:cs="Arial"/>
        </w:rPr>
        <w:t>INSPEC</w:t>
      </w:r>
      <w:r w:rsidRPr="003A23B3">
        <w:rPr>
          <w:rFonts w:ascii="Arial" w:eastAsia="Arial" w:hAnsi="Arial" w:cs="Arial"/>
          <w:spacing w:val="2"/>
        </w:rPr>
        <w:t>T</w:t>
      </w:r>
      <w:r w:rsidRPr="003A23B3">
        <w:rPr>
          <w:rFonts w:ascii="Arial" w:eastAsia="Arial" w:hAnsi="Arial" w:cs="Arial"/>
        </w:rPr>
        <w:t>ION</w:t>
      </w:r>
      <w:r w:rsidRPr="003A23B3">
        <w:rPr>
          <w:rFonts w:ascii="Arial" w:eastAsia="Arial" w:hAnsi="Arial" w:cs="Arial"/>
          <w:spacing w:val="-14"/>
        </w:rPr>
        <w:t xml:space="preserve"> </w:t>
      </w:r>
      <w:r w:rsidRPr="003A23B3">
        <w:rPr>
          <w:rFonts w:ascii="Arial" w:eastAsia="Arial" w:hAnsi="Arial" w:cs="Arial"/>
        </w:rPr>
        <w:t>PROCEDURE</w:t>
      </w:r>
      <w:r w:rsidRPr="003A23B3">
        <w:rPr>
          <w:rFonts w:ascii="Arial" w:eastAsia="Arial" w:hAnsi="Arial" w:cs="Arial"/>
          <w:spacing w:val="1"/>
        </w:rPr>
        <w:t xml:space="preserve"> </w:t>
      </w:r>
      <w:r w:rsidR="00CE5DD4">
        <w:rPr>
          <w:rFonts w:ascii="Arial" w:eastAsia="Arial" w:hAnsi="Arial" w:cs="Arial"/>
        </w:rPr>
        <w:t>94302</w:t>
      </w:r>
    </w:p>
    <w:p w:rsidR="003A23B3" w:rsidRDefault="003A23B3" w:rsidP="00CE5DD4">
      <w:pPr>
        <w:spacing w:after="0" w:line="240" w:lineRule="auto"/>
        <w:jc w:val="center"/>
        <w:rPr>
          <w:rFonts w:ascii="Arial" w:eastAsia="Arial" w:hAnsi="Arial" w:cs="Arial"/>
        </w:rPr>
      </w:pPr>
      <w:r>
        <w:rPr>
          <w:rFonts w:ascii="Arial" w:eastAsia="Arial" w:hAnsi="Arial" w:cs="Arial"/>
          <w:noProof/>
          <w:sz w:val="20"/>
          <w:szCs w:val="20"/>
        </w:rPr>
        <mc:AlternateContent>
          <mc:Choice Requires="wps">
            <w:drawing>
              <wp:anchor distT="0" distB="0" distL="114300" distR="114300" simplePos="0" relativeHeight="251661312" behindDoc="0" locked="0" layoutInCell="1" allowOverlap="1" wp14:anchorId="1A841FF2" wp14:editId="59CA5045">
                <wp:simplePos x="0" y="0"/>
                <wp:positionH relativeFrom="column">
                  <wp:posOffset>0</wp:posOffset>
                </wp:positionH>
                <wp:positionV relativeFrom="paragraph">
                  <wp:posOffset>27093</wp:posOffset>
                </wp:positionV>
                <wp:extent cx="5959475" cy="0"/>
                <wp:effectExtent l="0" t="0" r="22225" b="19050"/>
                <wp:wrapNone/>
                <wp:docPr id="2" name="Straight Connector 2"/>
                <wp:cNvGraphicFramePr/>
                <a:graphic xmlns:a="http://schemas.openxmlformats.org/drawingml/2006/main">
                  <a:graphicData uri="http://schemas.microsoft.com/office/word/2010/wordprocessingShape">
                    <wps:wsp>
                      <wps:cNvCnPr/>
                      <wps:spPr>
                        <a:xfrm flipH="1">
                          <a:off x="0" y="0"/>
                          <a:ext cx="5959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15pt" to="469.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" strokecolor="black [3213]"/>
            </w:pict>
          </mc:Fallback>
        </mc:AlternateContent>
      </w:r>
    </w:p>
    <w:p w:rsidR="003A23B3" w:rsidRPr="003A23B3" w:rsidRDefault="003A23B3" w:rsidP="00CE5DD4">
      <w:pPr>
        <w:spacing w:after="0" w:line="240" w:lineRule="auto"/>
        <w:jc w:val="center"/>
        <w:rPr>
          <w:rFonts w:ascii="Arial" w:eastAsia="Arial" w:hAnsi="Arial" w:cs="Arial"/>
        </w:rPr>
      </w:pPr>
    </w:p>
    <w:p w:rsidR="009A2C70" w:rsidRDefault="004B611E" w:rsidP="009A2C70">
      <w:pPr>
        <w:spacing w:after="0" w:line="626" w:lineRule="auto"/>
        <w:ind w:right="240" w:firstLine="331"/>
        <w:jc w:val="center"/>
        <w:rPr>
          <w:rFonts w:ascii="Arial" w:eastAsia="Arial" w:hAnsi="Arial" w:cs="Arial"/>
          <w:spacing w:val="1"/>
        </w:rPr>
      </w:pPr>
      <w:r w:rsidRPr="009A2C70">
        <w:rPr>
          <w:rFonts w:ascii="Arial" w:eastAsia="Arial" w:hAnsi="Arial" w:cs="Arial"/>
          <w:spacing w:val="1"/>
        </w:rPr>
        <w:t>S</w:t>
      </w:r>
      <w:r w:rsidRPr="009A2C70">
        <w:rPr>
          <w:rFonts w:ascii="Arial" w:eastAsia="Arial" w:hAnsi="Arial" w:cs="Arial"/>
          <w:spacing w:val="2"/>
        </w:rPr>
        <w:t>T</w:t>
      </w:r>
      <w:r w:rsidRPr="009A2C70">
        <w:rPr>
          <w:rFonts w:ascii="Arial" w:eastAsia="Arial" w:hAnsi="Arial" w:cs="Arial"/>
          <w:spacing w:val="1"/>
        </w:rPr>
        <w:t>A</w:t>
      </w:r>
      <w:r w:rsidRPr="009A2C70">
        <w:rPr>
          <w:rFonts w:ascii="Arial" w:eastAsia="Arial" w:hAnsi="Arial" w:cs="Arial"/>
          <w:spacing w:val="2"/>
        </w:rPr>
        <w:t>T</w:t>
      </w:r>
      <w:r w:rsidRPr="009A2C70">
        <w:rPr>
          <w:rFonts w:ascii="Arial" w:eastAsia="Arial" w:hAnsi="Arial" w:cs="Arial"/>
          <w:spacing w:val="-1"/>
        </w:rPr>
        <w:t>U</w:t>
      </w:r>
      <w:r w:rsidRPr="009A2C70">
        <w:rPr>
          <w:rFonts w:ascii="Arial" w:eastAsia="Arial" w:hAnsi="Arial" w:cs="Arial"/>
        </w:rPr>
        <w:t>S</w:t>
      </w:r>
      <w:r w:rsidRPr="009A2C70">
        <w:rPr>
          <w:rFonts w:ascii="Arial" w:eastAsia="Arial" w:hAnsi="Arial" w:cs="Arial"/>
          <w:spacing w:val="-7"/>
        </w:rPr>
        <w:t xml:space="preserve"> </w:t>
      </w:r>
      <w:r w:rsidRPr="009A2C70">
        <w:rPr>
          <w:rFonts w:ascii="Arial" w:eastAsia="Arial" w:hAnsi="Arial" w:cs="Arial"/>
          <w:spacing w:val="1"/>
        </w:rPr>
        <w:t>O</w:t>
      </w:r>
      <w:r w:rsidRPr="009A2C70">
        <w:rPr>
          <w:rFonts w:ascii="Arial" w:eastAsia="Arial" w:hAnsi="Arial" w:cs="Arial"/>
        </w:rPr>
        <w:t>F</w:t>
      </w:r>
      <w:r w:rsidRPr="009A2C70">
        <w:rPr>
          <w:rFonts w:ascii="Arial" w:eastAsia="Arial" w:hAnsi="Arial" w:cs="Arial"/>
          <w:spacing w:val="-2"/>
        </w:rPr>
        <w:t xml:space="preserve"> </w:t>
      </w:r>
      <w:r w:rsidR="001231D0" w:rsidRPr="009A2C70">
        <w:rPr>
          <w:rFonts w:ascii="Arial" w:eastAsia="Arial" w:hAnsi="Arial" w:cs="Arial"/>
          <w:spacing w:val="-2"/>
        </w:rPr>
        <w:t>WATTS BAR UNIT 2</w:t>
      </w:r>
      <w:r w:rsidRPr="009A2C70">
        <w:rPr>
          <w:rFonts w:ascii="Arial" w:eastAsia="Arial" w:hAnsi="Arial" w:cs="Arial"/>
          <w:spacing w:val="2"/>
        </w:rPr>
        <w:t xml:space="preserve"> </w:t>
      </w:r>
      <w:r w:rsidRPr="009A2C70">
        <w:rPr>
          <w:rFonts w:ascii="Arial" w:eastAsia="Arial" w:hAnsi="Arial" w:cs="Arial"/>
          <w:spacing w:val="-1"/>
        </w:rPr>
        <w:t>R</w:t>
      </w:r>
      <w:r w:rsidRPr="009A2C70">
        <w:rPr>
          <w:rFonts w:ascii="Arial" w:eastAsia="Arial" w:hAnsi="Arial" w:cs="Arial"/>
          <w:spacing w:val="1"/>
        </w:rPr>
        <w:t>EA</w:t>
      </w:r>
      <w:r w:rsidRPr="009A2C70">
        <w:rPr>
          <w:rFonts w:ascii="Arial" w:eastAsia="Arial" w:hAnsi="Arial" w:cs="Arial"/>
          <w:spacing w:val="-1"/>
        </w:rPr>
        <w:t>D</w:t>
      </w:r>
      <w:r w:rsidRPr="009A2C70">
        <w:rPr>
          <w:rFonts w:ascii="Arial" w:eastAsia="Arial" w:hAnsi="Arial" w:cs="Arial"/>
          <w:spacing w:val="1"/>
        </w:rPr>
        <w:t>I</w:t>
      </w:r>
      <w:r w:rsidRPr="009A2C70">
        <w:rPr>
          <w:rFonts w:ascii="Arial" w:eastAsia="Arial" w:hAnsi="Arial" w:cs="Arial"/>
          <w:spacing w:val="-1"/>
        </w:rPr>
        <w:t>N</w:t>
      </w:r>
      <w:r w:rsidRPr="009A2C70">
        <w:rPr>
          <w:rFonts w:ascii="Arial" w:eastAsia="Arial" w:hAnsi="Arial" w:cs="Arial"/>
          <w:spacing w:val="1"/>
        </w:rPr>
        <w:t>ES</w:t>
      </w:r>
      <w:r w:rsidRPr="009A2C70">
        <w:rPr>
          <w:rFonts w:ascii="Arial" w:eastAsia="Arial" w:hAnsi="Arial" w:cs="Arial"/>
        </w:rPr>
        <w:t>S</w:t>
      </w:r>
      <w:r w:rsidRPr="009A2C70">
        <w:rPr>
          <w:rFonts w:ascii="Arial" w:eastAsia="Arial" w:hAnsi="Arial" w:cs="Arial"/>
          <w:spacing w:val="-4"/>
        </w:rPr>
        <w:t xml:space="preserve"> </w:t>
      </w:r>
      <w:r w:rsidRPr="009A2C70">
        <w:rPr>
          <w:rFonts w:ascii="Arial" w:eastAsia="Arial" w:hAnsi="Arial" w:cs="Arial"/>
          <w:spacing w:val="1"/>
        </w:rPr>
        <w:t>FO</w:t>
      </w:r>
      <w:r w:rsidRPr="009A2C70">
        <w:rPr>
          <w:rFonts w:ascii="Arial" w:eastAsia="Arial" w:hAnsi="Arial" w:cs="Arial"/>
        </w:rPr>
        <w:t>R</w:t>
      </w:r>
      <w:r w:rsidRPr="009A2C70">
        <w:rPr>
          <w:rFonts w:ascii="Arial" w:eastAsia="Arial" w:hAnsi="Arial" w:cs="Arial"/>
          <w:spacing w:val="-5"/>
        </w:rPr>
        <w:t xml:space="preserve"> </w:t>
      </w:r>
      <w:r w:rsidRPr="009A2C70">
        <w:rPr>
          <w:rFonts w:ascii="Arial" w:eastAsia="Arial" w:hAnsi="Arial" w:cs="Arial"/>
          <w:spacing w:val="1"/>
        </w:rPr>
        <w:t>A</w:t>
      </w:r>
      <w:r w:rsidRPr="009A2C70">
        <w:rPr>
          <w:rFonts w:ascii="Arial" w:eastAsia="Arial" w:hAnsi="Arial" w:cs="Arial"/>
        </w:rPr>
        <w:t xml:space="preserve">N </w:t>
      </w:r>
      <w:r w:rsidRPr="009A2C70">
        <w:rPr>
          <w:rFonts w:ascii="Arial" w:eastAsia="Arial" w:hAnsi="Arial" w:cs="Arial"/>
          <w:spacing w:val="1"/>
        </w:rPr>
        <w:t>OPE</w:t>
      </w:r>
      <w:r w:rsidRPr="009A2C70">
        <w:rPr>
          <w:rFonts w:ascii="Arial" w:eastAsia="Arial" w:hAnsi="Arial" w:cs="Arial"/>
          <w:spacing w:val="-1"/>
        </w:rPr>
        <w:t>R</w:t>
      </w:r>
      <w:r w:rsidRPr="009A2C70">
        <w:rPr>
          <w:rFonts w:ascii="Arial" w:eastAsia="Arial" w:hAnsi="Arial" w:cs="Arial"/>
          <w:spacing w:val="1"/>
        </w:rPr>
        <w:t>A</w:t>
      </w:r>
      <w:r w:rsidRPr="009A2C70">
        <w:rPr>
          <w:rFonts w:ascii="Arial" w:eastAsia="Arial" w:hAnsi="Arial" w:cs="Arial"/>
          <w:spacing w:val="2"/>
        </w:rPr>
        <w:t>T</w:t>
      </w:r>
      <w:r w:rsidRPr="009A2C70">
        <w:rPr>
          <w:rFonts w:ascii="Arial" w:eastAsia="Arial" w:hAnsi="Arial" w:cs="Arial"/>
          <w:spacing w:val="1"/>
        </w:rPr>
        <w:t>I</w:t>
      </w:r>
      <w:r w:rsidRPr="009A2C70">
        <w:rPr>
          <w:rFonts w:ascii="Arial" w:eastAsia="Arial" w:hAnsi="Arial" w:cs="Arial"/>
          <w:spacing w:val="-1"/>
        </w:rPr>
        <w:t>N</w:t>
      </w:r>
      <w:r w:rsidRPr="009A2C70">
        <w:rPr>
          <w:rFonts w:ascii="Arial" w:eastAsia="Arial" w:hAnsi="Arial" w:cs="Arial"/>
        </w:rPr>
        <w:t>G</w:t>
      </w:r>
      <w:r w:rsidRPr="009A2C70">
        <w:rPr>
          <w:rFonts w:ascii="Arial" w:eastAsia="Arial" w:hAnsi="Arial" w:cs="Arial"/>
          <w:spacing w:val="-11"/>
        </w:rPr>
        <w:t xml:space="preserve"> </w:t>
      </w:r>
      <w:r w:rsidRPr="009A2C70">
        <w:rPr>
          <w:rFonts w:ascii="Arial" w:eastAsia="Arial" w:hAnsi="Arial" w:cs="Arial"/>
          <w:spacing w:val="1"/>
        </w:rPr>
        <w:t>LI</w:t>
      </w:r>
      <w:r w:rsidRPr="009A2C70">
        <w:rPr>
          <w:rFonts w:ascii="Arial" w:eastAsia="Arial" w:hAnsi="Arial" w:cs="Arial"/>
          <w:spacing w:val="-1"/>
        </w:rPr>
        <w:t>C</w:t>
      </w:r>
      <w:r w:rsidRPr="009A2C70">
        <w:rPr>
          <w:rFonts w:ascii="Arial" w:eastAsia="Arial" w:hAnsi="Arial" w:cs="Arial"/>
          <w:spacing w:val="1"/>
        </w:rPr>
        <w:t>E</w:t>
      </w:r>
      <w:r w:rsidRPr="009A2C70">
        <w:rPr>
          <w:rFonts w:ascii="Arial" w:eastAsia="Arial" w:hAnsi="Arial" w:cs="Arial"/>
          <w:spacing w:val="-1"/>
        </w:rPr>
        <w:t>N</w:t>
      </w:r>
      <w:r w:rsidR="001231D0" w:rsidRPr="009A2C70">
        <w:rPr>
          <w:rFonts w:ascii="Arial" w:eastAsia="Arial" w:hAnsi="Arial" w:cs="Arial"/>
          <w:spacing w:val="1"/>
        </w:rPr>
        <w:t>SE</w:t>
      </w:r>
    </w:p>
    <w:p w:rsidR="003A23B3" w:rsidRPr="003A23B3" w:rsidRDefault="004B611E"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626" w:lineRule="auto"/>
        <w:ind w:right="240"/>
        <w:rPr>
          <w:rFonts w:ascii="Arial" w:eastAsia="Arial" w:hAnsi="Arial" w:cs="Arial"/>
          <w:spacing w:val="1"/>
        </w:rPr>
      </w:pPr>
      <w:r w:rsidRPr="009A2C70">
        <w:rPr>
          <w:rFonts w:ascii="Arial" w:eastAsia="Arial" w:hAnsi="Arial" w:cs="Arial"/>
          <w:spacing w:val="1"/>
        </w:rPr>
        <w:t>P</w:t>
      </w:r>
      <w:r w:rsidRPr="009A2C70">
        <w:rPr>
          <w:rFonts w:ascii="Arial" w:eastAsia="Arial" w:hAnsi="Arial" w:cs="Arial"/>
          <w:spacing w:val="-1"/>
        </w:rPr>
        <w:t>R</w:t>
      </w:r>
      <w:r w:rsidRPr="009A2C70">
        <w:rPr>
          <w:rFonts w:ascii="Arial" w:eastAsia="Arial" w:hAnsi="Arial" w:cs="Arial"/>
          <w:spacing w:val="1"/>
        </w:rPr>
        <w:t>OG</w:t>
      </w:r>
      <w:r w:rsidRPr="009A2C70">
        <w:rPr>
          <w:rFonts w:ascii="Arial" w:eastAsia="Arial" w:hAnsi="Arial" w:cs="Arial"/>
        </w:rPr>
        <w:t>R</w:t>
      </w:r>
      <w:r w:rsidRPr="009A2C70">
        <w:rPr>
          <w:rFonts w:ascii="Arial" w:eastAsia="Arial" w:hAnsi="Arial" w:cs="Arial"/>
          <w:spacing w:val="1"/>
        </w:rPr>
        <w:t>A</w:t>
      </w:r>
      <w:r w:rsidRPr="009A2C70">
        <w:rPr>
          <w:rFonts w:ascii="Arial" w:eastAsia="Arial" w:hAnsi="Arial" w:cs="Arial"/>
        </w:rPr>
        <w:t>M</w:t>
      </w:r>
      <w:r w:rsidRPr="009A2C70">
        <w:rPr>
          <w:rFonts w:ascii="Arial" w:eastAsia="Arial" w:hAnsi="Arial" w:cs="Arial"/>
          <w:spacing w:val="-5"/>
        </w:rPr>
        <w:t xml:space="preserve"> </w:t>
      </w:r>
      <w:r w:rsidRPr="009A2C70">
        <w:rPr>
          <w:rFonts w:ascii="Arial" w:eastAsia="Arial" w:hAnsi="Arial" w:cs="Arial"/>
          <w:spacing w:val="1"/>
        </w:rPr>
        <w:t>APPLI</w:t>
      </w:r>
      <w:r w:rsidRPr="009A2C70">
        <w:rPr>
          <w:rFonts w:ascii="Arial" w:eastAsia="Arial" w:hAnsi="Arial" w:cs="Arial"/>
          <w:spacing w:val="-1"/>
        </w:rPr>
        <w:t>C</w:t>
      </w:r>
      <w:r w:rsidRPr="009A2C70">
        <w:rPr>
          <w:rFonts w:ascii="Arial" w:eastAsia="Arial" w:hAnsi="Arial" w:cs="Arial"/>
          <w:spacing w:val="1"/>
        </w:rPr>
        <w:t>ABILI</w:t>
      </w:r>
      <w:r w:rsidRPr="009A2C70">
        <w:rPr>
          <w:rFonts w:ascii="Arial" w:eastAsia="Arial" w:hAnsi="Arial" w:cs="Arial"/>
          <w:spacing w:val="2"/>
        </w:rPr>
        <w:t>T</w:t>
      </w:r>
      <w:r w:rsidRPr="009A2C70">
        <w:rPr>
          <w:rFonts w:ascii="Arial" w:eastAsia="Arial" w:hAnsi="Arial" w:cs="Arial"/>
          <w:spacing w:val="-2"/>
        </w:rPr>
        <w:t>Y</w:t>
      </w:r>
      <w:r w:rsidRPr="009A2C70">
        <w:rPr>
          <w:rFonts w:ascii="Arial" w:eastAsia="Arial" w:hAnsi="Arial" w:cs="Arial"/>
        </w:rPr>
        <w:t>:</w:t>
      </w:r>
      <w:r w:rsidRPr="009A2C70">
        <w:rPr>
          <w:rFonts w:ascii="Arial" w:eastAsia="Arial" w:hAnsi="Arial" w:cs="Arial"/>
          <w:spacing w:val="59"/>
        </w:rPr>
        <w:t xml:space="preserve"> </w:t>
      </w:r>
      <w:r w:rsidR="00CE5DD4">
        <w:rPr>
          <w:rFonts w:ascii="Arial" w:eastAsia="Arial" w:hAnsi="Arial" w:cs="Arial"/>
          <w:spacing w:val="59"/>
        </w:rPr>
        <w:t xml:space="preserve"> </w:t>
      </w:r>
      <w:r w:rsidR="001D2ABB" w:rsidRPr="009A2C70">
        <w:rPr>
          <w:rFonts w:ascii="Arial" w:eastAsia="Arial" w:hAnsi="Arial" w:cs="Arial"/>
          <w:spacing w:val="1"/>
        </w:rPr>
        <w:t>2517</w:t>
      </w:r>
    </w:p>
    <w:p w:rsidR="00697215" w:rsidRPr="009A2C70" w:rsidRDefault="00B74E63"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4947"/>
        <w:rPr>
          <w:rFonts w:ascii="Arial" w:eastAsia="Arial" w:hAnsi="Arial" w:cs="Arial"/>
          <w:spacing w:val="1"/>
        </w:rPr>
      </w:pPr>
      <w:r w:rsidRPr="009A2C70">
        <w:rPr>
          <w:rFonts w:ascii="Arial" w:eastAsia="Arial" w:hAnsi="Arial" w:cs="Arial"/>
          <w:spacing w:val="1"/>
        </w:rPr>
        <w:t>BACKGROUND</w:t>
      </w:r>
      <w:r w:rsidR="007341E8" w:rsidRPr="009A2C70">
        <w:rPr>
          <w:rFonts w:ascii="Arial" w:eastAsia="Arial" w:hAnsi="Arial" w:cs="Arial"/>
          <w:spacing w:val="1"/>
        </w:rPr>
        <w:t>:</w:t>
      </w:r>
    </w:p>
    <w:p w:rsidR="00B74E63" w:rsidRPr="009A2C70" w:rsidRDefault="00B74E63"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left="119" w:right="4947"/>
        <w:rPr>
          <w:rFonts w:ascii="Arial" w:eastAsia="Arial" w:hAnsi="Arial" w:cs="Arial"/>
          <w:spacing w:val="1"/>
        </w:rPr>
      </w:pPr>
    </w:p>
    <w:p w:rsidR="00A82973" w:rsidRPr="009A2C70" w:rsidRDefault="00A82973"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r w:rsidRPr="009A2C70">
        <w:rPr>
          <w:rFonts w:ascii="Arial" w:eastAsia="Arial" w:hAnsi="Arial" w:cs="Arial"/>
          <w:spacing w:val="1"/>
        </w:rPr>
        <w:t xml:space="preserve">10 CFR Part 50, “Domestic Licensing of Production and Utilization Facilities,” (Part 50) contains a </w:t>
      </w:r>
      <w:r w:rsidR="002F789C" w:rsidRPr="009A2C70">
        <w:rPr>
          <w:rFonts w:ascii="Arial" w:eastAsia="Arial" w:hAnsi="Arial" w:cs="Arial"/>
          <w:spacing w:val="1"/>
        </w:rPr>
        <w:t>two-step</w:t>
      </w:r>
      <w:r w:rsidRPr="009A2C70">
        <w:rPr>
          <w:rFonts w:ascii="Arial" w:eastAsia="Arial" w:hAnsi="Arial" w:cs="Arial"/>
          <w:spacing w:val="1"/>
        </w:rPr>
        <w:t xml:space="preserve"> licensing approach.  In this approach, a </w:t>
      </w:r>
      <w:r w:rsidR="00C15603" w:rsidRPr="009A2C70">
        <w:rPr>
          <w:rFonts w:ascii="Arial" w:eastAsia="Arial" w:hAnsi="Arial" w:cs="Arial"/>
          <w:spacing w:val="1"/>
        </w:rPr>
        <w:t>c</w:t>
      </w:r>
      <w:r w:rsidRPr="009A2C70">
        <w:rPr>
          <w:rFonts w:ascii="Arial" w:eastAsia="Arial" w:hAnsi="Arial" w:cs="Arial"/>
          <w:spacing w:val="1"/>
        </w:rPr>
        <w:t xml:space="preserve">onstruction </w:t>
      </w:r>
      <w:r w:rsidR="00C15603" w:rsidRPr="009A2C70">
        <w:rPr>
          <w:rFonts w:ascii="Arial" w:eastAsia="Arial" w:hAnsi="Arial" w:cs="Arial"/>
          <w:spacing w:val="1"/>
        </w:rPr>
        <w:t>p</w:t>
      </w:r>
      <w:r w:rsidRPr="009A2C70">
        <w:rPr>
          <w:rFonts w:ascii="Arial" w:eastAsia="Arial" w:hAnsi="Arial" w:cs="Arial"/>
          <w:spacing w:val="1"/>
        </w:rPr>
        <w:t>ermit is issued to allow construction of a reactor</w:t>
      </w:r>
      <w:r w:rsidR="00CC0797" w:rsidRPr="009A2C70">
        <w:rPr>
          <w:rFonts w:ascii="Arial" w:eastAsia="Arial" w:hAnsi="Arial" w:cs="Arial"/>
          <w:spacing w:val="1"/>
        </w:rPr>
        <w:t>;</w:t>
      </w:r>
      <w:r w:rsidR="00C15603" w:rsidRPr="009A2C70">
        <w:rPr>
          <w:rFonts w:ascii="Arial" w:eastAsia="Arial" w:hAnsi="Arial" w:cs="Arial"/>
          <w:spacing w:val="1"/>
        </w:rPr>
        <w:t xml:space="preserve"> an operating l</w:t>
      </w:r>
      <w:r w:rsidRPr="009A2C70">
        <w:rPr>
          <w:rFonts w:ascii="Arial" w:eastAsia="Arial" w:hAnsi="Arial" w:cs="Arial"/>
          <w:spacing w:val="1"/>
        </w:rPr>
        <w:t xml:space="preserve">icense must be issued before </w:t>
      </w:r>
      <w:r w:rsidR="00615A28" w:rsidRPr="009A2C70">
        <w:rPr>
          <w:rFonts w:ascii="Arial" w:eastAsia="Arial" w:hAnsi="Arial" w:cs="Arial"/>
          <w:spacing w:val="1"/>
        </w:rPr>
        <w:t>full power operation can commence.</w:t>
      </w:r>
      <w:r w:rsidRPr="009A2C70">
        <w:rPr>
          <w:rFonts w:ascii="Arial" w:eastAsia="Arial" w:hAnsi="Arial" w:cs="Arial"/>
          <w:spacing w:val="1"/>
        </w:rPr>
        <w:t xml:space="preserve"> </w:t>
      </w:r>
      <w:r w:rsidR="00615A28" w:rsidRPr="009A2C70">
        <w:rPr>
          <w:rFonts w:ascii="Arial" w:eastAsia="Arial" w:hAnsi="Arial" w:cs="Arial"/>
          <w:spacing w:val="1"/>
        </w:rPr>
        <w:t>The</w:t>
      </w:r>
      <w:r w:rsidR="00CC0797" w:rsidRPr="009A2C70">
        <w:rPr>
          <w:rFonts w:ascii="Arial" w:eastAsia="Arial" w:hAnsi="Arial" w:cs="Arial"/>
          <w:spacing w:val="1"/>
        </w:rPr>
        <w:t xml:space="preserve"> NRC</w:t>
      </w:r>
      <w:r w:rsidR="00615A28" w:rsidRPr="009A2C70">
        <w:rPr>
          <w:rFonts w:ascii="Arial" w:eastAsia="Arial" w:hAnsi="Arial" w:cs="Arial"/>
          <w:spacing w:val="1"/>
        </w:rPr>
        <w:t xml:space="preserve"> findings that must be made before a Part 50</w:t>
      </w:r>
      <w:r w:rsidR="00C15603" w:rsidRPr="009A2C70">
        <w:rPr>
          <w:rFonts w:ascii="Arial" w:eastAsia="Arial" w:hAnsi="Arial" w:cs="Arial"/>
          <w:spacing w:val="1"/>
        </w:rPr>
        <w:t xml:space="preserve"> operating l</w:t>
      </w:r>
      <w:r w:rsidR="00615A28" w:rsidRPr="009A2C70">
        <w:rPr>
          <w:rFonts w:ascii="Arial" w:eastAsia="Arial" w:hAnsi="Arial" w:cs="Arial"/>
          <w:spacing w:val="1"/>
        </w:rPr>
        <w:t xml:space="preserve">icense can be issued are identified in </w:t>
      </w:r>
      <w:r w:rsidRPr="009A2C70">
        <w:rPr>
          <w:rFonts w:ascii="Arial" w:eastAsia="Arial" w:hAnsi="Arial" w:cs="Arial"/>
          <w:spacing w:val="1"/>
        </w:rPr>
        <w:t>10 CFR 50.57, “</w:t>
      </w:r>
      <w:r w:rsidR="00615A28" w:rsidRPr="009A2C70">
        <w:rPr>
          <w:rFonts w:ascii="Arial" w:eastAsia="Arial" w:hAnsi="Arial" w:cs="Arial"/>
          <w:spacing w:val="1"/>
        </w:rPr>
        <w:t>Issuance of operating license.</w:t>
      </w:r>
      <w:r w:rsidRPr="009A2C70">
        <w:rPr>
          <w:rFonts w:ascii="Arial" w:eastAsia="Arial" w:hAnsi="Arial" w:cs="Arial"/>
          <w:spacing w:val="1"/>
        </w:rPr>
        <w:t>”</w:t>
      </w:r>
      <w:r w:rsidR="00615A28" w:rsidRPr="009A2C70">
        <w:rPr>
          <w:rFonts w:ascii="Arial" w:eastAsia="Arial" w:hAnsi="Arial" w:cs="Arial"/>
          <w:spacing w:val="1"/>
        </w:rPr>
        <w:t xml:space="preserve">  </w:t>
      </w:r>
      <w:r w:rsidR="00C15603" w:rsidRPr="009A2C70">
        <w:rPr>
          <w:rFonts w:ascii="Arial" w:eastAsia="Arial" w:hAnsi="Arial" w:cs="Arial"/>
          <w:spacing w:val="1"/>
        </w:rPr>
        <w:t>The findings include the following: “</w:t>
      </w:r>
      <w:r w:rsidR="003B4FE9" w:rsidRPr="009A2C70">
        <w:rPr>
          <w:rFonts w:ascii="Arial" w:eastAsia="Arial" w:hAnsi="Arial" w:cs="Arial"/>
          <w:spacing w:val="1"/>
        </w:rPr>
        <w:t>(a)</w:t>
      </w:r>
      <w:r w:rsidR="00C15603" w:rsidRPr="009A2C70">
        <w:rPr>
          <w:rFonts w:ascii="Arial" w:eastAsia="Arial" w:hAnsi="Arial" w:cs="Arial"/>
          <w:spacing w:val="1"/>
        </w:rPr>
        <w:t xml:space="preserve">(1) Construction of the facility has been substantially completed, in conformity with the construction permit </w:t>
      </w:r>
      <w:r w:rsidR="00FB49E1">
        <w:rPr>
          <w:rFonts w:ascii="Arial" w:eastAsia="Arial" w:hAnsi="Arial" w:cs="Arial"/>
          <w:spacing w:val="1"/>
        </w:rPr>
        <w:t>and the application as amended…</w:t>
      </w:r>
      <w:r w:rsidR="000A65EE" w:rsidRPr="009A2C70">
        <w:rPr>
          <w:rFonts w:ascii="Arial" w:eastAsia="Arial" w:hAnsi="Arial" w:cs="Arial"/>
          <w:spacing w:val="1"/>
        </w:rPr>
        <w:t>;</w:t>
      </w:r>
      <w:r w:rsidR="00C15603" w:rsidRPr="009A2C70">
        <w:rPr>
          <w:rFonts w:ascii="Arial" w:eastAsia="Arial" w:hAnsi="Arial" w:cs="Arial"/>
          <w:spacing w:val="1"/>
        </w:rPr>
        <w:t>” “</w:t>
      </w:r>
      <w:r w:rsidR="003B4FE9" w:rsidRPr="009A2C70">
        <w:rPr>
          <w:rFonts w:ascii="Arial" w:eastAsia="Arial" w:hAnsi="Arial" w:cs="Arial"/>
          <w:spacing w:val="1"/>
        </w:rPr>
        <w:t>(a)</w:t>
      </w:r>
      <w:r w:rsidR="00C15603" w:rsidRPr="009A2C70">
        <w:rPr>
          <w:rFonts w:ascii="Arial" w:eastAsia="Arial" w:hAnsi="Arial" w:cs="Arial"/>
          <w:spacing w:val="1"/>
        </w:rPr>
        <w:t>(2) the facility will operate in conformity w</w:t>
      </w:r>
      <w:r w:rsidR="00FB49E1">
        <w:rPr>
          <w:rFonts w:ascii="Arial" w:eastAsia="Arial" w:hAnsi="Arial" w:cs="Arial"/>
          <w:spacing w:val="1"/>
        </w:rPr>
        <w:t>ith the application as amended…</w:t>
      </w:r>
      <w:r w:rsidR="000A65EE" w:rsidRPr="009A2C70">
        <w:rPr>
          <w:rFonts w:ascii="Arial" w:eastAsia="Arial" w:hAnsi="Arial" w:cs="Arial"/>
          <w:spacing w:val="1"/>
        </w:rPr>
        <w:t>;</w:t>
      </w:r>
      <w:r w:rsidR="00C15603" w:rsidRPr="009A2C70">
        <w:rPr>
          <w:rFonts w:ascii="Arial" w:eastAsia="Arial" w:hAnsi="Arial" w:cs="Arial"/>
          <w:spacing w:val="1"/>
        </w:rPr>
        <w:t>”</w:t>
      </w:r>
      <w:r w:rsidR="000A65EE" w:rsidRPr="009A2C70">
        <w:rPr>
          <w:rFonts w:ascii="Arial" w:eastAsia="Arial" w:hAnsi="Arial" w:cs="Arial"/>
          <w:spacing w:val="1"/>
        </w:rPr>
        <w:t xml:space="preserve"> and (a)(3)(ii) there is reasonable assurance that facility will be operated in a</w:t>
      </w:r>
      <w:r w:rsidR="00FB49E1">
        <w:rPr>
          <w:rFonts w:ascii="Arial" w:eastAsia="Arial" w:hAnsi="Arial" w:cs="Arial"/>
          <w:spacing w:val="1"/>
        </w:rPr>
        <w:t>ccordance with the regulations…</w:t>
      </w:r>
      <w:r w:rsidR="000A65EE" w:rsidRPr="009A2C70">
        <w:rPr>
          <w:rFonts w:ascii="Arial" w:eastAsia="Arial" w:hAnsi="Arial" w:cs="Arial"/>
          <w:spacing w:val="1"/>
        </w:rPr>
        <w:t>.”</w:t>
      </w:r>
    </w:p>
    <w:p w:rsidR="00A82973" w:rsidRPr="009A2C70" w:rsidRDefault="00A82973"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p>
    <w:p w:rsidR="009C7809" w:rsidRDefault="002F789C"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r w:rsidRPr="009A2C70">
        <w:rPr>
          <w:rFonts w:ascii="Arial" w:eastAsia="Arial" w:hAnsi="Arial" w:cs="Arial"/>
          <w:spacing w:val="1"/>
        </w:rPr>
        <w:t xml:space="preserve">The Regions have historically supported </w:t>
      </w:r>
      <w:r w:rsidR="00E54500" w:rsidRPr="009A2C70">
        <w:rPr>
          <w:rFonts w:ascii="Arial" w:eastAsia="Arial" w:hAnsi="Arial" w:cs="Arial"/>
          <w:spacing w:val="1"/>
        </w:rPr>
        <w:t>NRR</w:t>
      </w:r>
      <w:r w:rsidR="005A6C39">
        <w:rPr>
          <w:rFonts w:ascii="Arial" w:eastAsia="Arial" w:hAnsi="Arial" w:cs="Arial"/>
          <w:spacing w:val="1"/>
        </w:rPr>
        <w:t xml:space="preserve"> by implementing c</w:t>
      </w:r>
      <w:r w:rsidRPr="009A2C70">
        <w:rPr>
          <w:rFonts w:ascii="Arial" w:eastAsia="Arial" w:hAnsi="Arial" w:cs="Arial"/>
          <w:spacing w:val="1"/>
        </w:rPr>
        <w:t xml:space="preserve">onstruction </w:t>
      </w:r>
      <w:r w:rsidR="005A6C39">
        <w:rPr>
          <w:rFonts w:ascii="Arial" w:eastAsia="Arial" w:hAnsi="Arial" w:cs="Arial"/>
          <w:spacing w:val="1"/>
        </w:rPr>
        <w:t>inspection p</w:t>
      </w:r>
      <w:r w:rsidRPr="009A2C70">
        <w:rPr>
          <w:rFonts w:ascii="Arial" w:eastAsia="Arial" w:hAnsi="Arial" w:cs="Arial"/>
          <w:spacing w:val="1"/>
        </w:rPr>
        <w:t xml:space="preserve">rograms.  </w:t>
      </w:r>
      <w:r w:rsidR="00916364" w:rsidRPr="009A2C70">
        <w:rPr>
          <w:rFonts w:ascii="Arial" w:eastAsia="Arial" w:hAnsi="Arial" w:cs="Arial"/>
          <w:spacing w:val="1"/>
        </w:rPr>
        <w:t>T</w:t>
      </w:r>
      <w:r w:rsidRPr="009A2C70">
        <w:rPr>
          <w:rFonts w:ascii="Arial" w:eastAsia="Arial" w:hAnsi="Arial" w:cs="Arial"/>
          <w:spacing w:val="1"/>
        </w:rPr>
        <w:t xml:space="preserve">hese inspections identify issues that require resolution </w:t>
      </w:r>
      <w:r w:rsidR="00CC0797" w:rsidRPr="009A2C70">
        <w:rPr>
          <w:rFonts w:ascii="Arial" w:eastAsia="Arial" w:hAnsi="Arial" w:cs="Arial"/>
          <w:spacing w:val="1"/>
        </w:rPr>
        <w:t xml:space="preserve">and </w:t>
      </w:r>
      <w:r w:rsidR="005A6C39">
        <w:rPr>
          <w:rFonts w:ascii="Arial" w:eastAsia="Arial" w:hAnsi="Arial" w:cs="Arial"/>
          <w:spacing w:val="1"/>
        </w:rPr>
        <w:t>form</w:t>
      </w:r>
      <w:r w:rsidR="00CC0797" w:rsidRPr="009A2C70">
        <w:rPr>
          <w:rFonts w:ascii="Arial" w:eastAsia="Arial" w:hAnsi="Arial" w:cs="Arial"/>
          <w:spacing w:val="1"/>
        </w:rPr>
        <w:t xml:space="preserve"> the basis for making</w:t>
      </w:r>
      <w:r w:rsidR="00916364" w:rsidRPr="009A2C70">
        <w:rPr>
          <w:rFonts w:ascii="Arial" w:eastAsia="Arial" w:hAnsi="Arial" w:cs="Arial"/>
          <w:spacing w:val="1"/>
        </w:rPr>
        <w:t xml:space="preserve"> the findings required by 10 CFR 50.57</w:t>
      </w:r>
      <w:r w:rsidR="003F6A74" w:rsidRPr="009A2C70">
        <w:rPr>
          <w:rFonts w:ascii="Arial" w:eastAsia="Arial" w:hAnsi="Arial" w:cs="Arial"/>
          <w:spacing w:val="1"/>
        </w:rPr>
        <w:t>(a)(1</w:t>
      </w:r>
      <w:r w:rsidR="003B4FE9" w:rsidRPr="009A2C70">
        <w:rPr>
          <w:rFonts w:ascii="Arial" w:eastAsia="Arial" w:hAnsi="Arial" w:cs="Arial"/>
          <w:spacing w:val="1"/>
        </w:rPr>
        <w:t>)</w:t>
      </w:r>
      <w:r w:rsidR="000A65EE" w:rsidRPr="009A2C70">
        <w:rPr>
          <w:rFonts w:ascii="Arial" w:eastAsia="Arial" w:hAnsi="Arial" w:cs="Arial"/>
          <w:spacing w:val="1"/>
        </w:rPr>
        <w:t>,</w:t>
      </w:r>
      <w:r w:rsidR="003F6A74" w:rsidRPr="009A2C70">
        <w:rPr>
          <w:rFonts w:ascii="Arial" w:eastAsia="Arial" w:hAnsi="Arial" w:cs="Arial"/>
          <w:spacing w:val="1"/>
        </w:rPr>
        <w:t xml:space="preserve"> </w:t>
      </w:r>
      <w:r w:rsidR="003B4FE9" w:rsidRPr="009A2C70">
        <w:rPr>
          <w:rFonts w:ascii="Arial" w:eastAsia="Arial" w:hAnsi="Arial" w:cs="Arial"/>
          <w:spacing w:val="1"/>
        </w:rPr>
        <w:t>50.57(a)(</w:t>
      </w:r>
      <w:r w:rsidR="003F6A74" w:rsidRPr="009A2C70">
        <w:rPr>
          <w:rFonts w:ascii="Arial" w:eastAsia="Arial" w:hAnsi="Arial" w:cs="Arial"/>
          <w:spacing w:val="1"/>
        </w:rPr>
        <w:t>2)</w:t>
      </w:r>
      <w:r w:rsidR="000A65EE" w:rsidRPr="009A2C70">
        <w:rPr>
          <w:rFonts w:ascii="Arial" w:eastAsia="Arial" w:hAnsi="Arial" w:cs="Arial"/>
          <w:spacing w:val="1"/>
        </w:rPr>
        <w:t>, and 50.57(a)</w:t>
      </w:r>
      <w:r w:rsidR="006E0A61">
        <w:rPr>
          <w:rFonts w:ascii="Arial" w:eastAsia="Arial" w:hAnsi="Arial" w:cs="Arial"/>
          <w:spacing w:val="1"/>
        </w:rPr>
        <w:t>(3)</w:t>
      </w:r>
      <w:r w:rsidR="000A65EE" w:rsidRPr="009A2C70">
        <w:rPr>
          <w:rFonts w:ascii="Arial" w:eastAsia="Arial" w:hAnsi="Arial" w:cs="Arial"/>
          <w:spacing w:val="1"/>
        </w:rPr>
        <w:t>(ii)</w:t>
      </w:r>
      <w:r w:rsidRPr="009A2C70">
        <w:rPr>
          <w:rFonts w:ascii="Arial" w:eastAsia="Arial" w:hAnsi="Arial" w:cs="Arial"/>
          <w:spacing w:val="1"/>
        </w:rPr>
        <w:t xml:space="preserve">.  </w:t>
      </w:r>
      <w:r w:rsidR="009C7809" w:rsidRPr="009A2C70">
        <w:rPr>
          <w:rFonts w:ascii="Arial" w:eastAsia="Arial" w:hAnsi="Arial" w:cs="Arial"/>
          <w:spacing w:val="1"/>
        </w:rPr>
        <w:t>Specifically, completion of the inspections identified in Inspection Manual Chapter (IMC) 2512, “Light Water Reactor Inspection Program – Construction Phase,” supports the finding required by 10 CFR 50.57(a)(1).  Completion of the inspections identified in IMC 2513, Appendix A, “Light Water Reactor - Preoperational Testing Phase,” supports the finding required by 10 CFR 50.57(a)(2).  Completion of the inspections identified in IMC 2513, Appendix B, “Light Water Reactor - Operational Preparedness Phase,” supports the finding required by 10 CFR 50.57(a)(3)(ii).</w:t>
      </w:r>
    </w:p>
    <w:p w:rsidR="006E0A61" w:rsidRPr="009A2C70" w:rsidRDefault="006E0A61"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p>
    <w:p w:rsidR="001D2ABB" w:rsidRPr="009A2C70" w:rsidRDefault="005A6C39"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r>
        <w:rPr>
          <w:rFonts w:ascii="Arial" w:eastAsia="Arial" w:hAnsi="Arial" w:cs="Arial"/>
          <w:spacing w:val="1"/>
        </w:rPr>
        <w:t>Previously</w:t>
      </w:r>
      <w:r w:rsidR="002F789C" w:rsidRPr="009A2C70">
        <w:rPr>
          <w:rFonts w:ascii="Arial" w:eastAsia="Arial" w:hAnsi="Arial" w:cs="Arial"/>
          <w:spacing w:val="1"/>
        </w:rPr>
        <w:t>, the Region</w:t>
      </w:r>
      <w:r w:rsidR="006E0A61">
        <w:rPr>
          <w:rFonts w:ascii="Arial" w:eastAsia="Arial" w:hAnsi="Arial" w:cs="Arial"/>
          <w:spacing w:val="1"/>
        </w:rPr>
        <w:t>s</w:t>
      </w:r>
      <w:r w:rsidR="002F789C" w:rsidRPr="009A2C70">
        <w:rPr>
          <w:rFonts w:ascii="Arial" w:eastAsia="Arial" w:hAnsi="Arial" w:cs="Arial"/>
          <w:spacing w:val="1"/>
        </w:rPr>
        <w:t xml:space="preserve"> </w:t>
      </w:r>
      <w:r w:rsidR="00916364" w:rsidRPr="009A2C70">
        <w:rPr>
          <w:rFonts w:ascii="Arial" w:eastAsia="Arial" w:hAnsi="Arial" w:cs="Arial"/>
          <w:spacing w:val="1"/>
        </w:rPr>
        <w:t>used</w:t>
      </w:r>
      <w:r w:rsidR="002F789C" w:rsidRPr="009A2C70">
        <w:rPr>
          <w:rFonts w:ascii="Arial" w:eastAsia="Arial" w:hAnsi="Arial" w:cs="Arial"/>
          <w:spacing w:val="1"/>
        </w:rPr>
        <w:t xml:space="preserve"> IP 94300, “Status of Plant Readiness for an Operating Licensee,” to </w:t>
      </w:r>
      <w:r>
        <w:rPr>
          <w:rFonts w:ascii="Arial" w:eastAsia="Arial" w:hAnsi="Arial" w:cs="Arial"/>
          <w:spacing w:val="1"/>
        </w:rPr>
        <w:t>inform</w:t>
      </w:r>
      <w:r w:rsidR="002F789C" w:rsidRPr="009A2C70">
        <w:rPr>
          <w:rFonts w:ascii="Arial" w:eastAsia="Arial" w:hAnsi="Arial" w:cs="Arial"/>
          <w:spacing w:val="1"/>
        </w:rPr>
        <w:t xml:space="preserve"> NRR</w:t>
      </w:r>
      <w:r w:rsidR="00CC0797" w:rsidRPr="009A2C70">
        <w:rPr>
          <w:rFonts w:ascii="Arial" w:eastAsia="Arial" w:hAnsi="Arial" w:cs="Arial"/>
          <w:spacing w:val="1"/>
        </w:rPr>
        <w:t xml:space="preserve"> about a plant’s operating readiness following the construction phase</w:t>
      </w:r>
      <w:r w:rsidR="006E0A61">
        <w:rPr>
          <w:rFonts w:ascii="Arial" w:eastAsia="Arial" w:hAnsi="Arial" w:cs="Arial"/>
          <w:spacing w:val="1"/>
        </w:rPr>
        <w:t>.  Under IP 94300, a</w:t>
      </w:r>
      <w:r w:rsidR="002F789C" w:rsidRPr="009A2C70">
        <w:rPr>
          <w:rFonts w:ascii="Arial" w:eastAsia="Arial" w:hAnsi="Arial" w:cs="Arial"/>
          <w:spacing w:val="1"/>
        </w:rPr>
        <w:t xml:space="preserve"> Region provided a series of</w:t>
      </w:r>
      <w:r>
        <w:rPr>
          <w:rFonts w:ascii="Arial" w:eastAsia="Arial" w:hAnsi="Arial" w:cs="Arial"/>
          <w:spacing w:val="1"/>
        </w:rPr>
        <w:t xml:space="preserve"> memoranda to document</w:t>
      </w:r>
      <w:r w:rsidR="002F789C" w:rsidRPr="009A2C70">
        <w:rPr>
          <w:rFonts w:ascii="Arial" w:eastAsia="Arial" w:hAnsi="Arial" w:cs="Arial"/>
          <w:spacing w:val="1"/>
        </w:rPr>
        <w:t xml:space="preserve"> the status of open construction items</w:t>
      </w:r>
      <w:r>
        <w:rPr>
          <w:rFonts w:ascii="Arial" w:eastAsia="Arial" w:hAnsi="Arial" w:cs="Arial"/>
          <w:spacing w:val="1"/>
        </w:rPr>
        <w:t xml:space="preserve">. </w:t>
      </w:r>
      <w:r w:rsidR="002F789C" w:rsidRPr="009A2C70">
        <w:rPr>
          <w:rFonts w:ascii="Arial" w:eastAsia="Arial" w:hAnsi="Arial" w:cs="Arial"/>
          <w:spacing w:val="1"/>
        </w:rPr>
        <w:t xml:space="preserve"> </w:t>
      </w:r>
      <w:r>
        <w:rPr>
          <w:rFonts w:ascii="Arial" w:eastAsia="Arial" w:hAnsi="Arial" w:cs="Arial"/>
          <w:spacing w:val="1"/>
        </w:rPr>
        <w:t>A</w:t>
      </w:r>
      <w:r w:rsidR="002F789C" w:rsidRPr="009A2C70">
        <w:rPr>
          <w:rFonts w:ascii="Arial" w:eastAsia="Arial" w:hAnsi="Arial" w:cs="Arial"/>
          <w:spacing w:val="1"/>
        </w:rPr>
        <w:t xml:space="preserve"> fina</w:t>
      </w:r>
      <w:r w:rsidR="00916364" w:rsidRPr="009A2C70">
        <w:rPr>
          <w:rFonts w:ascii="Arial" w:eastAsia="Arial" w:hAnsi="Arial" w:cs="Arial"/>
          <w:spacing w:val="1"/>
        </w:rPr>
        <w:t>l</w:t>
      </w:r>
      <w:r w:rsidR="002F789C" w:rsidRPr="009A2C70">
        <w:rPr>
          <w:rFonts w:ascii="Arial" w:eastAsia="Arial" w:hAnsi="Arial" w:cs="Arial"/>
          <w:spacing w:val="1"/>
        </w:rPr>
        <w:t xml:space="preserve"> </w:t>
      </w:r>
      <w:r>
        <w:rPr>
          <w:rFonts w:ascii="Arial" w:eastAsia="Arial" w:hAnsi="Arial" w:cs="Arial"/>
          <w:spacing w:val="1"/>
        </w:rPr>
        <w:t>memorandum</w:t>
      </w:r>
      <w:r w:rsidR="002F789C" w:rsidRPr="009A2C70">
        <w:rPr>
          <w:rFonts w:ascii="Arial" w:eastAsia="Arial" w:hAnsi="Arial" w:cs="Arial"/>
          <w:spacing w:val="1"/>
        </w:rPr>
        <w:t xml:space="preserve"> </w:t>
      </w:r>
      <w:r>
        <w:rPr>
          <w:rFonts w:ascii="Arial" w:eastAsia="Arial" w:hAnsi="Arial" w:cs="Arial"/>
          <w:spacing w:val="1"/>
        </w:rPr>
        <w:t>would be issued to indicate</w:t>
      </w:r>
      <w:r w:rsidR="002F789C" w:rsidRPr="009A2C70">
        <w:rPr>
          <w:rFonts w:ascii="Arial" w:eastAsia="Arial" w:hAnsi="Arial" w:cs="Arial"/>
          <w:spacing w:val="1"/>
        </w:rPr>
        <w:t xml:space="preserve"> the Region had substantially completed the required inspections and that the inspections results supported the </w:t>
      </w:r>
      <w:r w:rsidR="000A65EE" w:rsidRPr="009A2C70">
        <w:rPr>
          <w:rFonts w:ascii="Arial" w:eastAsia="Arial" w:hAnsi="Arial" w:cs="Arial"/>
          <w:spacing w:val="1"/>
        </w:rPr>
        <w:t xml:space="preserve">three </w:t>
      </w:r>
      <w:r w:rsidR="002F789C" w:rsidRPr="009A2C70">
        <w:rPr>
          <w:rFonts w:ascii="Arial" w:eastAsia="Arial" w:hAnsi="Arial" w:cs="Arial"/>
          <w:spacing w:val="1"/>
        </w:rPr>
        <w:t>10 CFR 50.57 findings described above.</w:t>
      </w:r>
    </w:p>
    <w:p w:rsidR="001D2ABB" w:rsidRPr="009A2C70" w:rsidRDefault="001D2ABB"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p>
    <w:p w:rsidR="00CE5DD4" w:rsidRDefault="006204C0"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sectPr w:rsidR="00CE5DD4" w:rsidSect="00CE5DD4">
          <w:footerReference w:type="default" r:id="rId9"/>
          <w:pgSz w:w="12240" w:h="15840" w:code="1"/>
          <w:pgMar w:top="1440" w:right="1440" w:bottom="1440" w:left="1440" w:header="1440" w:footer="1440" w:gutter="0"/>
          <w:cols w:space="720"/>
          <w:docGrid w:linePitch="299"/>
        </w:sectPr>
      </w:pPr>
      <w:r w:rsidRPr="009A2C70">
        <w:rPr>
          <w:rFonts w:ascii="Arial" w:eastAsia="Arial" w:hAnsi="Arial" w:cs="Arial"/>
          <w:spacing w:val="1"/>
        </w:rPr>
        <w:t>As described in IMC 2517, “</w:t>
      </w:r>
      <w:r w:rsidR="00EB7508" w:rsidRPr="009A2C70">
        <w:rPr>
          <w:rFonts w:ascii="Arial" w:eastAsia="Arial" w:hAnsi="Arial" w:cs="Arial"/>
          <w:spacing w:val="1"/>
        </w:rPr>
        <w:t>Watts Bar Unit 2 Construction Inspection Program</w:t>
      </w:r>
      <w:r w:rsidRPr="009A2C70">
        <w:rPr>
          <w:rFonts w:ascii="Arial" w:eastAsia="Arial" w:hAnsi="Arial" w:cs="Arial"/>
          <w:spacing w:val="1"/>
        </w:rPr>
        <w:t>,” the NRC established a Watts Bar Reactivation Assessment Group (WRAG) consisting of participants from NRR and Region II.  The WRAG</w:t>
      </w:r>
      <w:r w:rsidR="00916364" w:rsidRPr="009A2C70">
        <w:rPr>
          <w:rFonts w:ascii="Arial" w:eastAsia="Arial" w:hAnsi="Arial" w:cs="Arial"/>
          <w:spacing w:val="1"/>
        </w:rPr>
        <w:t>’s</w:t>
      </w:r>
      <w:r w:rsidRPr="009A2C70">
        <w:rPr>
          <w:rFonts w:ascii="Arial" w:eastAsia="Arial" w:hAnsi="Arial" w:cs="Arial"/>
          <w:spacing w:val="1"/>
        </w:rPr>
        <w:t xml:space="preserve"> responsibility </w:t>
      </w:r>
      <w:r w:rsidR="00916364" w:rsidRPr="009A2C70">
        <w:rPr>
          <w:rFonts w:ascii="Arial" w:eastAsia="Arial" w:hAnsi="Arial" w:cs="Arial"/>
          <w:spacing w:val="1"/>
        </w:rPr>
        <w:t xml:space="preserve">is </w:t>
      </w:r>
      <w:r w:rsidRPr="009A2C70">
        <w:rPr>
          <w:rFonts w:ascii="Arial" w:eastAsia="Arial" w:hAnsi="Arial" w:cs="Arial"/>
          <w:spacing w:val="1"/>
        </w:rPr>
        <w:t>to oversee project completion</w:t>
      </w:r>
      <w:r w:rsidR="00916364" w:rsidRPr="009A2C70">
        <w:rPr>
          <w:rFonts w:ascii="Arial" w:eastAsia="Arial" w:hAnsi="Arial" w:cs="Arial"/>
          <w:spacing w:val="1"/>
        </w:rPr>
        <w:t>,</w:t>
      </w:r>
      <w:r w:rsidRPr="009A2C70">
        <w:rPr>
          <w:rFonts w:ascii="Arial" w:eastAsia="Arial" w:hAnsi="Arial" w:cs="Arial"/>
          <w:spacing w:val="1"/>
        </w:rPr>
        <w:t xml:space="preserve"> serve as the focal point for status of the project</w:t>
      </w:r>
      <w:r w:rsidR="00916364" w:rsidRPr="009A2C70">
        <w:rPr>
          <w:rFonts w:ascii="Arial" w:eastAsia="Arial" w:hAnsi="Arial" w:cs="Arial"/>
          <w:spacing w:val="1"/>
        </w:rPr>
        <w:t>,</w:t>
      </w:r>
      <w:r w:rsidRPr="009A2C70">
        <w:rPr>
          <w:rFonts w:ascii="Arial" w:eastAsia="Arial" w:hAnsi="Arial" w:cs="Arial"/>
          <w:spacing w:val="1"/>
        </w:rPr>
        <w:t xml:space="preserve"> and coordina</w:t>
      </w:r>
      <w:r w:rsidR="00916364" w:rsidRPr="009A2C70">
        <w:rPr>
          <w:rFonts w:ascii="Arial" w:eastAsia="Arial" w:hAnsi="Arial" w:cs="Arial"/>
          <w:spacing w:val="1"/>
        </w:rPr>
        <w:t>te</w:t>
      </w:r>
      <w:r w:rsidRPr="009A2C70">
        <w:rPr>
          <w:rFonts w:ascii="Arial" w:eastAsia="Arial" w:hAnsi="Arial" w:cs="Arial"/>
          <w:spacing w:val="1"/>
        </w:rPr>
        <w:t xml:space="preserve"> between the Region and Headquarters.</w:t>
      </w:r>
      <w:r w:rsidR="000A65EE" w:rsidRPr="009A2C70">
        <w:rPr>
          <w:rFonts w:ascii="Arial" w:eastAsia="Arial" w:hAnsi="Arial" w:cs="Arial"/>
          <w:spacing w:val="1"/>
        </w:rPr>
        <w:t xml:space="preserve">  The WRAG assess</w:t>
      </w:r>
      <w:r w:rsidR="009A0391" w:rsidRPr="009A2C70">
        <w:rPr>
          <w:rFonts w:ascii="Arial" w:eastAsia="Arial" w:hAnsi="Arial" w:cs="Arial"/>
          <w:spacing w:val="1"/>
        </w:rPr>
        <w:t>es emergent issues and identifies</w:t>
      </w:r>
      <w:r w:rsidR="000A65EE" w:rsidRPr="009A2C70">
        <w:rPr>
          <w:rFonts w:ascii="Arial" w:eastAsia="Arial" w:hAnsi="Arial" w:cs="Arial"/>
          <w:spacing w:val="1"/>
        </w:rPr>
        <w:t xml:space="preserve"> to Region</w:t>
      </w:r>
      <w:r w:rsidR="000B5CDD" w:rsidRPr="009A2C70">
        <w:rPr>
          <w:rFonts w:ascii="Arial" w:eastAsia="Arial" w:hAnsi="Arial" w:cs="Arial"/>
          <w:spacing w:val="1"/>
        </w:rPr>
        <w:t xml:space="preserve"> II</w:t>
      </w:r>
      <w:r w:rsidR="000A65EE" w:rsidRPr="009A2C70">
        <w:rPr>
          <w:rFonts w:ascii="Arial" w:eastAsia="Arial" w:hAnsi="Arial" w:cs="Arial"/>
          <w:spacing w:val="1"/>
        </w:rPr>
        <w:t xml:space="preserve"> any inspection activities that may be necessary </w:t>
      </w:r>
      <w:r w:rsidR="009A0391" w:rsidRPr="009A2C70">
        <w:rPr>
          <w:rFonts w:ascii="Arial" w:eastAsia="Arial" w:hAnsi="Arial" w:cs="Arial"/>
          <w:spacing w:val="1"/>
        </w:rPr>
        <w:t>to address these new issues.</w:t>
      </w:r>
      <w:r w:rsidR="001D6B4E" w:rsidRPr="009A2C70">
        <w:rPr>
          <w:rFonts w:ascii="Arial" w:eastAsia="Arial" w:hAnsi="Arial" w:cs="Arial"/>
          <w:spacing w:val="1"/>
        </w:rPr>
        <w:t xml:space="preserve">  These additional inspections and </w:t>
      </w:r>
      <w:r w:rsidR="001F3D52" w:rsidRPr="009A2C70">
        <w:rPr>
          <w:rFonts w:ascii="Arial" w:eastAsia="Arial" w:hAnsi="Arial" w:cs="Arial"/>
          <w:spacing w:val="1"/>
        </w:rPr>
        <w:t xml:space="preserve">the </w:t>
      </w:r>
    </w:p>
    <w:p w:rsidR="001F3D52" w:rsidRPr="009A2C70" w:rsidRDefault="001F3D52"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r w:rsidRPr="009A2C70">
        <w:rPr>
          <w:rFonts w:ascii="Arial" w:eastAsia="Arial" w:hAnsi="Arial" w:cs="Arial"/>
          <w:spacing w:val="1"/>
        </w:rPr>
        <w:lastRenderedPageBreak/>
        <w:t xml:space="preserve">inspections identified in </w:t>
      </w:r>
      <w:r w:rsidR="001D6B4E" w:rsidRPr="009A2C70">
        <w:rPr>
          <w:rFonts w:ascii="Arial" w:eastAsia="Arial" w:hAnsi="Arial" w:cs="Arial"/>
          <w:spacing w:val="1"/>
        </w:rPr>
        <w:t xml:space="preserve">the IMC </w:t>
      </w:r>
      <w:r w:rsidRPr="009A2C70">
        <w:rPr>
          <w:rFonts w:ascii="Arial" w:eastAsia="Arial" w:hAnsi="Arial" w:cs="Arial"/>
          <w:spacing w:val="1"/>
        </w:rPr>
        <w:t>2517 inspection scoping processes</w:t>
      </w:r>
      <w:r w:rsidR="001D6B4E" w:rsidRPr="009A2C70">
        <w:rPr>
          <w:rFonts w:ascii="Arial" w:eastAsia="Arial" w:hAnsi="Arial" w:cs="Arial"/>
          <w:spacing w:val="1"/>
        </w:rPr>
        <w:t xml:space="preserve"> are tracked in the “Inspection Planning and Scheduling (IP&amp;S) database</w:t>
      </w:r>
      <w:r w:rsidRPr="009A2C70">
        <w:rPr>
          <w:rFonts w:ascii="Arial" w:eastAsia="Arial" w:hAnsi="Arial" w:cs="Arial"/>
          <w:spacing w:val="1"/>
        </w:rPr>
        <w:t>.</w:t>
      </w:r>
    </w:p>
    <w:p w:rsidR="001F3D52" w:rsidRPr="009A2C70" w:rsidRDefault="001F3D52"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p>
    <w:p w:rsidR="005B47BB" w:rsidRPr="009A2C70" w:rsidRDefault="00EB7508"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r w:rsidRPr="009A2C70">
        <w:rPr>
          <w:rFonts w:ascii="Arial" w:eastAsia="Arial" w:hAnsi="Arial" w:cs="Arial"/>
          <w:spacing w:val="1"/>
        </w:rPr>
        <w:t xml:space="preserve">The WRAG </w:t>
      </w:r>
      <w:r w:rsidR="005A6C39">
        <w:rPr>
          <w:rFonts w:ascii="Arial" w:eastAsia="Arial" w:hAnsi="Arial" w:cs="Arial"/>
          <w:spacing w:val="1"/>
        </w:rPr>
        <w:t>has enabled</w:t>
      </w:r>
      <w:r w:rsidRPr="009A2C70">
        <w:rPr>
          <w:rFonts w:ascii="Arial" w:eastAsia="Arial" w:hAnsi="Arial" w:cs="Arial"/>
          <w:spacing w:val="1"/>
        </w:rPr>
        <w:t xml:space="preserve"> </w:t>
      </w:r>
      <w:r w:rsidR="00C96761" w:rsidRPr="009A2C70">
        <w:rPr>
          <w:rFonts w:ascii="Arial" w:eastAsia="Arial" w:hAnsi="Arial" w:cs="Arial"/>
          <w:spacing w:val="1"/>
        </w:rPr>
        <w:t>frequent</w:t>
      </w:r>
      <w:r w:rsidRPr="009A2C70">
        <w:rPr>
          <w:rFonts w:ascii="Arial" w:eastAsia="Arial" w:hAnsi="Arial" w:cs="Arial"/>
          <w:spacing w:val="1"/>
        </w:rPr>
        <w:t xml:space="preserve"> co</w:t>
      </w:r>
      <w:r w:rsidR="007341E8" w:rsidRPr="009A2C70">
        <w:rPr>
          <w:rFonts w:ascii="Arial" w:eastAsia="Arial" w:hAnsi="Arial" w:cs="Arial"/>
          <w:spacing w:val="1"/>
        </w:rPr>
        <w:t>mmunication</w:t>
      </w:r>
      <w:r w:rsidRPr="009A2C70">
        <w:rPr>
          <w:rFonts w:ascii="Arial" w:eastAsia="Arial" w:hAnsi="Arial" w:cs="Arial"/>
          <w:spacing w:val="1"/>
        </w:rPr>
        <w:t xml:space="preserve"> regarding the </w:t>
      </w:r>
      <w:r w:rsidR="007341E8" w:rsidRPr="009A2C70">
        <w:rPr>
          <w:rFonts w:ascii="Arial" w:eastAsia="Arial" w:hAnsi="Arial" w:cs="Arial"/>
          <w:spacing w:val="1"/>
        </w:rPr>
        <w:t xml:space="preserve">status of </w:t>
      </w:r>
      <w:r w:rsidR="00E54500" w:rsidRPr="009A2C70">
        <w:rPr>
          <w:rFonts w:ascii="Arial" w:eastAsia="Arial" w:hAnsi="Arial" w:cs="Arial"/>
          <w:spacing w:val="1"/>
        </w:rPr>
        <w:t>Watts Bar Nuclear Unit 2</w:t>
      </w:r>
      <w:r w:rsidR="005A6C39">
        <w:rPr>
          <w:rFonts w:ascii="Arial" w:eastAsia="Arial" w:hAnsi="Arial" w:cs="Arial"/>
          <w:spacing w:val="1"/>
        </w:rPr>
        <w:t xml:space="preserve"> (WBN2)</w:t>
      </w:r>
      <w:r w:rsidR="009A0391" w:rsidRPr="009A2C70">
        <w:rPr>
          <w:rFonts w:ascii="Arial" w:eastAsia="Arial" w:hAnsi="Arial" w:cs="Arial"/>
          <w:spacing w:val="1"/>
        </w:rPr>
        <w:t>,</w:t>
      </w:r>
      <w:r w:rsidR="007341E8" w:rsidRPr="009A2C70">
        <w:rPr>
          <w:rFonts w:ascii="Arial" w:eastAsia="Arial" w:hAnsi="Arial" w:cs="Arial"/>
          <w:spacing w:val="1"/>
        </w:rPr>
        <w:t xml:space="preserve"> and</w:t>
      </w:r>
      <w:r w:rsidRPr="009A2C70">
        <w:rPr>
          <w:rFonts w:ascii="Arial" w:eastAsia="Arial" w:hAnsi="Arial" w:cs="Arial"/>
          <w:spacing w:val="1"/>
        </w:rPr>
        <w:t xml:space="preserve"> has eliminated the need for </w:t>
      </w:r>
      <w:r w:rsidR="005A6C39">
        <w:rPr>
          <w:rFonts w:ascii="Arial" w:eastAsia="Arial" w:hAnsi="Arial" w:cs="Arial"/>
          <w:spacing w:val="1"/>
        </w:rPr>
        <w:t>the</w:t>
      </w:r>
      <w:r w:rsidRPr="009A2C70">
        <w:rPr>
          <w:rFonts w:ascii="Arial" w:eastAsia="Arial" w:hAnsi="Arial" w:cs="Arial"/>
          <w:spacing w:val="1"/>
        </w:rPr>
        <w:t xml:space="preserve"> IP 94300 90-day status report and subsequent status report updates.  </w:t>
      </w:r>
      <w:r w:rsidR="006E0A61">
        <w:rPr>
          <w:rFonts w:ascii="Arial" w:eastAsia="Arial" w:hAnsi="Arial" w:cs="Arial"/>
          <w:spacing w:val="1"/>
        </w:rPr>
        <w:t>IP 94302</w:t>
      </w:r>
      <w:r w:rsidR="001D2ABB" w:rsidRPr="009A2C70">
        <w:rPr>
          <w:rFonts w:ascii="Arial" w:eastAsia="Arial" w:hAnsi="Arial" w:cs="Arial"/>
          <w:spacing w:val="1"/>
        </w:rPr>
        <w:t xml:space="preserve"> was written </w:t>
      </w:r>
      <w:r w:rsidR="006E0A61" w:rsidRPr="009A2C70">
        <w:rPr>
          <w:rFonts w:ascii="Arial" w:eastAsia="Arial" w:hAnsi="Arial" w:cs="Arial"/>
          <w:spacing w:val="1"/>
        </w:rPr>
        <w:t>specific</w:t>
      </w:r>
      <w:r w:rsidR="006E0A61">
        <w:rPr>
          <w:rFonts w:ascii="Arial" w:eastAsia="Arial" w:hAnsi="Arial" w:cs="Arial"/>
          <w:spacing w:val="1"/>
        </w:rPr>
        <w:t>ally</w:t>
      </w:r>
      <w:r w:rsidR="001D2ABB" w:rsidRPr="009A2C70">
        <w:rPr>
          <w:rFonts w:ascii="Arial" w:eastAsia="Arial" w:hAnsi="Arial" w:cs="Arial"/>
          <w:spacing w:val="1"/>
        </w:rPr>
        <w:t xml:space="preserve"> for </w:t>
      </w:r>
      <w:r w:rsidR="005A6C39">
        <w:rPr>
          <w:rFonts w:ascii="Arial" w:eastAsia="Arial" w:hAnsi="Arial" w:cs="Arial"/>
          <w:spacing w:val="1"/>
        </w:rPr>
        <w:t>WBN2</w:t>
      </w:r>
      <w:r w:rsidR="001D2ABB" w:rsidRPr="009A2C70">
        <w:rPr>
          <w:rFonts w:ascii="Arial" w:eastAsia="Arial" w:hAnsi="Arial" w:cs="Arial"/>
          <w:spacing w:val="1"/>
        </w:rPr>
        <w:t xml:space="preserve"> and </w:t>
      </w:r>
      <w:r w:rsidR="00916364" w:rsidRPr="009A2C70">
        <w:rPr>
          <w:rFonts w:ascii="Arial" w:eastAsia="Arial" w:hAnsi="Arial" w:cs="Arial"/>
          <w:spacing w:val="1"/>
        </w:rPr>
        <w:t>will</w:t>
      </w:r>
      <w:r w:rsidR="001D2ABB" w:rsidRPr="009A2C70">
        <w:rPr>
          <w:rFonts w:ascii="Arial" w:eastAsia="Arial" w:hAnsi="Arial" w:cs="Arial"/>
          <w:spacing w:val="1"/>
        </w:rPr>
        <w:t xml:space="preserve"> be used in lieu of IP 94300.  </w:t>
      </w:r>
      <w:r w:rsidRPr="009A2C70">
        <w:rPr>
          <w:rFonts w:ascii="Arial" w:eastAsia="Arial" w:hAnsi="Arial" w:cs="Arial"/>
          <w:spacing w:val="1"/>
        </w:rPr>
        <w:t>IP 9430</w:t>
      </w:r>
      <w:r w:rsidR="006E0A61">
        <w:rPr>
          <w:rFonts w:ascii="Arial" w:eastAsia="Arial" w:hAnsi="Arial" w:cs="Arial"/>
          <w:spacing w:val="1"/>
        </w:rPr>
        <w:t>2</w:t>
      </w:r>
      <w:r w:rsidR="007341E8" w:rsidRPr="009A2C70">
        <w:rPr>
          <w:rFonts w:ascii="Arial" w:eastAsia="Arial" w:hAnsi="Arial" w:cs="Arial"/>
          <w:spacing w:val="1"/>
        </w:rPr>
        <w:t xml:space="preserve"> provides updated guidance</w:t>
      </w:r>
      <w:r w:rsidR="005A6C39">
        <w:rPr>
          <w:rFonts w:ascii="Arial" w:eastAsia="Arial" w:hAnsi="Arial" w:cs="Arial"/>
          <w:spacing w:val="1"/>
        </w:rPr>
        <w:t xml:space="preserve"> to support</w:t>
      </w:r>
      <w:r w:rsidR="007341E8" w:rsidRPr="009A2C70">
        <w:rPr>
          <w:rFonts w:ascii="Arial" w:eastAsia="Arial" w:hAnsi="Arial" w:cs="Arial"/>
          <w:spacing w:val="1"/>
        </w:rPr>
        <w:t xml:space="preserve"> reporting the status of WB</w:t>
      </w:r>
      <w:r w:rsidR="00424B85" w:rsidRPr="009A2C70">
        <w:rPr>
          <w:rFonts w:ascii="Arial" w:eastAsia="Arial" w:hAnsi="Arial" w:cs="Arial"/>
          <w:spacing w:val="1"/>
        </w:rPr>
        <w:t>N2</w:t>
      </w:r>
      <w:r w:rsidR="007341E8" w:rsidRPr="009A2C70">
        <w:rPr>
          <w:rFonts w:ascii="Arial" w:eastAsia="Arial" w:hAnsi="Arial" w:cs="Arial"/>
          <w:spacing w:val="1"/>
        </w:rPr>
        <w:t xml:space="preserve"> readiness for an operating license.</w:t>
      </w:r>
    </w:p>
    <w:p w:rsidR="005B47BB" w:rsidRPr="009A2C70" w:rsidRDefault="005B47BB"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30"/>
        <w:rPr>
          <w:rFonts w:ascii="Arial" w:eastAsia="Arial" w:hAnsi="Arial" w:cs="Arial"/>
          <w:spacing w:val="1"/>
        </w:rPr>
      </w:pPr>
    </w:p>
    <w:p w:rsidR="007F7F4A" w:rsidRPr="009A2C70" w:rsidRDefault="001231D0"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 w:after="0" w:line="240" w:lineRule="auto"/>
        <w:ind w:right="4947"/>
        <w:rPr>
          <w:rFonts w:ascii="Arial" w:eastAsia="Arial" w:hAnsi="Arial" w:cs="Arial"/>
        </w:rPr>
      </w:pPr>
      <w:r w:rsidRPr="009A2C70">
        <w:rPr>
          <w:rFonts w:ascii="Arial" w:eastAsia="Arial" w:hAnsi="Arial" w:cs="Arial"/>
          <w:spacing w:val="1"/>
        </w:rPr>
        <w:t>9430</w:t>
      </w:r>
      <w:r w:rsidR="006E0A61">
        <w:rPr>
          <w:rFonts w:ascii="Arial" w:eastAsia="Arial" w:hAnsi="Arial" w:cs="Arial"/>
          <w:spacing w:val="1"/>
        </w:rPr>
        <w:t>2</w:t>
      </w:r>
      <w:r w:rsidR="004B611E" w:rsidRPr="009A2C70">
        <w:rPr>
          <w:rFonts w:ascii="Arial" w:eastAsia="Arial" w:hAnsi="Arial" w:cs="Arial"/>
          <w:spacing w:val="-1"/>
        </w:rPr>
        <w:t>-</w:t>
      </w:r>
      <w:r w:rsidR="004B611E" w:rsidRPr="009A2C70">
        <w:rPr>
          <w:rFonts w:ascii="Arial" w:eastAsia="Arial" w:hAnsi="Arial" w:cs="Arial"/>
          <w:spacing w:val="1"/>
        </w:rPr>
        <w:t>0</w:t>
      </w:r>
      <w:r w:rsidR="004B611E" w:rsidRPr="009A2C70">
        <w:rPr>
          <w:rFonts w:ascii="Arial" w:eastAsia="Arial" w:hAnsi="Arial" w:cs="Arial"/>
        </w:rPr>
        <w:t xml:space="preserve">1     </w:t>
      </w:r>
      <w:r w:rsidR="004B611E" w:rsidRPr="009A2C70">
        <w:rPr>
          <w:rFonts w:ascii="Arial" w:eastAsia="Arial" w:hAnsi="Arial" w:cs="Arial"/>
          <w:spacing w:val="20"/>
        </w:rPr>
        <w:t xml:space="preserve"> </w:t>
      </w:r>
      <w:r w:rsidR="004B611E" w:rsidRPr="009A2C70">
        <w:rPr>
          <w:rFonts w:ascii="Arial" w:eastAsia="Arial" w:hAnsi="Arial" w:cs="Arial"/>
          <w:spacing w:val="1"/>
        </w:rPr>
        <w:t>I</w:t>
      </w:r>
      <w:r w:rsidR="004B611E" w:rsidRPr="009A2C70">
        <w:rPr>
          <w:rFonts w:ascii="Arial" w:eastAsia="Arial" w:hAnsi="Arial" w:cs="Arial"/>
          <w:spacing w:val="-1"/>
        </w:rPr>
        <w:t>N</w:t>
      </w:r>
      <w:r w:rsidR="004B611E" w:rsidRPr="009A2C70">
        <w:rPr>
          <w:rFonts w:ascii="Arial" w:eastAsia="Arial" w:hAnsi="Arial" w:cs="Arial"/>
          <w:spacing w:val="1"/>
        </w:rPr>
        <w:t>SPE</w:t>
      </w:r>
      <w:r w:rsidR="004B611E" w:rsidRPr="009A2C70">
        <w:rPr>
          <w:rFonts w:ascii="Arial" w:eastAsia="Arial" w:hAnsi="Arial" w:cs="Arial"/>
          <w:spacing w:val="-1"/>
        </w:rPr>
        <w:t>C</w:t>
      </w:r>
      <w:r w:rsidR="004B611E" w:rsidRPr="009A2C70">
        <w:rPr>
          <w:rFonts w:ascii="Arial" w:eastAsia="Arial" w:hAnsi="Arial" w:cs="Arial"/>
          <w:spacing w:val="2"/>
        </w:rPr>
        <w:t>T</w:t>
      </w:r>
      <w:r w:rsidR="004B611E" w:rsidRPr="009A2C70">
        <w:rPr>
          <w:rFonts w:ascii="Arial" w:eastAsia="Arial" w:hAnsi="Arial" w:cs="Arial"/>
          <w:spacing w:val="1"/>
        </w:rPr>
        <w:t>IO</w:t>
      </w:r>
      <w:r w:rsidR="004B611E" w:rsidRPr="009A2C70">
        <w:rPr>
          <w:rFonts w:ascii="Arial" w:eastAsia="Arial" w:hAnsi="Arial" w:cs="Arial"/>
        </w:rPr>
        <w:t>N</w:t>
      </w:r>
      <w:r w:rsidR="004B611E" w:rsidRPr="009A2C70">
        <w:rPr>
          <w:rFonts w:ascii="Arial" w:eastAsia="Arial" w:hAnsi="Arial" w:cs="Arial"/>
          <w:spacing w:val="-6"/>
        </w:rPr>
        <w:t xml:space="preserve"> </w:t>
      </w:r>
      <w:r w:rsidR="004B611E" w:rsidRPr="009A2C70">
        <w:rPr>
          <w:rFonts w:ascii="Arial" w:eastAsia="Arial" w:hAnsi="Arial" w:cs="Arial"/>
          <w:spacing w:val="1"/>
        </w:rPr>
        <w:t>OBJE</w:t>
      </w:r>
      <w:r w:rsidR="004B611E" w:rsidRPr="009A2C70">
        <w:rPr>
          <w:rFonts w:ascii="Arial" w:eastAsia="Arial" w:hAnsi="Arial" w:cs="Arial"/>
          <w:spacing w:val="-1"/>
        </w:rPr>
        <w:t>C</w:t>
      </w:r>
      <w:r w:rsidR="004B611E" w:rsidRPr="009A2C70">
        <w:rPr>
          <w:rFonts w:ascii="Arial" w:eastAsia="Arial" w:hAnsi="Arial" w:cs="Arial"/>
          <w:spacing w:val="2"/>
        </w:rPr>
        <w:t>T</w:t>
      </w:r>
      <w:r w:rsidR="004B611E" w:rsidRPr="009A2C70">
        <w:rPr>
          <w:rFonts w:ascii="Arial" w:eastAsia="Arial" w:hAnsi="Arial" w:cs="Arial"/>
          <w:spacing w:val="1"/>
        </w:rPr>
        <w:t>IVES</w:t>
      </w:r>
    </w:p>
    <w:p w:rsidR="007F7F4A" w:rsidRPr="009A2C70" w:rsidRDefault="007F7F4A"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4" w:after="0" w:line="200" w:lineRule="exact"/>
        <w:rPr>
          <w:rFonts w:ascii="Arial" w:hAnsi="Arial" w:cs="Arial"/>
        </w:rPr>
      </w:pPr>
    </w:p>
    <w:p w:rsidR="007F7F4A" w:rsidRPr="009A2C70" w:rsidRDefault="004B611E"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rPr>
      </w:pPr>
      <w:r w:rsidRPr="009A2C70">
        <w:rPr>
          <w:rFonts w:ascii="Arial" w:eastAsia="Arial" w:hAnsi="Arial" w:cs="Arial"/>
          <w:spacing w:val="1"/>
        </w:rPr>
        <w:t>01.0</w:t>
      </w:r>
      <w:r w:rsidRPr="009A2C70">
        <w:rPr>
          <w:rFonts w:ascii="Arial" w:eastAsia="Arial" w:hAnsi="Arial" w:cs="Arial"/>
        </w:rPr>
        <w:t xml:space="preserve">1  </w:t>
      </w:r>
      <w:r w:rsidRPr="009A2C70">
        <w:rPr>
          <w:rFonts w:ascii="Arial" w:eastAsia="Arial" w:hAnsi="Arial" w:cs="Arial"/>
          <w:spacing w:val="36"/>
        </w:rPr>
        <w:t xml:space="preserve"> </w:t>
      </w:r>
      <w:r w:rsidR="005A6C39">
        <w:rPr>
          <w:rFonts w:ascii="Arial" w:eastAsia="Arial" w:hAnsi="Arial" w:cs="Arial"/>
          <w:spacing w:val="1"/>
        </w:rPr>
        <w:t>Inform</w:t>
      </w:r>
      <w:r w:rsidR="00B446C5" w:rsidRPr="009A2C70">
        <w:rPr>
          <w:rFonts w:ascii="Arial" w:eastAsia="Arial" w:hAnsi="Arial" w:cs="Arial"/>
          <w:spacing w:val="1"/>
        </w:rPr>
        <w:t xml:space="preserve"> the Director</w:t>
      </w:r>
      <w:r w:rsidR="005A6C39">
        <w:rPr>
          <w:rFonts w:ascii="Arial" w:eastAsia="Arial" w:hAnsi="Arial" w:cs="Arial"/>
          <w:spacing w:val="1"/>
        </w:rPr>
        <w:t>,</w:t>
      </w:r>
      <w:r w:rsidR="00B446C5" w:rsidRPr="009A2C70">
        <w:rPr>
          <w:rFonts w:ascii="Arial" w:eastAsia="Arial" w:hAnsi="Arial" w:cs="Arial"/>
          <w:spacing w:val="1"/>
        </w:rPr>
        <w:t xml:space="preserve"> NRR</w:t>
      </w:r>
      <w:r w:rsidR="005A6C39">
        <w:rPr>
          <w:rFonts w:ascii="Arial" w:eastAsia="Arial" w:hAnsi="Arial" w:cs="Arial"/>
          <w:spacing w:val="1"/>
        </w:rPr>
        <w:t xml:space="preserve"> of</w:t>
      </w:r>
      <w:r w:rsidR="00B446C5" w:rsidRPr="009A2C70">
        <w:rPr>
          <w:rFonts w:ascii="Arial" w:eastAsia="Arial" w:hAnsi="Arial" w:cs="Arial"/>
          <w:spacing w:val="1"/>
        </w:rPr>
        <w:t xml:space="preserve"> when</w:t>
      </w:r>
      <w:r w:rsidR="00CC0797" w:rsidRPr="009A2C70">
        <w:rPr>
          <w:rFonts w:ascii="Arial" w:eastAsia="Arial" w:hAnsi="Arial" w:cs="Arial"/>
          <w:spacing w:val="1"/>
        </w:rPr>
        <w:t xml:space="preserve"> </w:t>
      </w:r>
      <w:r w:rsidR="008C6C41" w:rsidRPr="009A2C70">
        <w:rPr>
          <w:rFonts w:ascii="Arial" w:eastAsia="Arial" w:hAnsi="Arial" w:cs="Arial"/>
          <w:spacing w:val="1"/>
        </w:rPr>
        <w:t>Region</w:t>
      </w:r>
      <w:r w:rsidR="00CC0797" w:rsidRPr="009A2C70">
        <w:rPr>
          <w:rFonts w:ascii="Arial" w:eastAsia="Arial" w:hAnsi="Arial" w:cs="Arial"/>
          <w:spacing w:val="1"/>
        </w:rPr>
        <w:t xml:space="preserve"> II </w:t>
      </w:r>
      <w:r w:rsidR="008C6C41" w:rsidRPr="009A2C70">
        <w:rPr>
          <w:rFonts w:ascii="Arial" w:eastAsia="Arial" w:hAnsi="Arial" w:cs="Arial"/>
          <w:spacing w:val="1"/>
        </w:rPr>
        <w:t xml:space="preserve">has completed </w:t>
      </w:r>
      <w:r w:rsidR="00D41732" w:rsidRPr="009A2C70">
        <w:rPr>
          <w:rFonts w:ascii="Arial" w:eastAsia="Arial" w:hAnsi="Arial" w:cs="Arial"/>
          <w:spacing w:val="1"/>
        </w:rPr>
        <w:t>the</w:t>
      </w:r>
      <w:r w:rsidR="005A6C39">
        <w:rPr>
          <w:rFonts w:ascii="Arial" w:eastAsia="Arial" w:hAnsi="Arial" w:cs="Arial"/>
          <w:spacing w:val="1"/>
        </w:rPr>
        <w:t xml:space="preserve"> inspections</w:t>
      </w:r>
      <w:r w:rsidR="00D41732" w:rsidRPr="009A2C70">
        <w:rPr>
          <w:rFonts w:ascii="Arial" w:eastAsia="Arial" w:hAnsi="Arial" w:cs="Arial"/>
          <w:spacing w:val="1"/>
        </w:rPr>
        <w:t xml:space="preserve"> necessary to</w:t>
      </w:r>
      <w:r w:rsidR="005A6C39">
        <w:rPr>
          <w:rFonts w:ascii="Arial" w:eastAsia="Arial" w:hAnsi="Arial" w:cs="Arial"/>
          <w:spacing w:val="1"/>
        </w:rPr>
        <w:t xml:space="preserve"> support</w:t>
      </w:r>
      <w:r w:rsidR="00D41732" w:rsidRPr="009A2C70">
        <w:rPr>
          <w:rFonts w:ascii="Arial" w:eastAsia="Arial" w:hAnsi="Arial" w:cs="Arial"/>
          <w:spacing w:val="1"/>
        </w:rPr>
        <w:t xml:space="preserve"> </w:t>
      </w:r>
      <w:r w:rsidR="008C6C41" w:rsidRPr="009A2C70">
        <w:rPr>
          <w:rFonts w:ascii="Arial" w:eastAsia="Arial" w:hAnsi="Arial" w:cs="Arial"/>
          <w:spacing w:val="1"/>
        </w:rPr>
        <w:t xml:space="preserve">the </w:t>
      </w:r>
      <w:r w:rsidR="0066252C" w:rsidRPr="009A2C70">
        <w:rPr>
          <w:rFonts w:ascii="Arial" w:eastAsia="Arial" w:hAnsi="Arial" w:cs="Arial"/>
          <w:spacing w:val="1"/>
        </w:rPr>
        <w:t>findings</w:t>
      </w:r>
      <w:r w:rsidR="005A6C39">
        <w:rPr>
          <w:rFonts w:ascii="Arial" w:eastAsia="Arial" w:hAnsi="Arial" w:cs="Arial"/>
          <w:spacing w:val="1"/>
        </w:rPr>
        <w:t xml:space="preserve"> required by</w:t>
      </w:r>
      <w:r w:rsidR="0066252C" w:rsidRPr="009A2C70">
        <w:rPr>
          <w:rFonts w:ascii="Arial" w:eastAsia="Arial" w:hAnsi="Arial" w:cs="Arial"/>
          <w:spacing w:val="1"/>
        </w:rPr>
        <w:t xml:space="preserve"> 10 CFR </w:t>
      </w:r>
      <w:r w:rsidR="003B4FE9" w:rsidRPr="009A2C70">
        <w:rPr>
          <w:rFonts w:ascii="Arial" w:eastAsia="Arial" w:hAnsi="Arial" w:cs="Arial"/>
          <w:spacing w:val="1"/>
        </w:rPr>
        <w:t>50.57(a)(1)</w:t>
      </w:r>
      <w:r w:rsidR="000A65EE" w:rsidRPr="009A2C70">
        <w:rPr>
          <w:rFonts w:ascii="Arial" w:eastAsia="Arial" w:hAnsi="Arial" w:cs="Arial"/>
          <w:spacing w:val="1"/>
        </w:rPr>
        <w:t>,</w:t>
      </w:r>
      <w:r w:rsidR="003B4FE9" w:rsidRPr="009A2C70">
        <w:rPr>
          <w:rFonts w:ascii="Arial" w:eastAsia="Arial" w:hAnsi="Arial" w:cs="Arial"/>
          <w:spacing w:val="1"/>
        </w:rPr>
        <w:t xml:space="preserve"> 50.57(a)(2)</w:t>
      </w:r>
      <w:r w:rsidR="000A65EE" w:rsidRPr="009A2C70">
        <w:rPr>
          <w:rFonts w:ascii="Arial" w:eastAsia="Arial" w:hAnsi="Arial" w:cs="Arial"/>
          <w:spacing w:val="1"/>
        </w:rPr>
        <w:t>, and 50.57(a)(3)(ii)</w:t>
      </w:r>
      <w:r w:rsidR="0066252C" w:rsidRPr="009A2C70">
        <w:rPr>
          <w:rFonts w:ascii="Arial" w:eastAsia="Arial" w:hAnsi="Arial" w:cs="Arial"/>
          <w:spacing w:val="1"/>
        </w:rPr>
        <w:t>.</w:t>
      </w:r>
    </w:p>
    <w:p w:rsidR="007F7F4A" w:rsidRPr="009A2C70" w:rsidRDefault="007F7F4A"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7" w:after="0" w:line="240" w:lineRule="auto"/>
        <w:rPr>
          <w:rFonts w:ascii="Arial" w:hAnsi="Arial" w:cs="Arial"/>
        </w:rPr>
      </w:pPr>
    </w:p>
    <w:p w:rsidR="007F7F4A" w:rsidRPr="009A2C70" w:rsidRDefault="004B611E"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rPr>
      </w:pPr>
      <w:r w:rsidRPr="009A2C70">
        <w:rPr>
          <w:rFonts w:ascii="Arial" w:eastAsia="Arial" w:hAnsi="Arial" w:cs="Arial"/>
          <w:spacing w:val="1"/>
        </w:rPr>
        <w:t>01.0</w:t>
      </w:r>
      <w:r w:rsidR="0066252C" w:rsidRPr="009A2C70">
        <w:rPr>
          <w:rFonts w:ascii="Arial" w:eastAsia="Arial" w:hAnsi="Arial" w:cs="Arial"/>
        </w:rPr>
        <w:t>2</w:t>
      </w:r>
      <w:r w:rsidRPr="009A2C70">
        <w:rPr>
          <w:rFonts w:ascii="Arial" w:eastAsia="Arial" w:hAnsi="Arial" w:cs="Arial"/>
        </w:rPr>
        <w:t xml:space="preserve">  </w:t>
      </w:r>
      <w:r w:rsidRPr="009A2C70">
        <w:rPr>
          <w:rFonts w:ascii="Arial" w:eastAsia="Arial" w:hAnsi="Arial" w:cs="Arial"/>
          <w:spacing w:val="36"/>
        </w:rPr>
        <w:t xml:space="preserve"> </w:t>
      </w:r>
      <w:r w:rsidR="005A6C39">
        <w:rPr>
          <w:rFonts w:ascii="Arial" w:eastAsia="Arial" w:hAnsi="Arial" w:cs="Arial"/>
          <w:spacing w:val="1"/>
        </w:rPr>
        <w:t>Inform</w:t>
      </w:r>
      <w:r w:rsidR="002E799A" w:rsidRPr="009A2C70">
        <w:rPr>
          <w:rFonts w:ascii="Arial" w:eastAsia="Arial" w:hAnsi="Arial" w:cs="Arial"/>
          <w:spacing w:val="1"/>
        </w:rPr>
        <w:t xml:space="preserve"> the Director</w:t>
      </w:r>
      <w:r w:rsidR="005A6C39">
        <w:rPr>
          <w:rFonts w:ascii="Arial" w:eastAsia="Arial" w:hAnsi="Arial" w:cs="Arial"/>
          <w:spacing w:val="1"/>
        </w:rPr>
        <w:t>,</w:t>
      </w:r>
      <w:r w:rsidR="002E799A" w:rsidRPr="009A2C70">
        <w:rPr>
          <w:rFonts w:ascii="Arial" w:eastAsia="Arial" w:hAnsi="Arial" w:cs="Arial"/>
          <w:spacing w:val="1"/>
        </w:rPr>
        <w:t xml:space="preserve"> NRR </w:t>
      </w:r>
      <w:r w:rsidR="005A6C39">
        <w:rPr>
          <w:rFonts w:ascii="Arial" w:eastAsia="Arial" w:hAnsi="Arial" w:cs="Arial"/>
          <w:spacing w:val="1"/>
        </w:rPr>
        <w:t xml:space="preserve">of </w:t>
      </w:r>
      <w:r w:rsidR="002E799A" w:rsidRPr="009A2C70">
        <w:rPr>
          <w:rFonts w:ascii="Arial" w:eastAsia="Arial" w:hAnsi="Arial" w:cs="Arial"/>
          <w:spacing w:val="1"/>
        </w:rPr>
        <w:t xml:space="preserve">any incomplete inspections or </w:t>
      </w:r>
      <w:r w:rsidRPr="009A2C70">
        <w:rPr>
          <w:rFonts w:ascii="Arial" w:eastAsia="Arial" w:hAnsi="Arial" w:cs="Arial"/>
          <w:spacing w:val="1"/>
        </w:rPr>
        <w:t>ope</w:t>
      </w:r>
      <w:r w:rsidRPr="009A2C70">
        <w:rPr>
          <w:rFonts w:ascii="Arial" w:eastAsia="Arial" w:hAnsi="Arial" w:cs="Arial"/>
        </w:rPr>
        <w:t>n</w:t>
      </w:r>
      <w:r w:rsidRPr="009A2C70">
        <w:rPr>
          <w:rFonts w:ascii="Arial" w:eastAsia="Arial" w:hAnsi="Arial" w:cs="Arial"/>
          <w:spacing w:val="1"/>
        </w:rPr>
        <w:t xml:space="preserve"> </w:t>
      </w:r>
      <w:r w:rsidRPr="009A2C70">
        <w:rPr>
          <w:rFonts w:ascii="Arial" w:eastAsia="Arial" w:hAnsi="Arial" w:cs="Arial"/>
          <w:spacing w:val="-1"/>
        </w:rPr>
        <w:t>i</w:t>
      </w:r>
      <w:r w:rsidRPr="009A2C70">
        <w:rPr>
          <w:rFonts w:ascii="Arial" w:eastAsia="Arial" w:hAnsi="Arial" w:cs="Arial"/>
          <w:spacing w:val="1"/>
        </w:rPr>
        <w:t>tem</w:t>
      </w:r>
      <w:r w:rsidRPr="009A2C70">
        <w:rPr>
          <w:rFonts w:ascii="Arial" w:eastAsia="Arial" w:hAnsi="Arial" w:cs="Arial"/>
        </w:rPr>
        <w:t>s</w:t>
      </w:r>
      <w:r w:rsidR="004F52A4" w:rsidRPr="009A2C70">
        <w:rPr>
          <w:rFonts w:ascii="Arial" w:eastAsia="Arial" w:hAnsi="Arial" w:cs="Arial"/>
        </w:rPr>
        <w:t xml:space="preserve"> </w:t>
      </w:r>
      <w:r w:rsidR="005A6C39">
        <w:rPr>
          <w:rFonts w:ascii="Arial" w:eastAsia="Arial" w:hAnsi="Arial" w:cs="Arial"/>
        </w:rPr>
        <w:t>(including their significance)</w:t>
      </w:r>
      <w:r w:rsidR="002E799A" w:rsidRPr="009A2C70">
        <w:rPr>
          <w:rFonts w:ascii="Arial" w:eastAsia="Arial" w:hAnsi="Arial" w:cs="Arial"/>
        </w:rPr>
        <w:t xml:space="preserve"> </w:t>
      </w:r>
      <w:r w:rsidR="005A6C39">
        <w:rPr>
          <w:rFonts w:ascii="Arial" w:eastAsia="Arial" w:hAnsi="Arial" w:cs="Arial"/>
        </w:rPr>
        <w:t xml:space="preserve">when </w:t>
      </w:r>
      <w:r w:rsidR="002E799A" w:rsidRPr="009A2C70">
        <w:rPr>
          <w:rFonts w:ascii="Arial" w:eastAsia="Arial" w:hAnsi="Arial" w:cs="Arial"/>
        </w:rPr>
        <w:t>Region</w:t>
      </w:r>
      <w:r w:rsidR="004F52A4" w:rsidRPr="009A2C70">
        <w:rPr>
          <w:rFonts w:ascii="Arial" w:eastAsia="Arial" w:hAnsi="Arial" w:cs="Arial"/>
        </w:rPr>
        <w:t xml:space="preserve"> II</w:t>
      </w:r>
      <w:r w:rsidR="002E799A" w:rsidRPr="009A2C70">
        <w:rPr>
          <w:rFonts w:ascii="Arial" w:eastAsia="Arial" w:hAnsi="Arial" w:cs="Arial"/>
        </w:rPr>
        <w:t xml:space="preserve"> communicates its conclusions for item 01.0</w:t>
      </w:r>
      <w:r w:rsidR="0066252C" w:rsidRPr="009A2C70">
        <w:rPr>
          <w:rFonts w:ascii="Arial" w:eastAsia="Arial" w:hAnsi="Arial" w:cs="Arial"/>
        </w:rPr>
        <w:t>1</w:t>
      </w:r>
      <w:r w:rsidRPr="009A2C70">
        <w:rPr>
          <w:rFonts w:ascii="Arial" w:eastAsia="Arial" w:hAnsi="Arial" w:cs="Arial"/>
        </w:rPr>
        <w:t>.</w:t>
      </w:r>
    </w:p>
    <w:p w:rsidR="00C23BCD" w:rsidRPr="009A2C70" w:rsidRDefault="00C23BCD"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rPr>
      </w:pPr>
    </w:p>
    <w:p w:rsidR="00C23BCD" w:rsidRPr="009A2C70" w:rsidRDefault="00C23BCD"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rPr>
      </w:pPr>
      <w:r w:rsidRPr="009A2C70">
        <w:rPr>
          <w:rFonts w:ascii="Arial" w:eastAsia="Arial" w:hAnsi="Arial" w:cs="Arial"/>
        </w:rPr>
        <w:t>01.0</w:t>
      </w:r>
      <w:r w:rsidR="0066252C" w:rsidRPr="009A2C70">
        <w:rPr>
          <w:rFonts w:ascii="Arial" w:eastAsia="Arial" w:hAnsi="Arial" w:cs="Arial"/>
        </w:rPr>
        <w:t>3</w:t>
      </w:r>
      <w:r w:rsidRPr="009A2C70">
        <w:rPr>
          <w:rFonts w:ascii="Arial" w:eastAsia="Arial" w:hAnsi="Arial" w:cs="Arial"/>
        </w:rPr>
        <w:t xml:space="preserve">    </w:t>
      </w:r>
      <w:r w:rsidR="00AE5775">
        <w:rPr>
          <w:rFonts w:ascii="Arial" w:eastAsia="Arial" w:hAnsi="Arial" w:cs="Arial"/>
        </w:rPr>
        <w:t xml:space="preserve">Inform </w:t>
      </w:r>
      <w:r w:rsidRPr="009A2C70">
        <w:rPr>
          <w:rFonts w:ascii="Arial" w:eastAsia="Arial" w:hAnsi="Arial" w:cs="Arial"/>
        </w:rPr>
        <w:t>the Director</w:t>
      </w:r>
      <w:r w:rsidR="005A6C39">
        <w:rPr>
          <w:rFonts w:ascii="Arial" w:eastAsia="Arial" w:hAnsi="Arial" w:cs="Arial"/>
        </w:rPr>
        <w:t>,</w:t>
      </w:r>
      <w:r w:rsidRPr="009A2C70">
        <w:rPr>
          <w:rFonts w:ascii="Arial" w:eastAsia="Arial" w:hAnsi="Arial" w:cs="Arial"/>
        </w:rPr>
        <w:t xml:space="preserve"> NRR of any significant </w:t>
      </w:r>
      <w:r w:rsidR="005A6C39">
        <w:rPr>
          <w:rFonts w:ascii="Arial" w:eastAsia="Arial" w:hAnsi="Arial" w:cs="Arial"/>
        </w:rPr>
        <w:t>issues</w:t>
      </w:r>
      <w:r w:rsidRPr="009A2C70">
        <w:rPr>
          <w:rFonts w:ascii="Arial" w:eastAsia="Arial" w:hAnsi="Arial" w:cs="Arial"/>
        </w:rPr>
        <w:t xml:space="preserve"> in the construction or testing of </w:t>
      </w:r>
      <w:r w:rsidR="005A6C39">
        <w:rPr>
          <w:rFonts w:ascii="Arial" w:eastAsia="Arial" w:hAnsi="Arial" w:cs="Arial"/>
        </w:rPr>
        <w:t>WBN2</w:t>
      </w:r>
      <w:r w:rsidRPr="009A2C70">
        <w:rPr>
          <w:rFonts w:ascii="Arial" w:eastAsia="Arial" w:hAnsi="Arial" w:cs="Arial"/>
        </w:rPr>
        <w:t xml:space="preserve"> that</w:t>
      </w:r>
      <w:r w:rsidR="005A6C39">
        <w:rPr>
          <w:rFonts w:ascii="Arial" w:eastAsia="Arial" w:hAnsi="Arial" w:cs="Arial"/>
        </w:rPr>
        <w:t xml:space="preserve"> could</w:t>
      </w:r>
      <w:r w:rsidRPr="009A2C70">
        <w:rPr>
          <w:rFonts w:ascii="Arial" w:eastAsia="Arial" w:hAnsi="Arial" w:cs="Arial"/>
        </w:rPr>
        <w:t xml:space="preserve"> affect the conclusions associated with item 01.01.  </w:t>
      </w:r>
      <w:r w:rsidR="00152074" w:rsidRPr="009A2C70">
        <w:rPr>
          <w:rFonts w:ascii="Arial" w:eastAsia="Arial" w:hAnsi="Arial" w:cs="Arial"/>
        </w:rPr>
        <w:t>P</w:t>
      </w:r>
      <w:r w:rsidRPr="009A2C70">
        <w:rPr>
          <w:rFonts w:ascii="Arial" w:eastAsia="Arial" w:hAnsi="Arial" w:cs="Arial"/>
        </w:rPr>
        <w:t>rovide an updated list of any incomplete inspections or open items and their significance at that time.</w:t>
      </w:r>
    </w:p>
    <w:p w:rsidR="00705126" w:rsidRPr="009A2C70" w:rsidRDefault="00705126"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696"/>
        <w:rPr>
          <w:rFonts w:ascii="Arial" w:eastAsia="Arial" w:hAnsi="Arial" w:cs="Arial"/>
        </w:rPr>
      </w:pPr>
    </w:p>
    <w:p w:rsidR="007F7F4A" w:rsidRPr="009A2C70" w:rsidRDefault="004B611E"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4511"/>
        <w:rPr>
          <w:rFonts w:ascii="Arial" w:eastAsia="Arial" w:hAnsi="Arial" w:cs="Arial"/>
        </w:rPr>
      </w:pPr>
      <w:r w:rsidRPr="009A2C70">
        <w:rPr>
          <w:rFonts w:ascii="Arial" w:eastAsia="Arial" w:hAnsi="Arial" w:cs="Arial"/>
          <w:spacing w:val="1"/>
        </w:rPr>
        <w:t>I</w:t>
      </w:r>
      <w:r w:rsidRPr="009A2C70">
        <w:rPr>
          <w:rFonts w:ascii="Arial" w:eastAsia="Arial" w:hAnsi="Arial" w:cs="Arial"/>
          <w:spacing w:val="-1"/>
        </w:rPr>
        <w:t>N</w:t>
      </w:r>
      <w:r w:rsidRPr="009A2C70">
        <w:rPr>
          <w:rFonts w:ascii="Arial" w:eastAsia="Arial" w:hAnsi="Arial" w:cs="Arial"/>
          <w:spacing w:val="1"/>
        </w:rPr>
        <w:t>SPE</w:t>
      </w:r>
      <w:r w:rsidRPr="009A2C70">
        <w:rPr>
          <w:rFonts w:ascii="Arial" w:eastAsia="Arial" w:hAnsi="Arial" w:cs="Arial"/>
          <w:spacing w:val="-1"/>
        </w:rPr>
        <w:t>C</w:t>
      </w:r>
      <w:r w:rsidRPr="009A2C70">
        <w:rPr>
          <w:rFonts w:ascii="Arial" w:eastAsia="Arial" w:hAnsi="Arial" w:cs="Arial"/>
          <w:spacing w:val="2"/>
        </w:rPr>
        <w:t>T</w:t>
      </w:r>
      <w:r w:rsidRPr="009A2C70">
        <w:rPr>
          <w:rFonts w:ascii="Arial" w:eastAsia="Arial" w:hAnsi="Arial" w:cs="Arial"/>
          <w:spacing w:val="1"/>
        </w:rPr>
        <w:t>IO</w:t>
      </w:r>
      <w:r w:rsidRPr="009A2C70">
        <w:rPr>
          <w:rFonts w:ascii="Arial" w:eastAsia="Arial" w:hAnsi="Arial" w:cs="Arial"/>
        </w:rPr>
        <w:t>N</w:t>
      </w:r>
      <w:r w:rsidRPr="009A2C70">
        <w:rPr>
          <w:rFonts w:ascii="Arial" w:eastAsia="Arial" w:hAnsi="Arial" w:cs="Arial"/>
          <w:spacing w:val="-6"/>
        </w:rPr>
        <w:t xml:space="preserve"> </w:t>
      </w:r>
      <w:r w:rsidRPr="009A2C70">
        <w:rPr>
          <w:rFonts w:ascii="Arial" w:eastAsia="Arial" w:hAnsi="Arial" w:cs="Arial"/>
          <w:spacing w:val="-1"/>
        </w:rPr>
        <w:t>R</w:t>
      </w:r>
      <w:r w:rsidRPr="009A2C70">
        <w:rPr>
          <w:rFonts w:ascii="Arial" w:eastAsia="Arial" w:hAnsi="Arial" w:cs="Arial"/>
          <w:spacing w:val="1"/>
        </w:rPr>
        <w:t>EQ</w:t>
      </w:r>
      <w:r w:rsidRPr="009A2C70">
        <w:rPr>
          <w:rFonts w:ascii="Arial" w:eastAsia="Arial" w:hAnsi="Arial" w:cs="Arial"/>
          <w:spacing w:val="-1"/>
        </w:rPr>
        <w:t>U</w:t>
      </w:r>
      <w:r w:rsidRPr="009A2C70">
        <w:rPr>
          <w:rFonts w:ascii="Arial" w:eastAsia="Arial" w:hAnsi="Arial" w:cs="Arial"/>
          <w:spacing w:val="1"/>
        </w:rPr>
        <w:t>I</w:t>
      </w:r>
      <w:r w:rsidRPr="009A2C70">
        <w:rPr>
          <w:rFonts w:ascii="Arial" w:eastAsia="Arial" w:hAnsi="Arial" w:cs="Arial"/>
          <w:spacing w:val="-1"/>
        </w:rPr>
        <w:t>R</w:t>
      </w:r>
      <w:r w:rsidRPr="009A2C70">
        <w:rPr>
          <w:rFonts w:ascii="Arial" w:eastAsia="Arial" w:hAnsi="Arial" w:cs="Arial"/>
          <w:spacing w:val="1"/>
        </w:rPr>
        <w:t>E</w:t>
      </w:r>
      <w:r w:rsidRPr="009A2C70">
        <w:rPr>
          <w:rFonts w:ascii="Arial" w:eastAsia="Arial" w:hAnsi="Arial" w:cs="Arial"/>
          <w:spacing w:val="-1"/>
        </w:rPr>
        <w:t>M</w:t>
      </w:r>
      <w:r w:rsidRPr="009A2C70">
        <w:rPr>
          <w:rFonts w:ascii="Arial" w:eastAsia="Arial" w:hAnsi="Arial" w:cs="Arial"/>
          <w:spacing w:val="1"/>
        </w:rPr>
        <w:t>E</w:t>
      </w:r>
      <w:r w:rsidRPr="009A2C70">
        <w:rPr>
          <w:rFonts w:ascii="Arial" w:eastAsia="Arial" w:hAnsi="Arial" w:cs="Arial"/>
          <w:spacing w:val="-1"/>
        </w:rPr>
        <w:t>N</w:t>
      </w:r>
      <w:r w:rsidRPr="009A2C70">
        <w:rPr>
          <w:rFonts w:ascii="Arial" w:eastAsia="Arial" w:hAnsi="Arial" w:cs="Arial"/>
          <w:spacing w:val="2"/>
        </w:rPr>
        <w:t>T</w:t>
      </w:r>
      <w:r w:rsidRPr="009A2C70">
        <w:rPr>
          <w:rFonts w:ascii="Arial" w:eastAsia="Arial" w:hAnsi="Arial" w:cs="Arial"/>
        </w:rPr>
        <w:t>S</w:t>
      </w:r>
    </w:p>
    <w:p w:rsidR="007F7F4A" w:rsidRPr="009A2C70" w:rsidRDefault="007F7F4A"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7" w:after="0" w:line="240" w:lineRule="auto"/>
        <w:rPr>
          <w:rFonts w:ascii="Arial" w:hAnsi="Arial" w:cs="Arial"/>
        </w:rPr>
      </w:pPr>
    </w:p>
    <w:p w:rsidR="00812822" w:rsidRPr="009A2C70" w:rsidRDefault="004B611E"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sidRPr="009A2C70">
        <w:rPr>
          <w:rFonts w:ascii="Arial" w:eastAsia="Arial" w:hAnsi="Arial" w:cs="Arial"/>
          <w:spacing w:val="-1"/>
          <w:u w:val="single" w:color="000000"/>
        </w:rPr>
        <w:t>R</w:t>
      </w:r>
      <w:r w:rsidRPr="009A2C70">
        <w:rPr>
          <w:rFonts w:ascii="Arial" w:eastAsia="Arial" w:hAnsi="Arial" w:cs="Arial"/>
          <w:spacing w:val="1"/>
          <w:u w:val="single" w:color="000000"/>
        </w:rPr>
        <w:t>epo</w:t>
      </w:r>
      <w:r w:rsidRPr="009A2C70">
        <w:rPr>
          <w:rFonts w:ascii="Arial" w:eastAsia="Arial" w:hAnsi="Arial" w:cs="Arial"/>
          <w:spacing w:val="-1"/>
          <w:u w:val="single" w:color="000000"/>
        </w:rPr>
        <w:t>r</w:t>
      </w:r>
      <w:r w:rsidRPr="009A2C70">
        <w:rPr>
          <w:rFonts w:ascii="Arial" w:eastAsia="Arial" w:hAnsi="Arial" w:cs="Arial"/>
          <w:spacing w:val="1"/>
          <w:u w:val="single" w:color="000000"/>
        </w:rPr>
        <w:t>t</w:t>
      </w:r>
      <w:r w:rsidR="00152074" w:rsidRPr="009A2C70">
        <w:rPr>
          <w:rFonts w:ascii="Arial" w:eastAsia="Arial" w:hAnsi="Arial" w:cs="Arial"/>
          <w:spacing w:val="1"/>
          <w:u w:val="single" w:color="000000"/>
        </w:rPr>
        <w:t xml:space="preserve"> on inspection status and readiness for an operating license</w:t>
      </w:r>
      <w:r w:rsidRPr="009A2C70">
        <w:rPr>
          <w:rFonts w:ascii="Arial" w:eastAsia="Arial" w:hAnsi="Arial" w:cs="Arial"/>
        </w:rPr>
        <w:t xml:space="preserve">. </w:t>
      </w:r>
      <w:r w:rsidRPr="009A2C70">
        <w:rPr>
          <w:rFonts w:ascii="Arial" w:eastAsia="Arial" w:hAnsi="Arial" w:cs="Arial"/>
          <w:spacing w:val="53"/>
        </w:rPr>
        <w:t xml:space="preserve"> </w:t>
      </w:r>
      <w:r w:rsidR="000B1366" w:rsidRPr="009A2C70">
        <w:rPr>
          <w:rFonts w:ascii="Arial" w:eastAsia="Arial" w:hAnsi="Arial" w:cs="Arial"/>
        </w:rPr>
        <w:t xml:space="preserve">The Tennessee Valley Authority (TVA) has agreed to notify the NRC in writing when </w:t>
      </w:r>
      <w:r w:rsidR="005A6C39">
        <w:rPr>
          <w:rFonts w:ascii="Arial" w:eastAsia="Arial" w:hAnsi="Arial" w:cs="Arial"/>
        </w:rPr>
        <w:t xml:space="preserve">it </w:t>
      </w:r>
      <w:r w:rsidR="004F52A4" w:rsidRPr="009A2C70">
        <w:rPr>
          <w:rFonts w:ascii="Arial" w:eastAsia="Arial" w:hAnsi="Arial" w:cs="Arial"/>
        </w:rPr>
        <w:t>determine</w:t>
      </w:r>
      <w:r w:rsidR="005A6C39">
        <w:rPr>
          <w:rFonts w:ascii="Arial" w:eastAsia="Arial" w:hAnsi="Arial" w:cs="Arial"/>
        </w:rPr>
        <w:t>s</w:t>
      </w:r>
      <w:r w:rsidR="000B1366" w:rsidRPr="009A2C70">
        <w:rPr>
          <w:rFonts w:ascii="Arial" w:eastAsia="Arial" w:hAnsi="Arial" w:cs="Arial"/>
        </w:rPr>
        <w:t xml:space="preserve"> that construction of </w:t>
      </w:r>
      <w:r w:rsidR="005A6C39">
        <w:rPr>
          <w:rFonts w:ascii="Arial" w:eastAsia="Arial" w:hAnsi="Arial" w:cs="Arial"/>
        </w:rPr>
        <w:t>WBN2</w:t>
      </w:r>
      <w:r w:rsidR="000B1366" w:rsidRPr="009A2C70">
        <w:rPr>
          <w:rFonts w:ascii="Arial" w:eastAsia="Arial" w:hAnsi="Arial" w:cs="Arial"/>
        </w:rPr>
        <w:t xml:space="preserve"> is substantially complete</w:t>
      </w:r>
      <w:r w:rsidR="00C42F25" w:rsidRPr="009A2C70">
        <w:rPr>
          <w:rFonts w:ascii="Arial" w:eastAsia="Arial" w:hAnsi="Arial" w:cs="Arial"/>
        </w:rPr>
        <w:t xml:space="preserve">.  </w:t>
      </w:r>
      <w:r w:rsidR="000B1366" w:rsidRPr="009A2C70">
        <w:rPr>
          <w:rFonts w:ascii="Arial" w:eastAsia="Arial" w:hAnsi="Arial" w:cs="Arial"/>
        </w:rPr>
        <w:t xml:space="preserve"> </w:t>
      </w:r>
      <w:r w:rsidR="00C42F25" w:rsidRPr="009A2C70">
        <w:rPr>
          <w:rFonts w:ascii="Arial" w:eastAsia="Arial" w:hAnsi="Arial" w:cs="Arial"/>
        </w:rPr>
        <w:t xml:space="preserve">Additionally, </w:t>
      </w:r>
      <w:r w:rsidR="004F52A4" w:rsidRPr="009A2C70">
        <w:rPr>
          <w:rFonts w:ascii="Arial" w:eastAsia="Arial" w:hAnsi="Arial" w:cs="Arial"/>
        </w:rPr>
        <w:t>TVA</w:t>
      </w:r>
      <w:r w:rsidR="00C42F25" w:rsidRPr="009A2C70">
        <w:rPr>
          <w:rFonts w:ascii="Arial" w:eastAsia="Arial" w:hAnsi="Arial" w:cs="Arial"/>
        </w:rPr>
        <w:t xml:space="preserve"> will</w:t>
      </w:r>
      <w:r w:rsidR="000B1366" w:rsidRPr="009A2C70">
        <w:rPr>
          <w:rFonts w:ascii="Arial" w:eastAsia="Arial" w:hAnsi="Arial" w:cs="Arial"/>
        </w:rPr>
        <w:t xml:space="preserve"> provide a list of remaining construction and preoperational test activities that must be addressed p</w:t>
      </w:r>
      <w:r w:rsidR="001574DD" w:rsidRPr="009A2C70">
        <w:rPr>
          <w:rFonts w:ascii="Arial" w:eastAsia="Arial" w:hAnsi="Arial" w:cs="Arial"/>
        </w:rPr>
        <w:t xml:space="preserve">rior to </w:t>
      </w:r>
      <w:r w:rsidR="000B1366" w:rsidRPr="009A2C70">
        <w:rPr>
          <w:rFonts w:ascii="Arial" w:eastAsia="Arial" w:hAnsi="Arial" w:cs="Arial"/>
        </w:rPr>
        <w:t xml:space="preserve">loading </w:t>
      </w:r>
      <w:r w:rsidR="009508D4" w:rsidRPr="009A2C70">
        <w:rPr>
          <w:rFonts w:ascii="Arial" w:eastAsia="Arial" w:hAnsi="Arial" w:cs="Arial"/>
        </w:rPr>
        <w:t>fuel</w:t>
      </w:r>
      <w:r w:rsidR="001574DD" w:rsidRPr="009A2C70">
        <w:rPr>
          <w:rFonts w:ascii="Arial" w:eastAsia="Arial" w:hAnsi="Arial" w:cs="Arial"/>
        </w:rPr>
        <w:t>.</w:t>
      </w:r>
      <w:r w:rsidR="00AC3F51" w:rsidRPr="009A2C70">
        <w:rPr>
          <w:rFonts w:ascii="Arial" w:eastAsia="Arial" w:hAnsi="Arial" w:cs="Arial"/>
        </w:rPr>
        <w:t xml:space="preserve"> </w:t>
      </w:r>
      <w:r w:rsidR="000B1366" w:rsidRPr="009A2C70">
        <w:rPr>
          <w:rFonts w:ascii="Arial" w:eastAsia="Arial" w:hAnsi="Arial" w:cs="Arial"/>
        </w:rPr>
        <w:t xml:space="preserve"> </w:t>
      </w:r>
    </w:p>
    <w:p w:rsidR="00812822" w:rsidRPr="009A2C70" w:rsidRDefault="00812822"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426CAC" w:rsidRPr="009A2C70" w:rsidRDefault="006929F7"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spacing w:val="1"/>
        </w:rPr>
      </w:pPr>
      <w:r w:rsidRPr="009A2C70">
        <w:rPr>
          <w:rFonts w:ascii="Arial" w:eastAsia="Arial" w:hAnsi="Arial" w:cs="Arial"/>
        </w:rPr>
        <w:t xml:space="preserve">Upon receipt of the TVA “substantially complete” notification, the WRAG will assess the status of the facility as described in TVA’s notification and will review the </w:t>
      </w:r>
      <w:r w:rsidR="005F45F6" w:rsidRPr="009A2C70">
        <w:rPr>
          <w:rFonts w:ascii="Arial" w:eastAsia="Arial" w:hAnsi="Arial" w:cs="Arial"/>
        </w:rPr>
        <w:t xml:space="preserve">results of completed inspections and the status of any planned </w:t>
      </w:r>
      <w:r w:rsidR="00472BBC" w:rsidRPr="009A2C70">
        <w:rPr>
          <w:rFonts w:ascii="Arial" w:eastAsia="Arial" w:hAnsi="Arial" w:cs="Arial"/>
        </w:rPr>
        <w:t>inspections</w:t>
      </w:r>
      <w:r w:rsidR="005F45F6" w:rsidRPr="009A2C70">
        <w:rPr>
          <w:rFonts w:ascii="Arial" w:eastAsia="Arial" w:hAnsi="Arial" w:cs="Arial"/>
        </w:rPr>
        <w:t xml:space="preserve"> that have not been completed</w:t>
      </w:r>
      <w:r w:rsidR="00472BBC" w:rsidRPr="009A2C70">
        <w:rPr>
          <w:rFonts w:ascii="Arial" w:eastAsia="Arial" w:hAnsi="Arial" w:cs="Arial"/>
        </w:rPr>
        <w:t xml:space="preserve">.  </w:t>
      </w:r>
      <w:r w:rsidR="005A6C39">
        <w:rPr>
          <w:rFonts w:ascii="Arial" w:eastAsia="Arial" w:hAnsi="Arial" w:cs="Arial"/>
        </w:rPr>
        <w:t>After concluding</w:t>
      </w:r>
      <w:r w:rsidR="00472BBC" w:rsidRPr="009A2C70">
        <w:rPr>
          <w:rFonts w:ascii="Arial" w:eastAsia="Arial" w:hAnsi="Arial" w:cs="Arial"/>
        </w:rPr>
        <w:t xml:space="preserve"> that sufficient construction and testing</w:t>
      </w:r>
      <w:r w:rsidR="005A6C39">
        <w:rPr>
          <w:rFonts w:ascii="Arial" w:eastAsia="Arial" w:hAnsi="Arial" w:cs="Arial"/>
        </w:rPr>
        <w:t xml:space="preserve"> of WBN2</w:t>
      </w:r>
      <w:r w:rsidR="00472BBC" w:rsidRPr="009A2C70">
        <w:rPr>
          <w:rFonts w:ascii="Arial" w:eastAsia="Arial" w:hAnsi="Arial" w:cs="Arial"/>
        </w:rPr>
        <w:t xml:space="preserve"> ha</w:t>
      </w:r>
      <w:r w:rsidR="005A6C39">
        <w:rPr>
          <w:rFonts w:ascii="Arial" w:eastAsia="Arial" w:hAnsi="Arial" w:cs="Arial"/>
        </w:rPr>
        <w:t>s</w:t>
      </w:r>
      <w:r w:rsidR="00472BBC" w:rsidRPr="009A2C70">
        <w:rPr>
          <w:rFonts w:ascii="Arial" w:eastAsia="Arial" w:hAnsi="Arial" w:cs="Arial"/>
        </w:rPr>
        <w:t xml:space="preserve"> been completed and verified acceptable by the </w:t>
      </w:r>
      <w:r w:rsidR="00AC0538" w:rsidRPr="009A2C70">
        <w:rPr>
          <w:rFonts w:ascii="Arial" w:eastAsia="Arial" w:hAnsi="Arial" w:cs="Arial"/>
        </w:rPr>
        <w:t xml:space="preserve">required </w:t>
      </w:r>
      <w:r w:rsidR="00472BBC" w:rsidRPr="009A2C70">
        <w:rPr>
          <w:rFonts w:ascii="Arial" w:eastAsia="Arial" w:hAnsi="Arial" w:cs="Arial"/>
        </w:rPr>
        <w:t>inspections</w:t>
      </w:r>
      <w:r w:rsidR="00AC0538" w:rsidRPr="009A2C70">
        <w:rPr>
          <w:rFonts w:ascii="Arial" w:eastAsia="Arial" w:hAnsi="Arial" w:cs="Arial"/>
        </w:rPr>
        <w:t xml:space="preserve">, </w:t>
      </w:r>
      <w:r w:rsidR="00472BBC" w:rsidRPr="009A2C70">
        <w:rPr>
          <w:rFonts w:ascii="Arial" w:eastAsia="Arial" w:hAnsi="Arial" w:cs="Arial"/>
        </w:rPr>
        <w:t xml:space="preserve">the </w:t>
      </w:r>
      <w:r w:rsidR="00AC0538" w:rsidRPr="009A2C70">
        <w:rPr>
          <w:rFonts w:ascii="Arial" w:eastAsia="Arial" w:hAnsi="Arial" w:cs="Arial"/>
        </w:rPr>
        <w:t>WRAG will recommend that the Region II Regional Administrator notify the Director</w:t>
      </w:r>
      <w:r w:rsidR="005A6C39">
        <w:rPr>
          <w:rFonts w:ascii="Arial" w:eastAsia="Arial" w:hAnsi="Arial" w:cs="Arial"/>
        </w:rPr>
        <w:t>,</w:t>
      </w:r>
      <w:r w:rsidR="00AC0538" w:rsidRPr="009A2C70">
        <w:rPr>
          <w:rFonts w:ascii="Arial" w:eastAsia="Arial" w:hAnsi="Arial" w:cs="Arial"/>
        </w:rPr>
        <w:t xml:space="preserve"> NRR that it is reasonable to conclude that the findings can be </w:t>
      </w:r>
      <w:r w:rsidR="00AC0538" w:rsidRPr="009A2C70">
        <w:rPr>
          <w:rFonts w:ascii="Arial" w:eastAsia="Arial" w:hAnsi="Arial" w:cs="Arial"/>
          <w:spacing w:val="1"/>
        </w:rPr>
        <w:t>made in accordance with 10 CFR 50.57(a)(1), 50.57(a)(2), and 50.57(a)(3)(ii).</w:t>
      </w:r>
      <w:r w:rsidR="00426CAC" w:rsidRPr="009A2C70">
        <w:rPr>
          <w:rFonts w:ascii="Arial" w:eastAsia="Arial" w:hAnsi="Arial" w:cs="Arial"/>
          <w:spacing w:val="1"/>
        </w:rPr>
        <w:t xml:space="preserve">  </w:t>
      </w:r>
    </w:p>
    <w:p w:rsidR="00426CAC" w:rsidRPr="009A2C70" w:rsidRDefault="00426CAC"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spacing w:val="1"/>
        </w:rPr>
      </w:pPr>
    </w:p>
    <w:p w:rsidR="00CE5DD4" w:rsidRDefault="00426CAC"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8"/>
        <w:rPr>
          <w:rFonts w:ascii="Arial" w:eastAsia="Arial" w:hAnsi="Arial" w:cs="Arial"/>
          <w:spacing w:val="1"/>
        </w:rPr>
        <w:sectPr w:rsidR="00CE5DD4" w:rsidSect="00CE5DD4">
          <w:footerReference w:type="even" r:id="rId10"/>
          <w:pgSz w:w="12240" w:h="15840" w:code="1"/>
          <w:pgMar w:top="1440" w:right="1440" w:bottom="1440" w:left="1440" w:header="1440" w:footer="1440" w:gutter="0"/>
          <w:cols w:space="720"/>
          <w:docGrid w:linePitch="299"/>
        </w:sectPr>
      </w:pPr>
      <w:r w:rsidRPr="009A2C70">
        <w:rPr>
          <w:rFonts w:ascii="Arial" w:eastAsia="Arial" w:hAnsi="Arial" w:cs="Arial"/>
          <w:spacing w:val="1"/>
        </w:rPr>
        <w:t xml:space="preserve">The WRAG recommendation will be in the form of a draft memorandum from the Regional Administrator to the Director entitled “Readiness of Watts Bar 2 to </w:t>
      </w:r>
      <w:r w:rsidR="00032274" w:rsidRPr="009A2C70">
        <w:rPr>
          <w:rFonts w:ascii="Arial" w:eastAsia="Arial" w:hAnsi="Arial" w:cs="Arial"/>
          <w:spacing w:val="1"/>
        </w:rPr>
        <w:t>Receive</w:t>
      </w:r>
      <w:r w:rsidRPr="009A2C70">
        <w:rPr>
          <w:rFonts w:ascii="Arial" w:eastAsia="Arial" w:hAnsi="Arial" w:cs="Arial"/>
          <w:spacing w:val="1"/>
        </w:rPr>
        <w:t xml:space="preserve"> an Operating License.”  The draft memorandum will include appendices that identify inspection items that remain to be completed; pending or open enforcement issues; and an assessment o</w:t>
      </w:r>
      <w:r w:rsidR="006E0A61">
        <w:rPr>
          <w:rFonts w:ascii="Arial" w:eastAsia="Arial" w:hAnsi="Arial" w:cs="Arial"/>
          <w:spacing w:val="1"/>
        </w:rPr>
        <w:t>f whether any open allegations a</w:t>
      </w:r>
      <w:r w:rsidRPr="009A2C70">
        <w:rPr>
          <w:rFonts w:ascii="Arial" w:eastAsia="Arial" w:hAnsi="Arial" w:cs="Arial"/>
          <w:spacing w:val="1"/>
        </w:rPr>
        <w:t>ffect</w:t>
      </w:r>
      <w:r w:rsidR="006E0A61">
        <w:rPr>
          <w:rFonts w:ascii="Arial" w:eastAsia="Arial" w:hAnsi="Arial" w:cs="Arial"/>
          <w:spacing w:val="1"/>
        </w:rPr>
        <w:t xml:space="preserve"> a determination of</w:t>
      </w:r>
      <w:r w:rsidRPr="009A2C70">
        <w:rPr>
          <w:rFonts w:ascii="Arial" w:eastAsia="Arial" w:hAnsi="Arial" w:cs="Arial"/>
          <w:spacing w:val="1"/>
        </w:rPr>
        <w:t xml:space="preserve"> reasonable assurance of the three findings. Inspection items remaining to be completed should be discussed in sufficient detail to understand their impact on the proposed issuance of the operating license.  As appropriate, remaining inspection items should be linked to milestones to provide further clarification on any impact to issuance of the operating license.</w:t>
      </w:r>
    </w:p>
    <w:p w:rsidR="00812822" w:rsidRPr="009A2C70" w:rsidRDefault="00812822"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472BBC" w:rsidRPr="009A2C70" w:rsidRDefault="009D3ED8"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sidRPr="009A2C70">
        <w:rPr>
          <w:rFonts w:ascii="Arial" w:eastAsia="Arial" w:hAnsi="Arial" w:cs="Arial"/>
        </w:rPr>
        <w:t>T</w:t>
      </w:r>
      <w:r w:rsidR="00180CC6" w:rsidRPr="009A2C70">
        <w:rPr>
          <w:rFonts w:ascii="Arial" w:eastAsia="Arial" w:hAnsi="Arial" w:cs="Arial"/>
        </w:rPr>
        <w:t xml:space="preserve">he </w:t>
      </w:r>
      <w:r w:rsidRPr="009A2C70">
        <w:rPr>
          <w:rFonts w:ascii="Arial" w:eastAsia="Arial" w:hAnsi="Arial" w:cs="Arial"/>
        </w:rPr>
        <w:t xml:space="preserve">basis for </w:t>
      </w:r>
      <w:r w:rsidR="006156B8">
        <w:rPr>
          <w:rFonts w:ascii="Arial" w:eastAsia="Arial" w:hAnsi="Arial" w:cs="Arial"/>
        </w:rPr>
        <w:t xml:space="preserve">supporting the conclusion </w:t>
      </w:r>
      <w:r w:rsidRPr="009A2C70">
        <w:rPr>
          <w:rFonts w:ascii="Arial" w:eastAsia="Arial" w:hAnsi="Arial" w:cs="Arial"/>
        </w:rPr>
        <w:t xml:space="preserve">that 10 CFR 50.57(a)(1) has been satisfied </w:t>
      </w:r>
      <w:r w:rsidR="00426CAC" w:rsidRPr="009A2C70">
        <w:rPr>
          <w:rFonts w:ascii="Arial" w:eastAsia="Arial" w:hAnsi="Arial" w:cs="Arial"/>
        </w:rPr>
        <w:t>will be</w:t>
      </w:r>
      <w:r w:rsidRPr="009A2C70">
        <w:rPr>
          <w:rFonts w:ascii="Arial" w:eastAsia="Arial" w:hAnsi="Arial" w:cs="Arial"/>
        </w:rPr>
        <w:t xml:space="preserve"> that the inspections identified in IMC 2512 and the IP&amp;S database, as described in IMC 2517 for Watts Bar 2, have been substantially completed and there are no outstanding issues for which the licensee has not developed</w:t>
      </w:r>
      <w:r w:rsidR="005A6C39">
        <w:rPr>
          <w:rFonts w:ascii="Arial" w:eastAsia="Arial" w:hAnsi="Arial" w:cs="Arial"/>
        </w:rPr>
        <w:t xml:space="preserve"> adequate</w:t>
      </w:r>
      <w:r w:rsidRPr="009A2C70">
        <w:rPr>
          <w:rFonts w:ascii="Arial" w:eastAsia="Arial" w:hAnsi="Arial" w:cs="Arial"/>
        </w:rPr>
        <w:t xml:space="preserve"> corrective actions.</w:t>
      </w:r>
    </w:p>
    <w:p w:rsidR="009D3ED8" w:rsidRPr="009A2C70" w:rsidRDefault="009D3ED8"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9D3ED8" w:rsidRPr="009A2C70" w:rsidRDefault="009D3ED8"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sidRPr="009A2C70">
        <w:rPr>
          <w:rFonts w:ascii="Arial" w:eastAsia="Arial" w:hAnsi="Arial" w:cs="Arial"/>
        </w:rPr>
        <w:t xml:space="preserve">The basis for </w:t>
      </w:r>
      <w:r w:rsidR="006156B8">
        <w:rPr>
          <w:rFonts w:ascii="Arial" w:eastAsia="Arial" w:hAnsi="Arial" w:cs="Arial"/>
        </w:rPr>
        <w:t>supporting the conclusion</w:t>
      </w:r>
      <w:r w:rsidR="006156B8" w:rsidRPr="009A2C70">
        <w:rPr>
          <w:rFonts w:ascii="Arial" w:eastAsia="Arial" w:hAnsi="Arial" w:cs="Arial"/>
        </w:rPr>
        <w:t xml:space="preserve"> </w:t>
      </w:r>
      <w:r w:rsidRPr="009A2C70">
        <w:rPr>
          <w:rFonts w:ascii="Arial" w:eastAsia="Arial" w:hAnsi="Arial" w:cs="Arial"/>
        </w:rPr>
        <w:t xml:space="preserve">that 10 CFR 50.57(a)(2) has been satisfied </w:t>
      </w:r>
      <w:r w:rsidR="00426CAC" w:rsidRPr="009A2C70">
        <w:rPr>
          <w:rFonts w:ascii="Arial" w:eastAsia="Arial" w:hAnsi="Arial" w:cs="Arial"/>
        </w:rPr>
        <w:t>will be</w:t>
      </w:r>
      <w:r w:rsidRPr="009A2C70">
        <w:rPr>
          <w:rFonts w:ascii="Arial" w:eastAsia="Arial" w:hAnsi="Arial" w:cs="Arial"/>
        </w:rPr>
        <w:t xml:space="preserve"> that the inspections identified in IMC 2513, Appendix A, as described in IMC 2517 for Watts Bar 2, have been substantially completed and there are no outstanding issues for which the licensee has not developed</w:t>
      </w:r>
      <w:r w:rsidR="005A6C39">
        <w:rPr>
          <w:rFonts w:ascii="Arial" w:eastAsia="Arial" w:hAnsi="Arial" w:cs="Arial"/>
        </w:rPr>
        <w:t xml:space="preserve"> adequate</w:t>
      </w:r>
      <w:r w:rsidRPr="009A2C70">
        <w:rPr>
          <w:rFonts w:ascii="Arial" w:eastAsia="Arial" w:hAnsi="Arial" w:cs="Arial"/>
        </w:rPr>
        <w:t xml:space="preserve"> corrective actions.</w:t>
      </w:r>
    </w:p>
    <w:p w:rsidR="00472BBC" w:rsidRPr="009A2C70" w:rsidRDefault="00472BBC"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B14DD1" w:rsidRDefault="009D3ED8"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sidRPr="009A2C70">
        <w:rPr>
          <w:rFonts w:ascii="Arial" w:eastAsia="Arial" w:hAnsi="Arial" w:cs="Arial"/>
        </w:rPr>
        <w:t xml:space="preserve">The basis </w:t>
      </w:r>
      <w:r w:rsidR="006156B8" w:rsidRPr="009A2C70">
        <w:rPr>
          <w:rFonts w:ascii="Arial" w:eastAsia="Arial" w:hAnsi="Arial" w:cs="Arial"/>
        </w:rPr>
        <w:t xml:space="preserve">for </w:t>
      </w:r>
      <w:r w:rsidR="006156B8">
        <w:rPr>
          <w:rFonts w:ascii="Arial" w:eastAsia="Arial" w:hAnsi="Arial" w:cs="Arial"/>
        </w:rPr>
        <w:t>supporting the conclusion</w:t>
      </w:r>
      <w:r w:rsidR="006156B8" w:rsidRPr="009A2C70">
        <w:rPr>
          <w:rFonts w:ascii="Arial" w:eastAsia="Arial" w:hAnsi="Arial" w:cs="Arial"/>
        </w:rPr>
        <w:t xml:space="preserve"> </w:t>
      </w:r>
      <w:r w:rsidRPr="009A2C70">
        <w:rPr>
          <w:rFonts w:ascii="Arial" w:eastAsia="Arial" w:hAnsi="Arial" w:cs="Arial"/>
        </w:rPr>
        <w:t xml:space="preserve">that 10 CFR 50.57(a)(3)(ii) has been satisfied </w:t>
      </w:r>
      <w:r w:rsidR="00426CAC" w:rsidRPr="009A2C70">
        <w:rPr>
          <w:rFonts w:ascii="Arial" w:eastAsia="Arial" w:hAnsi="Arial" w:cs="Arial"/>
        </w:rPr>
        <w:t>will be</w:t>
      </w:r>
      <w:r w:rsidRPr="009A2C70">
        <w:rPr>
          <w:rFonts w:ascii="Arial" w:eastAsia="Arial" w:hAnsi="Arial" w:cs="Arial"/>
        </w:rPr>
        <w:t xml:space="preserve"> that the inspections identified in IMC 2513, Appendix B, as described in IMC 2517 for Watts Bar 2, have been substantially completed and there are no outstanding issues for which the licensee has not developed</w:t>
      </w:r>
      <w:r w:rsidR="005A6C39">
        <w:rPr>
          <w:rFonts w:ascii="Arial" w:eastAsia="Arial" w:hAnsi="Arial" w:cs="Arial"/>
        </w:rPr>
        <w:t xml:space="preserve"> adequate</w:t>
      </w:r>
      <w:r w:rsidRPr="009A2C70">
        <w:rPr>
          <w:rFonts w:ascii="Arial" w:eastAsia="Arial" w:hAnsi="Arial" w:cs="Arial"/>
        </w:rPr>
        <w:t xml:space="preserve"> corrective actions</w:t>
      </w:r>
      <w:r w:rsidR="00B14DD1" w:rsidRPr="009A2C70">
        <w:rPr>
          <w:rFonts w:ascii="Arial" w:eastAsia="Arial" w:hAnsi="Arial" w:cs="Arial"/>
        </w:rPr>
        <w:t>.  This</w:t>
      </w:r>
      <w:r w:rsidR="005A6C39">
        <w:rPr>
          <w:rFonts w:ascii="Arial" w:eastAsia="Arial" w:hAnsi="Arial" w:cs="Arial"/>
        </w:rPr>
        <w:t xml:space="preserve"> will</w:t>
      </w:r>
      <w:r w:rsidR="00B14DD1" w:rsidRPr="009A2C70">
        <w:rPr>
          <w:rFonts w:ascii="Arial" w:eastAsia="Arial" w:hAnsi="Arial" w:cs="Arial"/>
        </w:rPr>
        <w:t xml:space="preserve"> include</w:t>
      </w:r>
      <w:r w:rsidR="005A6C39">
        <w:rPr>
          <w:rFonts w:ascii="Arial" w:eastAsia="Arial" w:hAnsi="Arial" w:cs="Arial"/>
        </w:rPr>
        <w:t xml:space="preserve"> the completion</w:t>
      </w:r>
      <w:r w:rsidR="00B14DD1" w:rsidRPr="009A2C70">
        <w:rPr>
          <w:rFonts w:ascii="Arial" w:eastAsia="Arial" w:hAnsi="Arial" w:cs="Arial"/>
        </w:rPr>
        <w:t xml:space="preserve"> of an Operational Readi</w:t>
      </w:r>
      <w:r w:rsidR="005A6C39">
        <w:rPr>
          <w:rFonts w:ascii="Arial" w:eastAsia="Arial" w:hAnsi="Arial" w:cs="Arial"/>
        </w:rPr>
        <w:t>ness Assessment Team inspection.</w:t>
      </w:r>
    </w:p>
    <w:p w:rsidR="005A6C39" w:rsidRPr="009A2C70" w:rsidRDefault="005A6C39"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B14DD1" w:rsidRPr="009A2C70" w:rsidRDefault="005A6C39"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Pr>
          <w:rFonts w:ascii="Arial" w:eastAsia="Arial" w:hAnsi="Arial" w:cs="Arial"/>
        </w:rPr>
        <w:t>Region II may consider an inspection “substantially completed” without completing all of the inspection activities identified in the applicable inspection procedures.  For example</w:t>
      </w:r>
      <w:r w:rsidR="00AE5775">
        <w:rPr>
          <w:rFonts w:ascii="Arial" w:eastAsia="Arial" w:hAnsi="Arial" w:cs="Arial"/>
        </w:rPr>
        <w:t>,</w:t>
      </w:r>
      <w:r>
        <w:rPr>
          <w:rFonts w:ascii="Arial" w:eastAsia="Arial" w:hAnsi="Arial" w:cs="Arial"/>
        </w:rPr>
        <w:t xml:space="preserve"> several inspections identified in the WBN2 Inspection Planning and Scheduling System cannot be completed prior to fuel load or start-up testing.  In addition, some system tests require inspection between the time TVA submits its substantially complete letter and the actual date when the facility </w:t>
      </w:r>
      <w:r w:rsidR="00AE5775">
        <w:rPr>
          <w:rFonts w:ascii="Arial" w:eastAsia="Arial" w:hAnsi="Arial" w:cs="Arial"/>
        </w:rPr>
        <w:t>will</w:t>
      </w:r>
      <w:r>
        <w:rPr>
          <w:rFonts w:ascii="Arial" w:eastAsia="Arial" w:hAnsi="Arial" w:cs="Arial"/>
        </w:rPr>
        <w:t xml:space="preserve"> be ready for fuel load.  Consequently, the WRAG recommendation to the Region II Regional Administrator should be based on the completion of a sufficient amount of inspection to have reasonable assurance of the ability of the system, structure, component, or operational program to perform </w:t>
      </w:r>
      <w:r w:rsidR="003E636B">
        <w:rPr>
          <w:rFonts w:ascii="Arial" w:eastAsia="Arial" w:hAnsi="Arial" w:cs="Arial"/>
        </w:rPr>
        <w:t xml:space="preserve">as described in the application or applicable regulation. </w:t>
      </w:r>
    </w:p>
    <w:p w:rsidR="009D3ED8" w:rsidRPr="009A2C70" w:rsidRDefault="009D3ED8"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032274" w:rsidRPr="009A2C70" w:rsidRDefault="00032274"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sidRPr="009A2C70">
        <w:rPr>
          <w:rFonts w:ascii="Arial" w:eastAsia="Arial" w:hAnsi="Arial" w:cs="Arial"/>
        </w:rPr>
        <w:t>The</w:t>
      </w:r>
      <w:r w:rsidR="003E636B">
        <w:rPr>
          <w:rFonts w:ascii="Arial" w:eastAsia="Arial" w:hAnsi="Arial" w:cs="Arial"/>
        </w:rPr>
        <w:t xml:space="preserve"> Region II</w:t>
      </w:r>
      <w:r w:rsidRPr="009A2C70">
        <w:rPr>
          <w:rFonts w:ascii="Arial" w:eastAsia="Arial" w:hAnsi="Arial" w:cs="Arial"/>
        </w:rPr>
        <w:t xml:space="preserve"> Regional Administrator will issu</w:t>
      </w:r>
      <w:r w:rsidR="006156B8">
        <w:rPr>
          <w:rFonts w:ascii="Arial" w:eastAsia="Arial" w:hAnsi="Arial" w:cs="Arial"/>
        </w:rPr>
        <w:t xml:space="preserve">e the Readiness Memorandum </w:t>
      </w:r>
      <w:r w:rsidR="003E636B">
        <w:rPr>
          <w:rFonts w:ascii="Arial" w:eastAsia="Arial" w:hAnsi="Arial" w:cs="Arial"/>
        </w:rPr>
        <w:t>after determining</w:t>
      </w:r>
      <w:r w:rsidRPr="009A2C70">
        <w:rPr>
          <w:rFonts w:ascii="Arial" w:eastAsia="Arial" w:hAnsi="Arial" w:cs="Arial"/>
        </w:rPr>
        <w:t xml:space="preserve">, based on the contents of the </w:t>
      </w:r>
      <w:r w:rsidR="006156B8">
        <w:rPr>
          <w:rFonts w:ascii="Arial" w:eastAsia="Arial" w:hAnsi="Arial" w:cs="Arial"/>
          <w:spacing w:val="1"/>
        </w:rPr>
        <w:t>WRAG</w:t>
      </w:r>
      <w:r w:rsidR="003E636B">
        <w:rPr>
          <w:rFonts w:ascii="Arial" w:eastAsia="Arial" w:hAnsi="Arial" w:cs="Arial"/>
        </w:rPr>
        <w:t xml:space="preserve"> </w:t>
      </w:r>
      <w:r w:rsidRPr="009A2C70">
        <w:rPr>
          <w:rFonts w:ascii="Arial" w:eastAsia="Arial" w:hAnsi="Arial" w:cs="Arial"/>
        </w:rPr>
        <w:t>memo</w:t>
      </w:r>
      <w:r w:rsidR="003E636B">
        <w:rPr>
          <w:rFonts w:ascii="Arial" w:eastAsia="Arial" w:hAnsi="Arial" w:cs="Arial"/>
        </w:rPr>
        <w:t>randum,</w:t>
      </w:r>
      <w:r w:rsidRPr="009A2C70">
        <w:rPr>
          <w:rFonts w:ascii="Arial" w:eastAsia="Arial" w:hAnsi="Arial" w:cs="Arial"/>
        </w:rPr>
        <w:t xml:space="preserve"> his familiarity with the status of the site</w:t>
      </w:r>
      <w:r w:rsidR="003E636B">
        <w:rPr>
          <w:rFonts w:ascii="Arial" w:eastAsia="Arial" w:hAnsi="Arial" w:cs="Arial"/>
        </w:rPr>
        <w:t>,</w:t>
      </w:r>
      <w:r w:rsidRPr="009A2C70">
        <w:rPr>
          <w:rFonts w:ascii="Arial" w:eastAsia="Arial" w:hAnsi="Arial" w:cs="Arial"/>
        </w:rPr>
        <w:t xml:space="preserve"> and the results of the periodic performance assessments described in IMC 2517</w:t>
      </w:r>
      <w:r w:rsidR="003E636B">
        <w:rPr>
          <w:rFonts w:ascii="Arial" w:eastAsia="Arial" w:hAnsi="Arial" w:cs="Arial"/>
        </w:rPr>
        <w:t>,</w:t>
      </w:r>
      <w:r w:rsidRPr="009A2C70">
        <w:rPr>
          <w:rFonts w:ascii="Arial" w:eastAsia="Arial" w:hAnsi="Arial" w:cs="Arial"/>
        </w:rPr>
        <w:t xml:space="preserve"> that there is reasonable assurance that the findings of </w:t>
      </w:r>
      <w:r w:rsidRPr="009A2C70">
        <w:rPr>
          <w:rFonts w:ascii="Arial" w:eastAsia="Arial" w:hAnsi="Arial" w:cs="Arial"/>
          <w:spacing w:val="1"/>
        </w:rPr>
        <w:t>10 CFR 50.57(a)(1), 50.57(a)(2), and 50.57(a)(3)(ii) have been met.</w:t>
      </w:r>
    </w:p>
    <w:p w:rsidR="00032274" w:rsidRPr="009A2C70" w:rsidRDefault="00032274"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p>
    <w:p w:rsidR="001574DD" w:rsidRPr="009A2C70" w:rsidRDefault="00747C6B"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spacing w:val="1"/>
        </w:rPr>
      </w:pPr>
      <w:r w:rsidRPr="009A2C70">
        <w:rPr>
          <w:rFonts w:ascii="Arial" w:eastAsia="Arial" w:hAnsi="Arial" w:cs="Arial"/>
          <w:spacing w:val="1"/>
        </w:rPr>
        <w:t>If</w:t>
      </w:r>
      <w:r w:rsidR="003E636B">
        <w:rPr>
          <w:rFonts w:ascii="Arial" w:eastAsia="Arial" w:hAnsi="Arial" w:cs="Arial"/>
          <w:spacing w:val="1"/>
        </w:rPr>
        <w:t xml:space="preserve"> TVA experiences significant</w:t>
      </w:r>
      <w:r w:rsidRPr="009A2C70">
        <w:rPr>
          <w:rFonts w:ascii="Arial" w:eastAsia="Arial" w:hAnsi="Arial" w:cs="Arial"/>
          <w:spacing w:val="1"/>
        </w:rPr>
        <w:t xml:space="preserve"> delays</w:t>
      </w:r>
      <w:r w:rsidR="003E636B">
        <w:rPr>
          <w:rFonts w:ascii="Arial" w:eastAsia="Arial" w:hAnsi="Arial" w:cs="Arial"/>
          <w:spacing w:val="1"/>
        </w:rPr>
        <w:t xml:space="preserve"> in the closure of remaining open items and/or </w:t>
      </w:r>
      <w:r w:rsidR="00AE5775">
        <w:rPr>
          <w:rFonts w:ascii="Arial" w:eastAsia="Arial" w:hAnsi="Arial" w:cs="Arial"/>
          <w:spacing w:val="1"/>
        </w:rPr>
        <w:t>testing</w:t>
      </w:r>
      <w:r w:rsidR="00AE5775" w:rsidRPr="009A2C70">
        <w:rPr>
          <w:rFonts w:ascii="Arial" w:eastAsia="Arial" w:hAnsi="Arial" w:cs="Arial"/>
          <w:spacing w:val="1"/>
        </w:rPr>
        <w:t xml:space="preserve"> after</w:t>
      </w:r>
      <w:r w:rsidR="009115A7" w:rsidRPr="009A2C70">
        <w:rPr>
          <w:rFonts w:ascii="Arial" w:eastAsia="Arial" w:hAnsi="Arial" w:cs="Arial"/>
          <w:spacing w:val="1"/>
        </w:rPr>
        <w:t xml:space="preserve"> the </w:t>
      </w:r>
      <w:r w:rsidR="003B66D0">
        <w:rPr>
          <w:rFonts w:ascii="Arial" w:eastAsia="Arial" w:hAnsi="Arial" w:cs="Arial"/>
          <w:spacing w:val="1"/>
        </w:rPr>
        <w:t>Readiness Memorandum</w:t>
      </w:r>
      <w:r w:rsidR="009115A7" w:rsidRPr="009A2C70">
        <w:rPr>
          <w:rFonts w:ascii="Arial" w:eastAsia="Arial" w:hAnsi="Arial" w:cs="Arial"/>
          <w:spacing w:val="1"/>
        </w:rPr>
        <w:t xml:space="preserve"> is issued, Region II and NRR should discuss whether a follow-up </w:t>
      </w:r>
      <w:r w:rsidR="003B66D0">
        <w:rPr>
          <w:rFonts w:ascii="Arial" w:eastAsia="Arial" w:hAnsi="Arial" w:cs="Arial"/>
          <w:spacing w:val="1"/>
        </w:rPr>
        <w:t>Readiness Memorandum</w:t>
      </w:r>
      <w:r w:rsidR="009115A7" w:rsidRPr="009A2C70">
        <w:rPr>
          <w:rFonts w:ascii="Arial" w:eastAsia="Arial" w:hAnsi="Arial" w:cs="Arial"/>
          <w:spacing w:val="1"/>
        </w:rPr>
        <w:t xml:space="preserve"> should be issued. </w:t>
      </w:r>
      <w:r w:rsidRPr="009A2C70">
        <w:rPr>
          <w:rFonts w:ascii="Arial" w:eastAsia="Arial" w:hAnsi="Arial" w:cs="Arial"/>
          <w:spacing w:val="1"/>
        </w:rPr>
        <w:t xml:space="preserve"> </w:t>
      </w:r>
      <w:r w:rsidR="003E636B">
        <w:rPr>
          <w:rFonts w:ascii="Arial" w:eastAsia="Arial" w:hAnsi="Arial" w:cs="Arial"/>
          <w:spacing w:val="1"/>
        </w:rPr>
        <w:t>Region II will promptly notify the Director, NRR of a</w:t>
      </w:r>
      <w:r w:rsidR="00032274" w:rsidRPr="009A2C70">
        <w:rPr>
          <w:rFonts w:ascii="Arial" w:eastAsia="Arial" w:hAnsi="Arial" w:cs="Arial"/>
          <w:spacing w:val="1"/>
        </w:rPr>
        <w:t xml:space="preserve">ny significant performance deficiencies or test failures </w:t>
      </w:r>
      <w:r w:rsidR="006E0A61">
        <w:rPr>
          <w:rFonts w:ascii="Arial" w:eastAsia="Arial" w:hAnsi="Arial" w:cs="Arial"/>
          <w:spacing w:val="1"/>
        </w:rPr>
        <w:t>that occur after the Readiness M</w:t>
      </w:r>
      <w:r w:rsidR="00032274" w:rsidRPr="009A2C70">
        <w:rPr>
          <w:rFonts w:ascii="Arial" w:eastAsia="Arial" w:hAnsi="Arial" w:cs="Arial"/>
          <w:spacing w:val="1"/>
        </w:rPr>
        <w:t>emorandum is issued</w:t>
      </w:r>
      <w:r w:rsidR="003E636B">
        <w:rPr>
          <w:rFonts w:ascii="Arial" w:eastAsia="Arial" w:hAnsi="Arial" w:cs="Arial"/>
          <w:spacing w:val="1"/>
        </w:rPr>
        <w:t>,</w:t>
      </w:r>
      <w:r w:rsidR="00032274" w:rsidRPr="009A2C70">
        <w:rPr>
          <w:rFonts w:ascii="Arial" w:eastAsia="Arial" w:hAnsi="Arial" w:cs="Arial"/>
          <w:spacing w:val="1"/>
        </w:rPr>
        <w:t xml:space="preserve"> but prior to issuance of the Operating License.  Any issues identified after </w:t>
      </w:r>
      <w:r w:rsidR="00A838D5" w:rsidRPr="009A2C70">
        <w:rPr>
          <w:rFonts w:ascii="Arial" w:eastAsia="Arial" w:hAnsi="Arial" w:cs="Arial"/>
          <w:spacing w:val="1"/>
        </w:rPr>
        <w:t>issuance of the Operating License will be addressed through the NRC’s normal assessment and enforcement processes.</w:t>
      </w:r>
    </w:p>
    <w:p w:rsidR="001574DD" w:rsidRPr="009A2C70" w:rsidRDefault="001574DD"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spacing w:val="1"/>
        </w:rPr>
      </w:pPr>
    </w:p>
    <w:p w:rsidR="007F7F4A" w:rsidRPr="009A2C70" w:rsidRDefault="00057AC4" w:rsidP="003502A0">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9"/>
        <w:rPr>
          <w:rFonts w:ascii="Arial" w:eastAsia="Arial" w:hAnsi="Arial" w:cs="Arial"/>
        </w:rPr>
      </w:pPr>
      <w:r w:rsidRPr="009A2C70">
        <w:rPr>
          <w:rFonts w:ascii="Arial" w:eastAsia="Arial" w:hAnsi="Arial" w:cs="Arial"/>
          <w:spacing w:val="1"/>
        </w:rPr>
        <w:t xml:space="preserve">Late-filed allegations should be </w:t>
      </w:r>
      <w:r w:rsidR="009A4DBF" w:rsidRPr="009A2C70">
        <w:rPr>
          <w:rFonts w:ascii="Arial" w:eastAsia="Arial" w:hAnsi="Arial" w:cs="Arial"/>
          <w:spacing w:val="1"/>
        </w:rPr>
        <w:t>handled</w:t>
      </w:r>
      <w:r w:rsidRPr="009A2C70">
        <w:rPr>
          <w:rFonts w:ascii="Arial" w:eastAsia="Arial" w:hAnsi="Arial" w:cs="Arial"/>
          <w:spacing w:val="1"/>
        </w:rPr>
        <w:t xml:space="preserve"> in accordance with Allegation Guidance Memorandum 2011-001, “Late-Filed </w:t>
      </w:r>
      <w:r w:rsidR="00FB08E8" w:rsidRPr="009A2C70">
        <w:rPr>
          <w:rFonts w:ascii="Arial" w:eastAsia="Arial" w:hAnsi="Arial" w:cs="Arial"/>
          <w:spacing w:val="1"/>
        </w:rPr>
        <w:t>Allegations</w:t>
      </w:r>
      <w:r w:rsidRPr="009A2C70">
        <w:rPr>
          <w:rFonts w:ascii="Arial" w:eastAsia="Arial" w:hAnsi="Arial" w:cs="Arial"/>
          <w:spacing w:val="1"/>
        </w:rPr>
        <w:t xml:space="preserve">.”  (ADAMS Accession No. ML11227A241) </w:t>
      </w:r>
    </w:p>
    <w:p w:rsidR="00C42F25" w:rsidRPr="009A2C70" w:rsidRDefault="00C42F25" w:rsidP="00DC6A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right="5181"/>
        <w:jc w:val="both"/>
        <w:rPr>
          <w:rFonts w:ascii="Arial" w:eastAsia="Arial" w:hAnsi="Arial" w:cs="Arial"/>
          <w:spacing w:val="1"/>
        </w:rPr>
      </w:pPr>
    </w:p>
    <w:p w:rsidR="007F7F4A" w:rsidRPr="009A2C70" w:rsidRDefault="007F7F4A"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7" w:after="0" w:line="240" w:lineRule="auto"/>
        <w:rPr>
          <w:rFonts w:ascii="Arial" w:hAnsi="Arial" w:cs="Arial"/>
        </w:rPr>
      </w:pPr>
    </w:p>
    <w:p w:rsidR="00DB7E9D" w:rsidRPr="009A2C70" w:rsidRDefault="00DB7E9D" w:rsidP="00DC6A29">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959" w:right="59" w:hanging="959"/>
        <w:jc w:val="both"/>
        <w:rPr>
          <w:rFonts w:ascii="Arial" w:hAnsi="Arial" w:cs="Arial"/>
        </w:rPr>
      </w:pPr>
    </w:p>
    <w:p w:rsidR="00DB7E9D" w:rsidRPr="009A2C70" w:rsidRDefault="00DB7E9D" w:rsidP="00DC6A29">
      <w:pPr>
        <w:tabs>
          <w:tab w:val="left" w:pos="274"/>
          <w:tab w:val="left" w:pos="806"/>
          <w:tab w:val="left" w:pos="9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959" w:right="58" w:hanging="959"/>
        <w:jc w:val="both"/>
        <w:rPr>
          <w:rFonts w:ascii="Arial" w:hAnsi="Arial" w:cs="Arial"/>
        </w:rPr>
      </w:pPr>
    </w:p>
    <w:p w:rsidR="006951E4" w:rsidRPr="009A2C70" w:rsidRDefault="00DB7E9D" w:rsidP="003502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4509" w:right="4230"/>
        <w:jc w:val="center"/>
        <w:rPr>
          <w:rFonts w:ascii="Arial" w:eastAsia="Arial" w:hAnsi="Arial" w:cs="Arial"/>
          <w:spacing w:val="1"/>
        </w:rPr>
      </w:pPr>
      <w:r w:rsidRPr="009A2C70">
        <w:rPr>
          <w:rFonts w:ascii="Arial" w:eastAsia="Arial" w:hAnsi="Arial" w:cs="Arial"/>
          <w:spacing w:val="1"/>
          <w:w w:val="99"/>
        </w:rPr>
        <w:t>E</w:t>
      </w:r>
      <w:r w:rsidRPr="009A2C70">
        <w:rPr>
          <w:rFonts w:ascii="Arial" w:eastAsia="Arial" w:hAnsi="Arial" w:cs="Arial"/>
          <w:spacing w:val="-1"/>
        </w:rPr>
        <w:t>N</w:t>
      </w:r>
      <w:r w:rsidR="003502A0">
        <w:rPr>
          <w:rFonts w:ascii="Arial" w:eastAsia="Arial" w:hAnsi="Arial" w:cs="Arial"/>
          <w:spacing w:val="-1"/>
        </w:rPr>
        <w:t>D</w:t>
      </w:r>
    </w:p>
    <w:p w:rsidR="00ED2F95" w:rsidRDefault="00ED2F95" w:rsidP="00DC6A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4509" w:right="4488"/>
        <w:rPr>
          <w:rFonts w:ascii="Arial" w:eastAsia="Arial" w:hAnsi="Arial" w:cs="Arial"/>
          <w:spacing w:val="1"/>
        </w:rPr>
        <w:sectPr w:rsidR="00ED2F95" w:rsidSect="00CE5DD4">
          <w:footerReference w:type="default" r:id="rId11"/>
          <w:pgSz w:w="12240" w:h="15840" w:code="1"/>
          <w:pgMar w:top="1440" w:right="1440" w:bottom="1440" w:left="1440" w:header="1440" w:footer="1440" w:gutter="0"/>
          <w:cols w:space="720"/>
          <w:docGrid w:linePitch="299"/>
        </w:sectPr>
      </w:pPr>
    </w:p>
    <w:p w:rsidR="00ED2F95" w:rsidRDefault="00ED2F95" w:rsidP="00ED2F95">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1" w:name="_Toc166392890"/>
      <w:bookmarkStart w:id="2" w:name="_Toc166462813"/>
      <w:bookmarkStart w:id="3" w:name="_Toc168390786"/>
      <w:bookmarkStart w:id="4" w:name="_Toc168390861"/>
      <w:bookmarkStart w:id="5" w:name="_Toc168393146"/>
      <w:bookmarkStart w:id="6" w:name="_Toc168393299"/>
      <w:bookmarkStart w:id="7" w:name="_Toc168393404"/>
      <w:bookmarkStart w:id="8" w:name="_Toc168911238"/>
      <w:bookmarkStart w:id="9" w:name="_Toc168911467"/>
      <w:bookmarkStart w:id="10" w:name="_Toc192323324"/>
      <w:bookmarkStart w:id="11" w:name="_Toc193523661"/>
      <w:bookmarkStart w:id="12" w:name="_Toc237151135"/>
      <w:r>
        <w:rPr>
          <w:sz w:val="22"/>
          <w:szCs w:val="22"/>
        </w:rPr>
        <w:lastRenderedPageBreak/>
        <w:t>Attachment 1</w:t>
      </w:r>
    </w:p>
    <w:p w:rsidR="00ED2F95" w:rsidRPr="00ED2F95" w:rsidRDefault="00ED2F95" w:rsidP="00ED2F95">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r w:rsidRPr="00ED2F95">
        <w:rPr>
          <w:sz w:val="22"/>
          <w:szCs w:val="22"/>
        </w:rPr>
        <w:t xml:space="preserve">Revision History </w:t>
      </w:r>
      <w:bookmarkEnd w:id="1"/>
      <w:bookmarkEnd w:id="2"/>
      <w:bookmarkEnd w:id="3"/>
      <w:bookmarkEnd w:id="4"/>
      <w:bookmarkEnd w:id="5"/>
      <w:bookmarkEnd w:id="6"/>
      <w:bookmarkEnd w:id="7"/>
      <w:bookmarkEnd w:id="8"/>
      <w:bookmarkEnd w:id="9"/>
      <w:bookmarkEnd w:id="10"/>
      <w:bookmarkEnd w:id="11"/>
      <w:bookmarkEnd w:id="12"/>
      <w:r w:rsidRPr="00ED2F95">
        <w:rPr>
          <w:sz w:val="22"/>
          <w:szCs w:val="22"/>
        </w:rPr>
        <w:t>for IP 94302</w:t>
      </w: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ascii="Arial" w:hAnsi="Arial" w:cs="Arial"/>
        </w:rPr>
      </w:pP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ascii="Arial" w:hAnsi="Arial" w:cs="Arial"/>
        </w:rPr>
      </w:pPr>
    </w:p>
    <w:tbl>
      <w:tblPr>
        <w:tblW w:w="13230" w:type="dxa"/>
        <w:tblInd w:w="120" w:type="dxa"/>
        <w:tblLayout w:type="fixed"/>
        <w:tblCellMar>
          <w:left w:w="120" w:type="dxa"/>
          <w:right w:w="120" w:type="dxa"/>
        </w:tblCellMar>
        <w:tblLook w:val="0000" w:firstRow="0" w:lastRow="0" w:firstColumn="0" w:lastColumn="0" w:noHBand="0" w:noVBand="0"/>
      </w:tblPr>
      <w:tblGrid>
        <w:gridCol w:w="1620"/>
        <w:gridCol w:w="1790"/>
        <w:gridCol w:w="5320"/>
        <w:gridCol w:w="2520"/>
        <w:gridCol w:w="1980"/>
      </w:tblGrid>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Commitment Tracking Number</w:t>
            </w: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ascii="Arial" w:hAnsi="Arial" w:cs="Arial"/>
              </w:rPr>
            </w:pPr>
            <w:r w:rsidRPr="00ED2F95">
              <w:rPr>
                <w:rFonts w:ascii="Arial" w:hAnsi="Arial" w:cs="Arial"/>
              </w:rPr>
              <w:t>Accession Number</w:t>
            </w: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ascii="Arial" w:hAnsi="Arial" w:cs="Arial"/>
              </w:rPr>
            </w:pPr>
            <w:r w:rsidRPr="00ED2F95">
              <w:rPr>
                <w:rFonts w:ascii="Arial" w:hAnsi="Arial" w:cs="Arial"/>
              </w:rPr>
              <w:t>Issue Date</w:t>
            </w: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ascii="Arial" w:hAnsi="Arial" w:cs="Arial"/>
              </w:rPr>
            </w:pPr>
            <w:r w:rsidRPr="00ED2F95">
              <w:rPr>
                <w:rFonts w:ascii="Arial" w:hAnsi="Arial" w:cs="Arial"/>
              </w:rPr>
              <w:t>Change Notice</w:t>
            </w: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jc w:val="center"/>
              <w:outlineLvl w:val="1"/>
              <w:rPr>
                <w:rFonts w:ascii="Arial" w:hAnsi="Arial" w:cs="Arial"/>
              </w:rPr>
            </w:pPr>
            <w:r w:rsidRPr="00ED2F95">
              <w:rPr>
                <w:rFonts w:ascii="Arial" w:hAnsi="Arial" w:cs="Arial"/>
              </w:rPr>
              <w:t>Description of Change</w:t>
            </w: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Description  of Training Required and Completion Date</w:t>
            </w: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Comment and  Feedback Resolution Accession Number</w:t>
            </w: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(Pre-Decisional, Non-Public)</w:t>
            </w:r>
          </w:p>
        </w:tc>
      </w:tr>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F0719D"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Pr>
                <w:rFonts w:ascii="Arial" w:hAnsi="Arial" w:cs="Arial"/>
              </w:rPr>
              <w:t>ML15029A735</w:t>
            </w: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01/30/2015</w:t>
            </w:r>
          </w:p>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CN 15-002</w:t>
            </w: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This is an initial issuance, which has been created to accommodate the readiness for an operating license solely for Watts Bar 2</w:t>
            </w: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r w:rsidRPr="00ED2F95">
              <w:rPr>
                <w:rFonts w:ascii="Arial" w:hAnsi="Arial" w:cs="Arial"/>
              </w:rPr>
              <w:t>n</w:t>
            </w:r>
            <w:r w:rsidR="00FB49E1">
              <w:rPr>
                <w:rFonts w:ascii="Arial" w:hAnsi="Arial" w:cs="Arial"/>
              </w:rPr>
              <w:t>/</w:t>
            </w:r>
            <w:r w:rsidRPr="00ED2F95">
              <w:rPr>
                <w:rFonts w:ascii="Arial" w:hAnsi="Arial" w:cs="Arial"/>
              </w:rPr>
              <w:t>a</w:t>
            </w:r>
          </w:p>
        </w:tc>
      </w:tr>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r>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r>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r>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r>
      <w:tr w:rsidR="00ED2F95" w:rsidRPr="00ED2F95" w:rsidTr="005E6E7F">
        <w:tc>
          <w:tcPr>
            <w:tcW w:w="16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79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53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252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ED2F95" w:rsidRPr="00ED2F95" w:rsidRDefault="00ED2F95"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line="240" w:lineRule="auto"/>
              <w:outlineLvl w:val="1"/>
              <w:rPr>
                <w:rFonts w:ascii="Arial" w:hAnsi="Arial" w:cs="Arial"/>
              </w:rPr>
            </w:pPr>
          </w:p>
        </w:tc>
      </w:tr>
    </w:tbl>
    <w:p w:rsidR="003502A0" w:rsidRPr="00ED2F95" w:rsidRDefault="003502A0" w:rsidP="00ED2F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0" w:line="240" w:lineRule="auto"/>
        <w:ind w:left="4509" w:right="4488"/>
        <w:rPr>
          <w:rFonts w:ascii="Arial" w:eastAsia="Arial" w:hAnsi="Arial" w:cs="Arial"/>
          <w:spacing w:val="1"/>
        </w:rPr>
      </w:pPr>
    </w:p>
    <w:sectPr w:rsidR="003502A0" w:rsidRPr="00ED2F95" w:rsidSect="00ED2F95">
      <w:footerReference w:type="even" r:id="rId12"/>
      <w:pgSz w:w="15840" w:h="12240" w:orient="landscape" w:code="1"/>
      <w:pgMar w:top="1440" w:right="1440" w:bottom="1440" w:left="1440" w:header="1440" w:footer="14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EDA" w:rsidRDefault="00F80EDA">
      <w:pPr>
        <w:spacing w:after="0" w:line="240" w:lineRule="auto"/>
      </w:pPr>
      <w:r>
        <w:separator/>
      </w:r>
    </w:p>
  </w:endnote>
  <w:endnote w:type="continuationSeparator" w:id="0">
    <w:p w:rsidR="00F80EDA" w:rsidRDefault="00F80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D4" w:rsidRPr="00CE5DD4" w:rsidRDefault="00F0719D" w:rsidP="00CE5DD4">
    <w:pPr>
      <w:pStyle w:val="Footer"/>
      <w:rPr>
        <w:rFonts w:ascii="Arial" w:hAnsi="Arial" w:cs="Arial"/>
      </w:rPr>
    </w:pPr>
    <w:sdt>
      <w:sdtPr>
        <w:rPr>
          <w:rFonts w:ascii="Arial" w:hAnsi="Arial" w:cs="Arial"/>
        </w:rPr>
        <w:id w:val="2012024495"/>
        <w:docPartObj>
          <w:docPartGallery w:val="Page Numbers (Bottom of Page)"/>
          <w:docPartUnique/>
        </w:docPartObj>
      </w:sdtPr>
      <w:sdtEndPr>
        <w:rPr>
          <w:noProof/>
        </w:rPr>
      </w:sdtEndPr>
      <w:sdtContent>
        <w:r w:rsidR="00CE5DD4" w:rsidRPr="00CE5DD4">
          <w:rPr>
            <w:rFonts w:ascii="Arial" w:hAnsi="Arial" w:cs="Arial"/>
          </w:rPr>
          <w:t xml:space="preserve">Issue Date:  </w:t>
        </w:r>
        <w:r>
          <w:rPr>
            <w:rFonts w:ascii="Arial" w:hAnsi="Arial" w:cs="Arial"/>
          </w:rPr>
          <w:t>01/30/15</w:t>
        </w:r>
        <w:r w:rsidR="00CE5DD4">
          <w:rPr>
            <w:rFonts w:ascii="Arial" w:hAnsi="Arial" w:cs="Arial"/>
          </w:rPr>
          <w:tab/>
        </w:r>
        <w:r w:rsidR="00CE5DD4" w:rsidRPr="00CE5DD4">
          <w:rPr>
            <w:rFonts w:ascii="Arial" w:hAnsi="Arial" w:cs="Arial"/>
          </w:rPr>
          <w:fldChar w:fldCharType="begin"/>
        </w:r>
        <w:r w:rsidR="00CE5DD4" w:rsidRPr="00CE5DD4">
          <w:rPr>
            <w:rFonts w:ascii="Arial" w:hAnsi="Arial" w:cs="Arial"/>
          </w:rPr>
          <w:instrText xml:space="preserve"> PAGE   \* MERGEFORMAT </w:instrText>
        </w:r>
        <w:r w:rsidR="00CE5DD4" w:rsidRPr="00CE5DD4">
          <w:rPr>
            <w:rFonts w:ascii="Arial" w:hAnsi="Arial" w:cs="Arial"/>
          </w:rPr>
          <w:fldChar w:fldCharType="separate"/>
        </w:r>
        <w:r>
          <w:rPr>
            <w:rFonts w:ascii="Arial" w:hAnsi="Arial" w:cs="Arial"/>
            <w:noProof/>
          </w:rPr>
          <w:t>1</w:t>
        </w:r>
        <w:r w:rsidR="00CE5DD4" w:rsidRPr="00CE5DD4">
          <w:rPr>
            <w:rFonts w:ascii="Arial" w:hAnsi="Arial" w:cs="Arial"/>
            <w:noProof/>
          </w:rPr>
          <w:fldChar w:fldCharType="end"/>
        </w:r>
      </w:sdtContent>
    </w:sdt>
    <w:r w:rsidR="00CE5DD4">
      <w:rPr>
        <w:rFonts w:ascii="Arial" w:hAnsi="Arial" w:cs="Arial"/>
        <w:noProof/>
      </w:rPr>
      <w:tab/>
      <w:t>IP 94302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353415144"/>
      <w:docPartObj>
        <w:docPartGallery w:val="Page Numbers (Bottom of Page)"/>
        <w:docPartUnique/>
      </w:docPartObj>
    </w:sdtPr>
    <w:sdtEndPr>
      <w:rPr>
        <w:noProof/>
      </w:rPr>
    </w:sdtEndPr>
    <w:sdtContent>
      <w:p w:rsidR="00CE5DD4" w:rsidRPr="00CE5DD4" w:rsidRDefault="00CE5DD4" w:rsidP="00CE5DD4">
        <w:pPr>
          <w:pStyle w:val="Footer"/>
          <w:rPr>
            <w:rFonts w:ascii="Arial" w:hAnsi="Arial" w:cs="Arial"/>
          </w:rPr>
        </w:pPr>
        <w:r w:rsidRPr="00CE5DD4">
          <w:rPr>
            <w:rFonts w:ascii="Arial" w:hAnsi="Arial" w:cs="Arial"/>
          </w:rPr>
          <w:t xml:space="preserve">Issue Date:  </w:t>
        </w:r>
        <w:r w:rsidR="00F0719D">
          <w:rPr>
            <w:rFonts w:ascii="Arial" w:hAnsi="Arial" w:cs="Arial"/>
          </w:rPr>
          <w:t>01/30/15</w:t>
        </w:r>
        <w:r>
          <w:rPr>
            <w:rFonts w:ascii="Arial" w:hAnsi="Arial" w:cs="Arial"/>
          </w:rPr>
          <w:tab/>
        </w:r>
        <w:r w:rsidRPr="00CE5DD4">
          <w:rPr>
            <w:rFonts w:ascii="Arial" w:hAnsi="Arial" w:cs="Arial"/>
          </w:rPr>
          <w:fldChar w:fldCharType="begin"/>
        </w:r>
        <w:r w:rsidRPr="00CE5DD4">
          <w:rPr>
            <w:rFonts w:ascii="Arial" w:hAnsi="Arial" w:cs="Arial"/>
          </w:rPr>
          <w:instrText xml:space="preserve"> PAGE   \* MERGEFORMAT </w:instrText>
        </w:r>
        <w:r w:rsidRPr="00CE5DD4">
          <w:rPr>
            <w:rFonts w:ascii="Arial" w:hAnsi="Arial" w:cs="Arial"/>
          </w:rPr>
          <w:fldChar w:fldCharType="separate"/>
        </w:r>
        <w:r w:rsidR="00F0719D">
          <w:rPr>
            <w:rFonts w:ascii="Arial" w:hAnsi="Arial" w:cs="Arial"/>
            <w:noProof/>
          </w:rPr>
          <w:t>2</w:t>
        </w:r>
        <w:r w:rsidRPr="00CE5DD4">
          <w:rPr>
            <w:rFonts w:ascii="Arial" w:hAnsi="Arial" w:cs="Arial"/>
            <w:noProof/>
          </w:rPr>
          <w:fldChar w:fldCharType="end"/>
        </w:r>
        <w:r>
          <w:rPr>
            <w:rFonts w:ascii="Arial" w:hAnsi="Arial" w:cs="Arial"/>
            <w:noProof/>
          </w:rPr>
          <w:tab/>
          <w:t>IP 94302</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D4" w:rsidRPr="00CE5DD4" w:rsidRDefault="00F0719D" w:rsidP="00CE5DD4">
    <w:pPr>
      <w:pStyle w:val="Footer"/>
      <w:rPr>
        <w:rFonts w:ascii="Arial" w:hAnsi="Arial" w:cs="Arial"/>
      </w:rPr>
    </w:pPr>
    <w:sdt>
      <w:sdtPr>
        <w:rPr>
          <w:rFonts w:ascii="Arial" w:hAnsi="Arial" w:cs="Arial"/>
        </w:rPr>
        <w:id w:val="-2131006839"/>
        <w:docPartObj>
          <w:docPartGallery w:val="Page Numbers (Bottom of Page)"/>
          <w:docPartUnique/>
        </w:docPartObj>
      </w:sdtPr>
      <w:sdtEndPr>
        <w:rPr>
          <w:noProof/>
        </w:rPr>
      </w:sdtEndPr>
      <w:sdtContent>
        <w:r w:rsidR="00CE5DD4" w:rsidRPr="00CE5DD4">
          <w:rPr>
            <w:rFonts w:ascii="Arial" w:hAnsi="Arial" w:cs="Arial"/>
          </w:rPr>
          <w:t xml:space="preserve">Issue Date:  </w:t>
        </w:r>
        <w:r>
          <w:rPr>
            <w:rFonts w:ascii="Arial" w:hAnsi="Arial" w:cs="Arial"/>
          </w:rPr>
          <w:t>01/30/15</w:t>
        </w:r>
        <w:r w:rsidR="00CE5DD4">
          <w:rPr>
            <w:rFonts w:ascii="Arial" w:hAnsi="Arial" w:cs="Arial"/>
          </w:rPr>
          <w:tab/>
        </w:r>
        <w:r w:rsidR="00CE5DD4" w:rsidRPr="00CE5DD4">
          <w:rPr>
            <w:rFonts w:ascii="Arial" w:hAnsi="Arial" w:cs="Arial"/>
          </w:rPr>
          <w:fldChar w:fldCharType="begin"/>
        </w:r>
        <w:r w:rsidR="00CE5DD4" w:rsidRPr="00CE5DD4">
          <w:rPr>
            <w:rFonts w:ascii="Arial" w:hAnsi="Arial" w:cs="Arial"/>
          </w:rPr>
          <w:instrText xml:space="preserve"> PAGE   \* MERGEFORMAT </w:instrText>
        </w:r>
        <w:r w:rsidR="00CE5DD4" w:rsidRPr="00CE5DD4">
          <w:rPr>
            <w:rFonts w:ascii="Arial" w:hAnsi="Arial" w:cs="Arial"/>
          </w:rPr>
          <w:fldChar w:fldCharType="separate"/>
        </w:r>
        <w:r>
          <w:rPr>
            <w:rFonts w:ascii="Arial" w:hAnsi="Arial" w:cs="Arial"/>
            <w:noProof/>
          </w:rPr>
          <w:t>3</w:t>
        </w:r>
        <w:r w:rsidR="00CE5DD4" w:rsidRPr="00CE5DD4">
          <w:rPr>
            <w:rFonts w:ascii="Arial" w:hAnsi="Arial" w:cs="Arial"/>
            <w:noProof/>
          </w:rPr>
          <w:fldChar w:fldCharType="end"/>
        </w:r>
      </w:sdtContent>
    </w:sdt>
    <w:r w:rsidR="00CE5DD4">
      <w:rPr>
        <w:rFonts w:ascii="Arial" w:hAnsi="Arial" w:cs="Arial"/>
        <w:noProof/>
      </w:rPr>
      <w:tab/>
      <w:t>IP 94302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179771527"/>
      <w:docPartObj>
        <w:docPartGallery w:val="Page Numbers (Bottom of Page)"/>
        <w:docPartUnique/>
      </w:docPartObj>
    </w:sdtPr>
    <w:sdtEndPr>
      <w:rPr>
        <w:noProof/>
      </w:rPr>
    </w:sdtEndPr>
    <w:sdtContent>
      <w:p w:rsidR="00ED2F95" w:rsidRPr="00CE5DD4" w:rsidRDefault="00ED2F95" w:rsidP="00ED2F95">
        <w:pPr>
          <w:pStyle w:val="Footer"/>
          <w:tabs>
            <w:tab w:val="clear" w:pos="4680"/>
            <w:tab w:val="clear" w:pos="9360"/>
            <w:tab w:val="center" w:pos="6480"/>
            <w:tab w:val="right" w:pos="12960"/>
          </w:tabs>
          <w:rPr>
            <w:rFonts w:ascii="Arial" w:hAnsi="Arial" w:cs="Arial"/>
          </w:rPr>
        </w:pPr>
        <w:r w:rsidRPr="00CE5DD4">
          <w:rPr>
            <w:rFonts w:ascii="Arial" w:hAnsi="Arial" w:cs="Arial"/>
          </w:rPr>
          <w:t xml:space="preserve">Issue Date:  </w:t>
        </w:r>
        <w:r w:rsidR="00F0719D">
          <w:rPr>
            <w:rFonts w:ascii="Arial" w:hAnsi="Arial" w:cs="Arial"/>
          </w:rPr>
          <w:t>01/30/15</w:t>
        </w:r>
        <w:r>
          <w:rPr>
            <w:rFonts w:ascii="Arial" w:hAnsi="Arial" w:cs="Arial"/>
          </w:rPr>
          <w:tab/>
        </w:r>
        <w:proofErr w:type="spellStart"/>
        <w:r>
          <w:rPr>
            <w:rFonts w:ascii="Arial" w:hAnsi="Arial" w:cs="Arial"/>
          </w:rPr>
          <w:t>Att</w:t>
        </w:r>
        <w:proofErr w:type="spellEnd"/>
        <w:r>
          <w:rPr>
            <w:rFonts w:ascii="Arial" w:hAnsi="Arial" w:cs="Arial"/>
          </w:rPr>
          <w:t xml:space="preserve"> 1 - 1</w:t>
        </w:r>
        <w:r>
          <w:rPr>
            <w:rFonts w:ascii="Arial" w:hAnsi="Arial" w:cs="Arial"/>
            <w:noProof/>
          </w:rPr>
          <w:tab/>
          <w:t>IP 94302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EDA" w:rsidRDefault="00F80EDA">
      <w:pPr>
        <w:spacing w:after="0" w:line="240" w:lineRule="auto"/>
      </w:pPr>
      <w:r>
        <w:separator/>
      </w:r>
    </w:p>
  </w:footnote>
  <w:footnote w:type="continuationSeparator" w:id="0">
    <w:p w:rsidR="00F80EDA" w:rsidRDefault="00F80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F0D88"/>
    <w:multiLevelType w:val="hybridMultilevel"/>
    <w:tmpl w:val="995A82B4"/>
    <w:lvl w:ilvl="0" w:tplc="1628781E">
      <w:start w:val="4"/>
      <w:numFmt w:val="bullet"/>
      <w:lvlText w:val="-"/>
      <w:lvlJc w:val="left"/>
      <w:pPr>
        <w:ind w:left="719" w:hanging="360"/>
      </w:pPr>
      <w:rPr>
        <w:rFonts w:ascii="Arial" w:eastAsia="Arial" w:hAnsi="Arial" w:cs="Aria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F4A"/>
    <w:rsid w:val="00011D60"/>
    <w:rsid w:val="00022FC4"/>
    <w:rsid w:val="00023380"/>
    <w:rsid w:val="00025912"/>
    <w:rsid w:val="00032274"/>
    <w:rsid w:val="00041FD8"/>
    <w:rsid w:val="000515BD"/>
    <w:rsid w:val="0005651D"/>
    <w:rsid w:val="00057610"/>
    <w:rsid w:val="00057AC4"/>
    <w:rsid w:val="000935A3"/>
    <w:rsid w:val="000A65EE"/>
    <w:rsid w:val="000B0037"/>
    <w:rsid w:val="000B1366"/>
    <w:rsid w:val="000B5CDD"/>
    <w:rsid w:val="000E3AF2"/>
    <w:rsid w:val="00103D9C"/>
    <w:rsid w:val="00107E63"/>
    <w:rsid w:val="00112651"/>
    <w:rsid w:val="001231D0"/>
    <w:rsid w:val="001350BD"/>
    <w:rsid w:val="00144FB1"/>
    <w:rsid w:val="00146A9B"/>
    <w:rsid w:val="00152074"/>
    <w:rsid w:val="001574DD"/>
    <w:rsid w:val="00180194"/>
    <w:rsid w:val="00180CC6"/>
    <w:rsid w:val="0019461C"/>
    <w:rsid w:val="001967DF"/>
    <w:rsid w:val="001C772B"/>
    <w:rsid w:val="001D2ABB"/>
    <w:rsid w:val="001D6B4E"/>
    <w:rsid w:val="001E0647"/>
    <w:rsid w:val="001E57CB"/>
    <w:rsid w:val="001F2208"/>
    <w:rsid w:val="001F3D52"/>
    <w:rsid w:val="00202A3A"/>
    <w:rsid w:val="00214009"/>
    <w:rsid w:val="00220D4F"/>
    <w:rsid w:val="002A3348"/>
    <w:rsid w:val="002B1F98"/>
    <w:rsid w:val="002C7643"/>
    <w:rsid w:val="002D33AC"/>
    <w:rsid w:val="002D4A41"/>
    <w:rsid w:val="002D78EC"/>
    <w:rsid w:val="002E799A"/>
    <w:rsid w:val="002F789C"/>
    <w:rsid w:val="0031350F"/>
    <w:rsid w:val="00314608"/>
    <w:rsid w:val="003310B2"/>
    <w:rsid w:val="0033749E"/>
    <w:rsid w:val="003502A0"/>
    <w:rsid w:val="0035306B"/>
    <w:rsid w:val="00362093"/>
    <w:rsid w:val="00366034"/>
    <w:rsid w:val="003A23B3"/>
    <w:rsid w:val="003B4FE9"/>
    <w:rsid w:val="003B66D0"/>
    <w:rsid w:val="003B76E8"/>
    <w:rsid w:val="003E636B"/>
    <w:rsid w:val="003E71B6"/>
    <w:rsid w:val="003F6A74"/>
    <w:rsid w:val="00424B85"/>
    <w:rsid w:val="00426CAC"/>
    <w:rsid w:val="00471555"/>
    <w:rsid w:val="00471B67"/>
    <w:rsid w:val="00472BBC"/>
    <w:rsid w:val="004A19FC"/>
    <w:rsid w:val="004B12F8"/>
    <w:rsid w:val="004B611E"/>
    <w:rsid w:val="004C18F2"/>
    <w:rsid w:val="004E3ACE"/>
    <w:rsid w:val="004F0D49"/>
    <w:rsid w:val="004F52A4"/>
    <w:rsid w:val="005159F3"/>
    <w:rsid w:val="00541AC0"/>
    <w:rsid w:val="005558BA"/>
    <w:rsid w:val="00562335"/>
    <w:rsid w:val="0056373A"/>
    <w:rsid w:val="005733BB"/>
    <w:rsid w:val="00595410"/>
    <w:rsid w:val="00595F1C"/>
    <w:rsid w:val="0059693D"/>
    <w:rsid w:val="005A6C39"/>
    <w:rsid w:val="005B3458"/>
    <w:rsid w:val="005B47BB"/>
    <w:rsid w:val="005C3CEE"/>
    <w:rsid w:val="005D6B55"/>
    <w:rsid w:val="005E0981"/>
    <w:rsid w:val="005E0B7B"/>
    <w:rsid w:val="005F45F6"/>
    <w:rsid w:val="006156B8"/>
    <w:rsid w:val="00615A28"/>
    <w:rsid w:val="006204C0"/>
    <w:rsid w:val="006622DF"/>
    <w:rsid w:val="0066252C"/>
    <w:rsid w:val="006923B8"/>
    <w:rsid w:val="006929F7"/>
    <w:rsid w:val="006951E4"/>
    <w:rsid w:val="00697215"/>
    <w:rsid w:val="006B6C13"/>
    <w:rsid w:val="006C209F"/>
    <w:rsid w:val="006E0A61"/>
    <w:rsid w:val="00705126"/>
    <w:rsid w:val="007341E8"/>
    <w:rsid w:val="00747C6B"/>
    <w:rsid w:val="00793318"/>
    <w:rsid w:val="007C393F"/>
    <w:rsid w:val="007F7F4A"/>
    <w:rsid w:val="00812822"/>
    <w:rsid w:val="00825814"/>
    <w:rsid w:val="00874EC1"/>
    <w:rsid w:val="008822D6"/>
    <w:rsid w:val="00882C89"/>
    <w:rsid w:val="0088507B"/>
    <w:rsid w:val="008A60D1"/>
    <w:rsid w:val="008B0DD3"/>
    <w:rsid w:val="008B5E19"/>
    <w:rsid w:val="008C6C41"/>
    <w:rsid w:val="008C6ED2"/>
    <w:rsid w:val="008C76DC"/>
    <w:rsid w:val="009115A7"/>
    <w:rsid w:val="00916364"/>
    <w:rsid w:val="0092771E"/>
    <w:rsid w:val="00927BF4"/>
    <w:rsid w:val="00933E9B"/>
    <w:rsid w:val="00940632"/>
    <w:rsid w:val="009508D4"/>
    <w:rsid w:val="00956FF0"/>
    <w:rsid w:val="0095736C"/>
    <w:rsid w:val="009653C0"/>
    <w:rsid w:val="00977974"/>
    <w:rsid w:val="00994AAF"/>
    <w:rsid w:val="009A0391"/>
    <w:rsid w:val="009A2C70"/>
    <w:rsid w:val="009A4DBF"/>
    <w:rsid w:val="009C1340"/>
    <w:rsid w:val="009C34D1"/>
    <w:rsid w:val="009C7809"/>
    <w:rsid w:val="009D0F00"/>
    <w:rsid w:val="009D3ED8"/>
    <w:rsid w:val="009E6D17"/>
    <w:rsid w:val="00A15C59"/>
    <w:rsid w:val="00A21AC2"/>
    <w:rsid w:val="00A2335E"/>
    <w:rsid w:val="00A278D5"/>
    <w:rsid w:val="00A518DD"/>
    <w:rsid w:val="00A73E66"/>
    <w:rsid w:val="00A821C8"/>
    <w:rsid w:val="00A82973"/>
    <w:rsid w:val="00A838D5"/>
    <w:rsid w:val="00AA23B3"/>
    <w:rsid w:val="00AB228F"/>
    <w:rsid w:val="00AC0538"/>
    <w:rsid w:val="00AC3F51"/>
    <w:rsid w:val="00AE084B"/>
    <w:rsid w:val="00AE5775"/>
    <w:rsid w:val="00B14DD1"/>
    <w:rsid w:val="00B23C51"/>
    <w:rsid w:val="00B3292D"/>
    <w:rsid w:val="00B4013F"/>
    <w:rsid w:val="00B446C5"/>
    <w:rsid w:val="00B74E63"/>
    <w:rsid w:val="00B823A1"/>
    <w:rsid w:val="00BA1BBD"/>
    <w:rsid w:val="00BB1937"/>
    <w:rsid w:val="00BB594F"/>
    <w:rsid w:val="00BD32D9"/>
    <w:rsid w:val="00BD3D23"/>
    <w:rsid w:val="00BD4A2B"/>
    <w:rsid w:val="00C15603"/>
    <w:rsid w:val="00C23BCD"/>
    <w:rsid w:val="00C30528"/>
    <w:rsid w:val="00C42F25"/>
    <w:rsid w:val="00C62FA9"/>
    <w:rsid w:val="00C92DBE"/>
    <w:rsid w:val="00C95BC5"/>
    <w:rsid w:val="00C96761"/>
    <w:rsid w:val="00CB7304"/>
    <w:rsid w:val="00CC0797"/>
    <w:rsid w:val="00CE1CDB"/>
    <w:rsid w:val="00CE3A5B"/>
    <w:rsid w:val="00CE5DD4"/>
    <w:rsid w:val="00CF740E"/>
    <w:rsid w:val="00D23AD6"/>
    <w:rsid w:val="00D314A8"/>
    <w:rsid w:val="00D31D30"/>
    <w:rsid w:val="00D41732"/>
    <w:rsid w:val="00D70F66"/>
    <w:rsid w:val="00D757AE"/>
    <w:rsid w:val="00DA0F06"/>
    <w:rsid w:val="00DB359C"/>
    <w:rsid w:val="00DB7E9D"/>
    <w:rsid w:val="00DC6A29"/>
    <w:rsid w:val="00DE180E"/>
    <w:rsid w:val="00DE754B"/>
    <w:rsid w:val="00E0278C"/>
    <w:rsid w:val="00E2706B"/>
    <w:rsid w:val="00E33315"/>
    <w:rsid w:val="00E54500"/>
    <w:rsid w:val="00E62AFF"/>
    <w:rsid w:val="00E712AC"/>
    <w:rsid w:val="00EB7508"/>
    <w:rsid w:val="00ED2F95"/>
    <w:rsid w:val="00F0719D"/>
    <w:rsid w:val="00F15ADE"/>
    <w:rsid w:val="00F173B5"/>
    <w:rsid w:val="00F74066"/>
    <w:rsid w:val="00F80EDA"/>
    <w:rsid w:val="00F85449"/>
    <w:rsid w:val="00FB08E8"/>
    <w:rsid w:val="00FB4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2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C89"/>
    <w:rPr>
      <w:rFonts w:ascii="Tahoma" w:hAnsi="Tahoma" w:cs="Tahoma"/>
      <w:sz w:val="16"/>
      <w:szCs w:val="16"/>
    </w:rPr>
  </w:style>
  <w:style w:type="paragraph" w:styleId="ListParagraph">
    <w:name w:val="List Paragraph"/>
    <w:basedOn w:val="Normal"/>
    <w:uiPriority w:val="34"/>
    <w:qFormat/>
    <w:rsid w:val="00A15C59"/>
    <w:pPr>
      <w:ind w:left="720"/>
      <w:contextualSpacing/>
    </w:pPr>
  </w:style>
  <w:style w:type="paragraph" w:styleId="Header">
    <w:name w:val="header"/>
    <w:basedOn w:val="Normal"/>
    <w:link w:val="HeaderChar"/>
    <w:uiPriority w:val="99"/>
    <w:unhideWhenUsed/>
    <w:rsid w:val="00882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2D6"/>
  </w:style>
  <w:style w:type="paragraph" w:styleId="Footer">
    <w:name w:val="footer"/>
    <w:basedOn w:val="Normal"/>
    <w:link w:val="FooterChar"/>
    <w:uiPriority w:val="99"/>
    <w:unhideWhenUsed/>
    <w:rsid w:val="00882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2D6"/>
  </w:style>
  <w:style w:type="character" w:styleId="CommentReference">
    <w:name w:val="annotation reference"/>
    <w:basedOn w:val="DefaultParagraphFont"/>
    <w:uiPriority w:val="99"/>
    <w:semiHidden/>
    <w:unhideWhenUsed/>
    <w:rsid w:val="0066252C"/>
    <w:rPr>
      <w:sz w:val="16"/>
      <w:szCs w:val="16"/>
    </w:rPr>
  </w:style>
  <w:style w:type="paragraph" w:styleId="CommentText">
    <w:name w:val="annotation text"/>
    <w:basedOn w:val="Normal"/>
    <w:link w:val="CommentTextChar"/>
    <w:uiPriority w:val="99"/>
    <w:semiHidden/>
    <w:unhideWhenUsed/>
    <w:rsid w:val="0066252C"/>
    <w:pPr>
      <w:spacing w:line="240" w:lineRule="auto"/>
    </w:pPr>
    <w:rPr>
      <w:sz w:val="20"/>
      <w:szCs w:val="20"/>
    </w:rPr>
  </w:style>
  <w:style w:type="character" w:customStyle="1" w:styleId="CommentTextChar">
    <w:name w:val="Comment Text Char"/>
    <w:basedOn w:val="DefaultParagraphFont"/>
    <w:link w:val="CommentText"/>
    <w:uiPriority w:val="99"/>
    <w:semiHidden/>
    <w:rsid w:val="0066252C"/>
    <w:rPr>
      <w:sz w:val="20"/>
      <w:szCs w:val="20"/>
    </w:rPr>
  </w:style>
  <w:style w:type="paragraph" w:styleId="CommentSubject">
    <w:name w:val="annotation subject"/>
    <w:basedOn w:val="CommentText"/>
    <w:next w:val="CommentText"/>
    <w:link w:val="CommentSubjectChar"/>
    <w:uiPriority w:val="99"/>
    <w:semiHidden/>
    <w:unhideWhenUsed/>
    <w:rsid w:val="0066252C"/>
    <w:rPr>
      <w:b/>
      <w:bCs/>
    </w:rPr>
  </w:style>
  <w:style w:type="character" w:customStyle="1" w:styleId="CommentSubjectChar">
    <w:name w:val="Comment Subject Char"/>
    <w:basedOn w:val="CommentTextChar"/>
    <w:link w:val="CommentSubject"/>
    <w:uiPriority w:val="99"/>
    <w:semiHidden/>
    <w:rsid w:val="0066252C"/>
    <w:rPr>
      <w:b/>
      <w:bCs/>
      <w:sz w:val="20"/>
      <w:szCs w:val="20"/>
    </w:rPr>
  </w:style>
  <w:style w:type="paragraph" w:styleId="Revision">
    <w:name w:val="Revision"/>
    <w:hidden/>
    <w:uiPriority w:val="99"/>
    <w:semiHidden/>
    <w:rsid w:val="0066252C"/>
    <w:pPr>
      <w:widowControl/>
      <w:spacing w:after="0" w:line="240" w:lineRule="auto"/>
    </w:pPr>
  </w:style>
  <w:style w:type="character" w:customStyle="1" w:styleId="Header01Char">
    <w:name w:val="Header 01 Char"/>
    <w:basedOn w:val="DefaultParagraphFont"/>
    <w:link w:val="Header01"/>
    <w:rsid w:val="00ED2F95"/>
    <w:rPr>
      <w:rFonts w:ascii="Arial" w:hAnsi="Arial" w:cs="Arial"/>
      <w:sz w:val="24"/>
      <w:szCs w:val="24"/>
    </w:rPr>
  </w:style>
  <w:style w:type="paragraph" w:customStyle="1" w:styleId="Header01">
    <w:name w:val="Header 01"/>
    <w:basedOn w:val="Normal"/>
    <w:link w:val="Header01Char"/>
    <w:rsid w:val="00ED2F95"/>
    <w:pPr>
      <w:widowControl/>
      <w:tabs>
        <w:tab w:val="left" w:pos="274"/>
        <w:tab w:val="left" w:pos="806"/>
        <w:tab w:val="left" w:pos="1440"/>
        <w:tab w:val="left" w:pos="2074"/>
        <w:tab w:val="left" w:pos="2707"/>
      </w:tabs>
      <w:spacing w:after="0" w:line="240" w:lineRule="auto"/>
      <w:outlineLvl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2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C89"/>
    <w:rPr>
      <w:rFonts w:ascii="Tahoma" w:hAnsi="Tahoma" w:cs="Tahoma"/>
      <w:sz w:val="16"/>
      <w:szCs w:val="16"/>
    </w:rPr>
  </w:style>
  <w:style w:type="paragraph" w:styleId="ListParagraph">
    <w:name w:val="List Paragraph"/>
    <w:basedOn w:val="Normal"/>
    <w:uiPriority w:val="34"/>
    <w:qFormat/>
    <w:rsid w:val="00A15C59"/>
    <w:pPr>
      <w:ind w:left="720"/>
      <w:contextualSpacing/>
    </w:pPr>
  </w:style>
  <w:style w:type="paragraph" w:styleId="Header">
    <w:name w:val="header"/>
    <w:basedOn w:val="Normal"/>
    <w:link w:val="HeaderChar"/>
    <w:uiPriority w:val="99"/>
    <w:unhideWhenUsed/>
    <w:rsid w:val="00882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2D6"/>
  </w:style>
  <w:style w:type="paragraph" w:styleId="Footer">
    <w:name w:val="footer"/>
    <w:basedOn w:val="Normal"/>
    <w:link w:val="FooterChar"/>
    <w:uiPriority w:val="99"/>
    <w:unhideWhenUsed/>
    <w:rsid w:val="00882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2D6"/>
  </w:style>
  <w:style w:type="character" w:styleId="CommentReference">
    <w:name w:val="annotation reference"/>
    <w:basedOn w:val="DefaultParagraphFont"/>
    <w:uiPriority w:val="99"/>
    <w:semiHidden/>
    <w:unhideWhenUsed/>
    <w:rsid w:val="0066252C"/>
    <w:rPr>
      <w:sz w:val="16"/>
      <w:szCs w:val="16"/>
    </w:rPr>
  </w:style>
  <w:style w:type="paragraph" w:styleId="CommentText">
    <w:name w:val="annotation text"/>
    <w:basedOn w:val="Normal"/>
    <w:link w:val="CommentTextChar"/>
    <w:uiPriority w:val="99"/>
    <w:semiHidden/>
    <w:unhideWhenUsed/>
    <w:rsid w:val="0066252C"/>
    <w:pPr>
      <w:spacing w:line="240" w:lineRule="auto"/>
    </w:pPr>
    <w:rPr>
      <w:sz w:val="20"/>
      <w:szCs w:val="20"/>
    </w:rPr>
  </w:style>
  <w:style w:type="character" w:customStyle="1" w:styleId="CommentTextChar">
    <w:name w:val="Comment Text Char"/>
    <w:basedOn w:val="DefaultParagraphFont"/>
    <w:link w:val="CommentText"/>
    <w:uiPriority w:val="99"/>
    <w:semiHidden/>
    <w:rsid w:val="0066252C"/>
    <w:rPr>
      <w:sz w:val="20"/>
      <w:szCs w:val="20"/>
    </w:rPr>
  </w:style>
  <w:style w:type="paragraph" w:styleId="CommentSubject">
    <w:name w:val="annotation subject"/>
    <w:basedOn w:val="CommentText"/>
    <w:next w:val="CommentText"/>
    <w:link w:val="CommentSubjectChar"/>
    <w:uiPriority w:val="99"/>
    <w:semiHidden/>
    <w:unhideWhenUsed/>
    <w:rsid w:val="0066252C"/>
    <w:rPr>
      <w:b/>
      <w:bCs/>
    </w:rPr>
  </w:style>
  <w:style w:type="character" w:customStyle="1" w:styleId="CommentSubjectChar">
    <w:name w:val="Comment Subject Char"/>
    <w:basedOn w:val="CommentTextChar"/>
    <w:link w:val="CommentSubject"/>
    <w:uiPriority w:val="99"/>
    <w:semiHidden/>
    <w:rsid w:val="0066252C"/>
    <w:rPr>
      <w:b/>
      <w:bCs/>
      <w:sz w:val="20"/>
      <w:szCs w:val="20"/>
    </w:rPr>
  </w:style>
  <w:style w:type="paragraph" w:styleId="Revision">
    <w:name w:val="Revision"/>
    <w:hidden/>
    <w:uiPriority w:val="99"/>
    <w:semiHidden/>
    <w:rsid w:val="0066252C"/>
    <w:pPr>
      <w:widowControl/>
      <w:spacing w:after="0" w:line="240" w:lineRule="auto"/>
    </w:pPr>
  </w:style>
  <w:style w:type="character" w:customStyle="1" w:styleId="Header01Char">
    <w:name w:val="Header 01 Char"/>
    <w:basedOn w:val="DefaultParagraphFont"/>
    <w:link w:val="Header01"/>
    <w:rsid w:val="00ED2F95"/>
    <w:rPr>
      <w:rFonts w:ascii="Arial" w:hAnsi="Arial" w:cs="Arial"/>
      <w:sz w:val="24"/>
      <w:szCs w:val="24"/>
    </w:rPr>
  </w:style>
  <w:style w:type="paragraph" w:customStyle="1" w:styleId="Header01">
    <w:name w:val="Header 01"/>
    <w:basedOn w:val="Normal"/>
    <w:link w:val="Header01Char"/>
    <w:rsid w:val="00ED2F95"/>
    <w:pPr>
      <w:widowControl/>
      <w:tabs>
        <w:tab w:val="left" w:pos="274"/>
        <w:tab w:val="left" w:pos="806"/>
        <w:tab w:val="left" w:pos="1440"/>
        <w:tab w:val="left" w:pos="2074"/>
        <w:tab w:val="left" w:pos="2707"/>
      </w:tabs>
      <w:spacing w:after="0" w:line="240" w:lineRule="auto"/>
      <w:outlineLvl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D4B6C-43DA-4CB8-A64F-7E7791C1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IP 94300, "Status of Plant Readiness for an Operating Licensee."</vt:lpstr>
    </vt:vector>
  </TitlesOfParts>
  <Company>USNRC</Company>
  <LinksUpToDate>false</LinksUpToDate>
  <CharactersWithSpaces>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94300, "Status of Plant Readiness for an Operating Licensee."</dc:title>
  <dc:creator>ORPUser</dc:creator>
  <cp:lastModifiedBy>Curran, Bridget</cp:lastModifiedBy>
  <cp:revision>2</cp:revision>
  <cp:lastPrinted>2015-01-30T17:55:00Z</cp:lastPrinted>
  <dcterms:created xsi:type="dcterms:W3CDTF">2015-01-30T18:16:00Z</dcterms:created>
  <dcterms:modified xsi:type="dcterms:W3CDTF">2015-01-30T18:16:00Z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2007-11-07T00:00:00Z</vt:filetime>
  </property>
  <property fmtid="{D5CDD505-2E9C-101B-9397-08002B2CF9AE}" pid="3" name="LastSaved">
    <vt:filetime>2014-03-10T00:00:00Z</vt:filetime>
  </property>
</Properties>
</file>