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3FE" w:rsidRDefault="00FF53FE" w:rsidP="0086705A">
      <w:pPr>
        <w:tabs>
          <w:tab w:val="right" w:pos="9360"/>
        </w:tabs>
        <w:autoSpaceDE w:val="0"/>
        <w:autoSpaceDN w:val="0"/>
        <w:adjustRightInd w:val="0"/>
        <w:spacing w:line="240" w:lineRule="auto"/>
        <w:ind w:firstLine="2534"/>
        <w:jc w:val="center"/>
        <w:rPr>
          <w:rFonts w:eastAsia="Times New Roman"/>
          <w:sz w:val="20"/>
          <w:szCs w:val="20"/>
        </w:rPr>
      </w:pPr>
      <w:r w:rsidRPr="00FF53FE">
        <w:rPr>
          <w:rFonts w:eastAsia="Times New Roman"/>
          <w:b/>
          <w:sz w:val="38"/>
          <w:szCs w:val="38"/>
        </w:rPr>
        <w:t>NRC INSPECTION MANUAL</w:t>
      </w:r>
      <w:r w:rsidRPr="00FF53FE">
        <w:rPr>
          <w:rFonts w:eastAsia="Times New Roman"/>
          <w:b/>
          <w:sz w:val="38"/>
          <w:szCs w:val="38"/>
        </w:rPr>
        <w:tab/>
      </w:r>
      <w:r w:rsidRPr="00FF53FE">
        <w:rPr>
          <w:rFonts w:eastAsia="Times New Roman"/>
          <w:sz w:val="20"/>
          <w:szCs w:val="20"/>
        </w:rPr>
        <w:t>IRIB</w:t>
      </w:r>
    </w:p>
    <w:p w:rsidR="00FF53FE" w:rsidRPr="00FF53FE" w:rsidRDefault="00FF53FE" w:rsidP="0086705A">
      <w:pPr>
        <w:pBdr>
          <w:top w:val="single" w:sz="6" w:space="1" w:color="auto"/>
          <w:bottom w:val="single" w:sz="6" w:space="1" w:color="auto"/>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auto"/>
        <w:jc w:val="center"/>
        <w:rPr>
          <w:rFonts w:eastAsia="Times New Roman"/>
        </w:rPr>
      </w:pPr>
      <w:r w:rsidRPr="00FF53FE">
        <w:rPr>
          <w:rFonts w:eastAsia="Times New Roman"/>
        </w:rPr>
        <w:t>TEMPORARY INSTRUCTION 2515/</w:t>
      </w:r>
      <w:r w:rsidR="003E0A9D">
        <w:rPr>
          <w:rFonts w:eastAsia="Times New Roman"/>
        </w:rPr>
        <w:t>191</w:t>
      </w:r>
    </w:p>
    <w:bookmarkStart w:id="0" w:name="_GoBack"/>
    <w:bookmarkEnd w:id="0"/>
    <w:p w:rsidR="00FF53FE" w:rsidRPr="00EF54C4" w:rsidRDefault="00FF53FE" w:rsidP="0086705A">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auto"/>
        <w:jc w:val="both"/>
        <w:rPr>
          <w:rFonts w:eastAsia="Times New Roman"/>
        </w:rPr>
      </w:pPr>
      <w:r>
        <w:rPr>
          <w:rFonts w:ascii="Letter Gothic 12cpi" w:eastAsia="Times New Roman" w:hAnsi="Letter Gothic 12cpi" w:cs="Times New Roman"/>
          <w:noProof/>
          <w:sz w:val="20"/>
          <w:szCs w:val="20"/>
        </w:rPr>
        <mc:AlternateContent>
          <mc:Choice Requires="wps">
            <w:drawing>
              <wp:anchor distT="4294967294" distB="4294967294" distL="114298" distR="114298" simplePos="0" relativeHeight="251659264" behindDoc="0" locked="0" layoutInCell="0" allowOverlap="1" wp14:anchorId="0A1B66E4" wp14:editId="5846E03D">
                <wp:simplePos x="0" y="0"/>
                <wp:positionH relativeFrom="margin">
                  <wp:posOffset>-1</wp:posOffset>
                </wp:positionH>
                <wp:positionV relativeFrom="paragraph">
                  <wp:posOffset>-1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3.17494mm;mso-wrap-distance-top:-6e-5mm;mso-wrap-distance-right:3.17494mm;mso-wrap-distance-bottom:-6e-5mm;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zTTFgIAADEEAAAOAAAAZHJzL2Uyb0RvYy54bWysU13P0jAYvTfxPzS7h22ICAvjjdnAm1cl&#10;4fUHlLZjjV2fpi0MYvzvPu0ARW+M8abrx+nZec5zunw6d4qchHUSdJnk4ywhQjPgUh/K5MvLZjRP&#10;iPNUc6pAizK5CJc8rV6/WvamEBNoQXFhCZJoV/SmTFrvTZGmjrWio24MRmg8bMB21OPSHlJuaY/s&#10;nUonWTZLe7DcWGDCOdyth8NkFfmbRjD/uWmc8ESVCWrzcbRx3IcxXS1pcbDUtJJdZdB/UNFRqfGn&#10;d6qaekqOVv5B1UlmwUHjxwy6FJpGMhFrwGry7Ldqdi01ItaC5jhzt8n9P1r26bS1RHLsXUI07bBF&#10;O2+pPLSeVKA1GgiW5MGn3rgC4ZXe2lApO+udeQb21RENVUv1QUS9LxeDJPFG+nAlLJzBv+37j8AR&#10;Q48eomnnxnaBEu0g59iby7034uwJGzbZbTelxe2Ksc5/ENCRMCkTJXUwjBb09Ow8ikboDRK2NWyk&#10;UrHpSpMedU7yxSTecKAkD6cB5+xhXylLTjTkBoOWxagg2wPMwlHzyNYKytfXuadSDXPEKx34sArU&#10;c50Nwfi2yBbr+Xo+HU0ns/VomtX16P2mmo5mm/zd2/pNXVV1/j1Iy6dFKzkXOqi7hTSf/l0Irs9l&#10;iNc9pncf0kf2aBiKvX2j6NjG0LkhA3vgl60N3oaOYi4j+PqGQvB/XUfUz5e++gEAAP//AwBQSwME&#10;FAAGAAgAAAAhACEexkTVAAAA/wAAAA8AAABkcnMvZG93bnJldi54bWxMj0FLw0AQhe+C/2EZwZvd&#10;VKFImk2xFS/ixTYo3qbZaRLMzi7ZbRr/vdNe9PKY4Q1vvlesJterkYbYeTYwn2WgiGtvO24MVLuX&#10;u0dQMSFb7D2TgR+KsCqvrwrMrT/xO43b1CgJ4ZijgTalkGsd65YcxpkPxOId/OAwyTo02g54knDX&#10;6/ssW2iHHcuHFgNtWqq/t0dn4GGXVR+xSxt6e31ef45V4PAVjLm9mZ6WoBJN6e8YzviCDqUw7f2R&#10;bVS9ASmSLiqezPuz6rLQ/7nLXwAAAP//AwBQSwECLQAUAAYACAAAACEAtoM4kv4AAADhAQAAEwAA&#10;AAAAAAAAAAAAAAAAAAAAW0NvbnRlbnRfVHlwZXNdLnhtbFBLAQItABQABgAIAAAAIQA4/SH/1gAA&#10;AJQBAAALAAAAAAAAAAAAAAAAAC8BAABfcmVscy8ucmVsc1BLAQItABQABgAIAAAAIQCwMzTTFgIA&#10;ADEEAAAOAAAAAAAAAAAAAAAAAC4CAABkcnMvZTJvRG9jLnhtbFBLAQItABQABgAIAAAAIQAhHsZE&#10;1QAAAP8AAAAPAAAAAAAAAAAAAAAAAHAEAABkcnMvZG93bnJldi54bWxQSwUGAAAAAAQABADzAAAA&#10;cgUAAAAA&#10;" o:allowincell="f" strokecolor="#020000" strokeweight=".96pt">
                <w10:wrap anchorx="margin"/>
              </v:line>
            </w:pict>
          </mc:Fallback>
        </mc:AlternateContent>
      </w:r>
    </w:p>
    <w:p w:rsidR="00FF53FE" w:rsidRPr="00EF54C4" w:rsidRDefault="00FF53FE" w:rsidP="0086705A">
      <w:pPr>
        <w:tabs>
          <w:tab w:val="left" w:pos="274"/>
          <w:tab w:val="left" w:pos="806"/>
          <w:tab w:val="left" w:pos="1440"/>
          <w:tab w:val="left" w:pos="2074"/>
        </w:tabs>
        <w:autoSpaceDE w:val="0"/>
        <w:autoSpaceDN w:val="0"/>
        <w:adjustRightInd w:val="0"/>
        <w:spacing w:line="240" w:lineRule="auto"/>
        <w:rPr>
          <w:rFonts w:eastAsia="Times New Roman"/>
          <w:caps/>
        </w:rPr>
      </w:pPr>
    </w:p>
    <w:p w:rsidR="00FF53FE" w:rsidRPr="00FF53FE" w:rsidRDefault="006B787E" w:rsidP="0086705A">
      <w:pPr>
        <w:tabs>
          <w:tab w:val="left" w:pos="274"/>
          <w:tab w:val="left" w:pos="806"/>
          <w:tab w:val="left" w:pos="1440"/>
          <w:tab w:val="left" w:pos="2074"/>
        </w:tabs>
        <w:autoSpaceDE w:val="0"/>
        <w:autoSpaceDN w:val="0"/>
        <w:adjustRightInd w:val="0"/>
        <w:spacing w:line="240" w:lineRule="auto"/>
        <w:jc w:val="center"/>
        <w:rPr>
          <w:rFonts w:eastAsia="Times New Roman"/>
        </w:rPr>
      </w:pPr>
      <w:r>
        <w:rPr>
          <w:rFonts w:eastAsia="Times New Roman"/>
          <w:caps/>
        </w:rPr>
        <w:t>inspection of THE</w:t>
      </w:r>
      <w:r w:rsidR="00FF53FE" w:rsidRPr="00FF53FE">
        <w:rPr>
          <w:rFonts w:eastAsia="Times New Roman"/>
          <w:caps/>
        </w:rPr>
        <w:t xml:space="preserve"> </w:t>
      </w:r>
      <w:r w:rsidR="00572F9F">
        <w:rPr>
          <w:rFonts w:eastAsia="Times New Roman"/>
          <w:caps/>
        </w:rPr>
        <w:t xml:space="preserve">IMPLEMENTATION of </w:t>
      </w:r>
      <w:r w:rsidR="00FF53FE">
        <w:rPr>
          <w:rFonts w:eastAsia="Times New Roman"/>
          <w:caps/>
        </w:rPr>
        <w:t>MITIGATION</w:t>
      </w:r>
      <w:r w:rsidR="00572F9F">
        <w:rPr>
          <w:rFonts w:eastAsia="Times New Roman"/>
          <w:caps/>
        </w:rPr>
        <w:t xml:space="preserve"> STRATEGIES AND</w:t>
      </w:r>
      <w:r w:rsidR="008A6AD4">
        <w:rPr>
          <w:rFonts w:eastAsia="Times New Roman"/>
          <w:caps/>
        </w:rPr>
        <w:t xml:space="preserve"> SpENT FUEL POOL INSTRUMENTATION ORDER</w:t>
      </w:r>
      <w:r w:rsidR="00572F9F">
        <w:rPr>
          <w:rFonts w:eastAsia="Times New Roman"/>
          <w:caps/>
        </w:rPr>
        <w:t>S</w:t>
      </w:r>
      <w:r w:rsidR="008A6AD4">
        <w:rPr>
          <w:rFonts w:eastAsia="Times New Roman"/>
          <w:caps/>
        </w:rPr>
        <w:t xml:space="preserve"> AND </w:t>
      </w:r>
      <w:r w:rsidR="00572F9F">
        <w:rPr>
          <w:rFonts w:eastAsia="Times New Roman"/>
          <w:caps/>
        </w:rPr>
        <w:t>eMERGENCY PREPAREDNESS COMMUNICATION/STAFFING</w:t>
      </w:r>
      <w:r w:rsidR="0072273D">
        <w:rPr>
          <w:rFonts w:eastAsia="Times New Roman"/>
          <w:caps/>
        </w:rPr>
        <w:t>/MULTI-UNIT DOSE ASSESSMENT</w:t>
      </w:r>
      <w:r w:rsidR="00572F9F">
        <w:rPr>
          <w:rFonts w:eastAsia="Times New Roman"/>
          <w:caps/>
        </w:rPr>
        <w:t xml:space="preserve"> PLANS</w:t>
      </w:r>
    </w:p>
    <w:p w:rsidR="008E26E2" w:rsidRPr="00F046CE" w:rsidRDefault="008E26E2" w:rsidP="0086705A">
      <w:pPr>
        <w:spacing w:line="240" w:lineRule="auto"/>
      </w:pPr>
    </w:p>
    <w:p w:rsidR="008E26E2" w:rsidRPr="00F046CE" w:rsidRDefault="008E26E2" w:rsidP="0086705A">
      <w:pPr>
        <w:spacing w:line="240" w:lineRule="auto"/>
      </w:pPr>
      <w:r w:rsidRPr="00F046CE">
        <w:t>CORNERSTONES:  INITIATI</w:t>
      </w:r>
      <w:r w:rsidR="00547683" w:rsidRPr="00F046CE">
        <w:t>NG EVENTS, MITIGATING SYSTEMS</w:t>
      </w:r>
      <w:r w:rsidRPr="00F046CE">
        <w:t>, BARRIER INTEGRITY</w:t>
      </w:r>
      <w:r w:rsidR="00FF53FE" w:rsidRPr="00F046CE">
        <w:t xml:space="preserve"> AND EMERGENCY PREPAREDNESS</w:t>
      </w:r>
    </w:p>
    <w:p w:rsidR="00173E48" w:rsidRPr="00F046CE" w:rsidRDefault="00173E48" w:rsidP="0086705A">
      <w:pPr>
        <w:spacing w:line="240" w:lineRule="auto"/>
      </w:pPr>
    </w:p>
    <w:p w:rsidR="005D6D39" w:rsidRPr="00F046CE" w:rsidRDefault="005D6D39" w:rsidP="0086705A">
      <w:pPr>
        <w:spacing w:line="240" w:lineRule="auto"/>
      </w:pPr>
    </w:p>
    <w:p w:rsidR="00A86BAE" w:rsidRPr="005D6D39" w:rsidRDefault="00173E48" w:rsidP="00F046CE">
      <w:pPr>
        <w:spacing w:line="240" w:lineRule="auto"/>
        <w:rPr>
          <w:color w:val="000000" w:themeColor="text1"/>
        </w:rPr>
      </w:pPr>
      <w:r w:rsidRPr="00F046CE">
        <w:rPr>
          <w:color w:val="000000" w:themeColor="text1"/>
        </w:rPr>
        <w:t xml:space="preserve">APPLICABILITY:  </w:t>
      </w:r>
      <w:r w:rsidR="005D6D39" w:rsidRPr="005D6D39">
        <w:rPr>
          <w:color w:val="000000" w:themeColor="text1"/>
        </w:rPr>
        <w:t>This temporary instruction applies to the plants subject to the Orders, except for plants that were granted rescission</w:t>
      </w:r>
      <w:r w:rsidR="006E08DB">
        <w:rPr>
          <w:color w:val="000000" w:themeColor="text1"/>
        </w:rPr>
        <w:t>, and all plants subject to the 50.54(f) letter dated March 12, 2012</w:t>
      </w:r>
      <w:r w:rsidR="005D6D39" w:rsidRPr="005D6D39">
        <w:rPr>
          <w:color w:val="000000" w:themeColor="text1"/>
        </w:rPr>
        <w:t>.</w:t>
      </w:r>
    </w:p>
    <w:p w:rsidR="00F20EBA" w:rsidRDefault="00F20EBA" w:rsidP="0086705A">
      <w:pPr>
        <w:spacing w:line="240" w:lineRule="auto"/>
      </w:pPr>
    </w:p>
    <w:p w:rsidR="005D6D39" w:rsidRPr="00F53DB4" w:rsidRDefault="005D6D39" w:rsidP="0086705A">
      <w:pPr>
        <w:spacing w:line="240" w:lineRule="auto"/>
      </w:pPr>
    </w:p>
    <w:p w:rsidR="00A86BAE" w:rsidRPr="00F046CE" w:rsidRDefault="007924BF" w:rsidP="0086705A">
      <w:pPr>
        <w:spacing w:line="240" w:lineRule="auto"/>
      </w:pPr>
      <w:r w:rsidRPr="00F046CE">
        <w:t>2515/191</w:t>
      </w:r>
      <w:r w:rsidR="008E26E2" w:rsidRPr="00F046CE">
        <w:t>-</w:t>
      </w:r>
      <w:proofErr w:type="gramStart"/>
      <w:r w:rsidR="008E26E2" w:rsidRPr="00F046CE">
        <w:t xml:space="preserve">01  </w:t>
      </w:r>
      <w:r w:rsidR="00AC5F9A" w:rsidRPr="00F046CE">
        <w:t>O</w:t>
      </w:r>
      <w:r w:rsidR="00173E48" w:rsidRPr="00F046CE">
        <w:t>BJECTIVE</w:t>
      </w:r>
      <w:proofErr w:type="gramEnd"/>
      <w:r w:rsidR="00A86BAE" w:rsidRPr="00F046CE">
        <w:t>:</w:t>
      </w:r>
    </w:p>
    <w:p w:rsidR="008E26E2" w:rsidRPr="00F046CE" w:rsidRDefault="008E26E2" w:rsidP="0086705A">
      <w:pPr>
        <w:spacing w:line="240" w:lineRule="auto"/>
      </w:pPr>
    </w:p>
    <w:p w:rsidR="00A26CFE" w:rsidRPr="000F7A63" w:rsidRDefault="00A26CFE" w:rsidP="0086705A">
      <w:pPr>
        <w:spacing w:line="240" w:lineRule="auto"/>
      </w:pPr>
      <w:r w:rsidRPr="000F7A63">
        <w:t>To confirm through inspection the implementation of:</w:t>
      </w:r>
    </w:p>
    <w:p w:rsidR="00A26CFE" w:rsidRPr="00F046CE" w:rsidRDefault="00A26CFE" w:rsidP="0086705A">
      <w:pPr>
        <w:spacing w:line="240" w:lineRule="auto"/>
      </w:pPr>
    </w:p>
    <w:p w:rsidR="00A86BAE" w:rsidRPr="00F53DB4" w:rsidRDefault="00173E48" w:rsidP="0086705A">
      <w:pPr>
        <w:pStyle w:val="ListParagraph"/>
        <w:numPr>
          <w:ilvl w:val="0"/>
          <w:numId w:val="1"/>
        </w:numPr>
        <w:spacing w:line="240" w:lineRule="auto"/>
      </w:pPr>
      <w:r w:rsidRPr="00F53DB4">
        <w:t xml:space="preserve">NRC Order EA-12-049 </w:t>
      </w:r>
      <w:r w:rsidR="00A665B1" w:rsidRPr="00F53DB4">
        <w:t>(</w:t>
      </w:r>
      <w:r w:rsidR="00F12BDD" w:rsidRPr="00F53DB4">
        <w:t xml:space="preserve">Agencywide Documents Access and Management System (ADAMS) </w:t>
      </w:r>
      <w:r w:rsidR="00A665B1" w:rsidRPr="00F53DB4">
        <w:t xml:space="preserve">Accession No. </w:t>
      </w:r>
      <w:hyperlink r:id="rId9" w:history="1">
        <w:r w:rsidR="00A665B1" w:rsidRPr="00F53DB4">
          <w:rPr>
            <w:rStyle w:val="Hyperlink"/>
          </w:rPr>
          <w:t>ML12056A045</w:t>
        </w:r>
      </w:hyperlink>
      <w:r w:rsidR="00A665B1" w:rsidRPr="00F53DB4">
        <w:t xml:space="preserve">) </w:t>
      </w:r>
      <w:r w:rsidRPr="00F53DB4">
        <w:t>which added requirements for mitigation strategies for Beyond-Design-Basis external event</w:t>
      </w:r>
      <w:r w:rsidR="0086705A" w:rsidRPr="00F53DB4">
        <w:t>s</w:t>
      </w:r>
    </w:p>
    <w:p w:rsidR="00173E48" w:rsidRPr="00F53DB4" w:rsidRDefault="00C2648D" w:rsidP="0086705A">
      <w:pPr>
        <w:pStyle w:val="ListParagraph"/>
        <w:numPr>
          <w:ilvl w:val="0"/>
          <w:numId w:val="1"/>
        </w:numPr>
        <w:spacing w:line="240" w:lineRule="auto"/>
      </w:pPr>
      <w:r w:rsidRPr="00F53DB4">
        <w:t>NRC Order EA-12-051</w:t>
      </w:r>
      <w:r w:rsidR="005D2093" w:rsidRPr="00F53DB4">
        <w:t xml:space="preserve"> </w:t>
      </w:r>
      <w:r w:rsidR="002249D4" w:rsidRPr="00F53DB4">
        <w:t xml:space="preserve">(ADAMS Accession No. </w:t>
      </w:r>
      <w:hyperlink r:id="rId10" w:history="1">
        <w:r w:rsidR="002249D4" w:rsidRPr="00F53DB4">
          <w:rPr>
            <w:rStyle w:val="Hyperlink"/>
          </w:rPr>
          <w:t>ML12056A044</w:t>
        </w:r>
      </w:hyperlink>
      <w:r w:rsidR="002249D4" w:rsidRPr="00F53DB4">
        <w:t xml:space="preserve">) </w:t>
      </w:r>
      <w:r w:rsidRPr="00F53DB4">
        <w:t xml:space="preserve">which added requirements for </w:t>
      </w:r>
      <w:r w:rsidR="00173E48" w:rsidRPr="00F53DB4">
        <w:t>spent fuel pool instrumentat</w:t>
      </w:r>
      <w:r w:rsidRPr="00F53DB4">
        <w:t>ion</w:t>
      </w:r>
    </w:p>
    <w:p w:rsidR="00A86BAE" w:rsidRPr="00F53DB4" w:rsidRDefault="00DE0F56" w:rsidP="002249D4">
      <w:pPr>
        <w:pStyle w:val="ListParagraph"/>
        <w:numPr>
          <w:ilvl w:val="0"/>
          <w:numId w:val="1"/>
        </w:numPr>
        <w:spacing w:line="240" w:lineRule="auto"/>
      </w:pPr>
      <w:r>
        <w:t>C</w:t>
      </w:r>
      <w:r w:rsidR="00C158D2">
        <w:t xml:space="preserve">ommunications and </w:t>
      </w:r>
      <w:r w:rsidR="009D62B2" w:rsidRPr="00F53DB4">
        <w:t xml:space="preserve">staffing </w:t>
      </w:r>
      <w:r w:rsidR="00C158D2">
        <w:t xml:space="preserve">plans </w:t>
      </w:r>
      <w:r w:rsidR="009D62B2" w:rsidRPr="00F53DB4">
        <w:t>needed to respond to a large-scale event as requested in the March 12, 2012 request for information letter</w:t>
      </w:r>
      <w:r w:rsidR="002249D4" w:rsidRPr="00F53DB4">
        <w:t xml:space="preserve"> (ADAMS Accession No. </w:t>
      </w:r>
      <w:hyperlink r:id="rId11" w:history="1">
        <w:r w:rsidR="002249D4" w:rsidRPr="00F53DB4">
          <w:rPr>
            <w:rStyle w:val="Hyperlink"/>
          </w:rPr>
          <w:t>ML12053A340</w:t>
        </w:r>
      </w:hyperlink>
      <w:r w:rsidR="002249D4" w:rsidRPr="00F53DB4">
        <w:t>)</w:t>
      </w:r>
      <w:r w:rsidR="009D62B2" w:rsidRPr="00F53DB4">
        <w:t xml:space="preserve"> </w:t>
      </w:r>
      <w:r w:rsidR="00B76D0E">
        <w:t xml:space="preserve">and multi-unit dose assessment </w:t>
      </w:r>
      <w:r w:rsidR="00292ED2">
        <w:t>capabilities per</w:t>
      </w:r>
      <w:r w:rsidR="00B76D0E">
        <w:t xml:space="preserve"> COMSECY-13-0010, </w:t>
      </w:r>
      <w:r w:rsidR="00B76D0E">
        <w:rPr>
          <w:i/>
        </w:rPr>
        <w:t>Schedule and Plans for Tier 2 Order on Emergency Preparedness for Japan Lessons Learned</w:t>
      </w:r>
      <w:r w:rsidR="00B76D0E">
        <w:t xml:space="preserve">, dated March 27, 2013 (ADAMS Accession No. </w:t>
      </w:r>
      <w:hyperlink r:id="rId12" w:history="1">
        <w:r w:rsidR="00B76D0E" w:rsidRPr="006E08DB">
          <w:rPr>
            <w:rStyle w:val="Hyperlink"/>
          </w:rPr>
          <w:t>ML12339A262</w:t>
        </w:r>
      </w:hyperlink>
      <w:r w:rsidR="00B76D0E">
        <w:t>).</w:t>
      </w:r>
    </w:p>
    <w:p w:rsidR="00173E48" w:rsidRPr="00F53DB4" w:rsidRDefault="00173E48" w:rsidP="0086705A">
      <w:pPr>
        <w:spacing w:line="240" w:lineRule="auto"/>
      </w:pPr>
    </w:p>
    <w:p w:rsidR="00F20EBA" w:rsidRPr="00F53DB4" w:rsidRDefault="00F20EBA" w:rsidP="0086705A">
      <w:pPr>
        <w:spacing w:line="240" w:lineRule="auto"/>
      </w:pPr>
    </w:p>
    <w:p w:rsidR="00173E48" w:rsidRPr="00F046CE" w:rsidRDefault="007924BF" w:rsidP="0086705A">
      <w:pPr>
        <w:spacing w:line="240" w:lineRule="auto"/>
      </w:pPr>
      <w:r w:rsidRPr="00F046CE">
        <w:t>2515/191</w:t>
      </w:r>
      <w:r w:rsidR="008E26E2" w:rsidRPr="00F046CE">
        <w:t>-</w:t>
      </w:r>
      <w:proofErr w:type="gramStart"/>
      <w:r w:rsidR="008E26E2" w:rsidRPr="00F046CE">
        <w:t xml:space="preserve">02  </w:t>
      </w:r>
      <w:r w:rsidR="00173E48" w:rsidRPr="00F046CE">
        <w:t>BACKGROUND</w:t>
      </w:r>
      <w:proofErr w:type="gramEnd"/>
      <w:r w:rsidR="00173E48" w:rsidRPr="00F046CE">
        <w:t>:</w:t>
      </w:r>
    </w:p>
    <w:p w:rsidR="00EA24E4" w:rsidRPr="00F53DB4" w:rsidRDefault="00EA24E4" w:rsidP="0086705A">
      <w:pPr>
        <w:spacing w:line="240" w:lineRule="auto"/>
      </w:pPr>
    </w:p>
    <w:p w:rsidR="00F046CE" w:rsidRDefault="00E71128" w:rsidP="0086705A">
      <w:pPr>
        <w:autoSpaceDE w:val="0"/>
        <w:autoSpaceDN w:val="0"/>
        <w:adjustRightInd w:val="0"/>
        <w:spacing w:line="240" w:lineRule="auto"/>
        <w:sectPr w:rsidR="00F046CE" w:rsidSect="00F046CE">
          <w:footerReference w:type="default" r:id="rId13"/>
          <w:pgSz w:w="12240" w:h="15840" w:code="1"/>
          <w:pgMar w:top="1440" w:right="1440" w:bottom="1440" w:left="1440" w:header="1440" w:footer="1440" w:gutter="0"/>
          <w:pgNumType w:start="1"/>
          <w:cols w:space="720"/>
          <w:docGrid w:linePitch="360"/>
        </w:sectPr>
      </w:pPr>
      <w:r w:rsidRPr="00F53DB4">
        <w:t>Following the earthquake and tsunami at the Fukushima Dai-ichi nuclear power plant in March</w:t>
      </w:r>
      <w:r w:rsidR="00832BD7" w:rsidRPr="00F53DB4">
        <w:t xml:space="preserve"> </w:t>
      </w:r>
      <w:r w:rsidRPr="00F53DB4">
        <w:t>2011, the NRC established a senior-level task force referred to as the Near-Term Task Force</w:t>
      </w:r>
      <w:r w:rsidR="00832BD7" w:rsidRPr="00F53DB4">
        <w:t xml:space="preserve"> </w:t>
      </w:r>
      <w:r w:rsidRPr="00F53DB4">
        <w:t xml:space="preserve">(NTTF). </w:t>
      </w:r>
      <w:r w:rsidR="0086705A" w:rsidRPr="00F53DB4">
        <w:t xml:space="preserve"> </w:t>
      </w:r>
      <w:r w:rsidRPr="00F53DB4">
        <w:t>The NTTF conducted a systematic and methodical review of the NRC regulations and</w:t>
      </w:r>
      <w:r w:rsidR="00832BD7" w:rsidRPr="00F53DB4">
        <w:t xml:space="preserve"> </w:t>
      </w:r>
      <w:r w:rsidRPr="00F53DB4">
        <w:t>processes to determine if the agency should make safety improvements in light of the events in</w:t>
      </w:r>
      <w:r w:rsidR="00832BD7" w:rsidRPr="00F53DB4">
        <w:t xml:space="preserve"> </w:t>
      </w:r>
      <w:r w:rsidRPr="00F53DB4">
        <w:t xml:space="preserve">Japan. </w:t>
      </w:r>
      <w:r w:rsidR="0086705A" w:rsidRPr="00F53DB4">
        <w:t xml:space="preserve"> </w:t>
      </w:r>
      <w:r w:rsidRPr="00F53DB4">
        <w:t>As a result of this review, the NTTF issued SECY-11-0093, "Near-Term Report and</w:t>
      </w:r>
      <w:r w:rsidR="00832BD7" w:rsidRPr="00F53DB4">
        <w:t xml:space="preserve"> </w:t>
      </w:r>
      <w:r w:rsidRPr="00F53DB4">
        <w:t xml:space="preserve">Recommendations for Agency Actions Following the Events in Japan" </w:t>
      </w:r>
      <w:r w:rsidR="009653AC">
        <w:t>(</w:t>
      </w:r>
      <w:r w:rsidRPr="00F53DB4">
        <w:t>ADA</w:t>
      </w:r>
      <w:r w:rsidR="00F12BDD" w:rsidRPr="00F53DB4">
        <w:t>MS</w:t>
      </w:r>
      <w:r w:rsidR="002249D4" w:rsidRPr="00F53DB4">
        <w:t xml:space="preserve"> Accession No. </w:t>
      </w:r>
      <w:hyperlink r:id="rId14" w:history="1">
        <w:r w:rsidR="002249D4" w:rsidRPr="00F53DB4">
          <w:rPr>
            <w:rStyle w:val="Hyperlink"/>
          </w:rPr>
          <w:t>ML</w:t>
        </w:r>
        <w:r w:rsidR="009B2086" w:rsidRPr="00F53DB4">
          <w:rPr>
            <w:rStyle w:val="Hyperlink"/>
          </w:rPr>
          <w:t>11186A950</w:t>
        </w:r>
      </w:hyperlink>
      <w:r w:rsidR="009653AC">
        <w:rPr>
          <w:rStyle w:val="Hyperlink"/>
        </w:rPr>
        <w:t>)</w:t>
      </w:r>
      <w:r w:rsidR="009B2086" w:rsidRPr="00F53DB4">
        <w:t xml:space="preserve">.  Additionally, NRC staff issued </w:t>
      </w:r>
      <w:r w:rsidRPr="00F53DB4">
        <w:t>SECY-11-0124,</w:t>
      </w:r>
      <w:r w:rsidR="00832BD7" w:rsidRPr="00F53DB4">
        <w:t xml:space="preserve"> </w:t>
      </w:r>
      <w:r w:rsidRPr="00F53DB4">
        <w:t xml:space="preserve">"Recommended Actions to be Taken </w:t>
      </w:r>
      <w:proofErr w:type="gramStart"/>
      <w:r w:rsidRPr="00F53DB4">
        <w:t>Without</w:t>
      </w:r>
      <w:proofErr w:type="gramEnd"/>
      <w:r w:rsidRPr="00F53DB4">
        <w:t xml:space="preserve"> Delay from the Near-Term Task Force Report"</w:t>
      </w:r>
      <w:r w:rsidR="00832BD7" w:rsidRPr="00F53DB4">
        <w:t xml:space="preserve"> </w:t>
      </w:r>
      <w:r w:rsidR="009653AC">
        <w:t>(</w:t>
      </w:r>
      <w:r w:rsidRPr="00F53DB4">
        <w:t xml:space="preserve">ADAMS Accession No. </w:t>
      </w:r>
      <w:r w:rsidR="0086705A" w:rsidRPr="00F53DB4">
        <w:t xml:space="preserve"> </w:t>
      </w:r>
      <w:hyperlink r:id="rId15" w:history="1">
        <w:proofErr w:type="gramStart"/>
        <w:r w:rsidRPr="00F53DB4">
          <w:rPr>
            <w:rStyle w:val="Hyperlink"/>
          </w:rPr>
          <w:t>ML112911571</w:t>
        </w:r>
      </w:hyperlink>
      <w:r w:rsidR="009653AC">
        <w:rPr>
          <w:rStyle w:val="Hyperlink"/>
        </w:rPr>
        <w:t>)</w:t>
      </w:r>
      <w:r w:rsidR="0072273D">
        <w:rPr>
          <w:rStyle w:val="Hyperlink"/>
        </w:rPr>
        <w:t>,</w:t>
      </w:r>
      <w:r w:rsidR="009B2086" w:rsidRPr="00F53DB4">
        <w:t xml:space="preserve"> </w:t>
      </w:r>
      <w:r w:rsidRPr="00F53DB4">
        <w:t>and SECY-11-0137, "Prioritization of Recommended</w:t>
      </w:r>
      <w:r w:rsidR="00832BD7" w:rsidRPr="00F53DB4">
        <w:t xml:space="preserve"> </w:t>
      </w:r>
      <w:r w:rsidRPr="00F53DB4">
        <w:t xml:space="preserve">Actions to be Taken in Response to Fukushima Lessons Learned" </w:t>
      </w:r>
      <w:r w:rsidR="009653AC">
        <w:t>(</w:t>
      </w:r>
      <w:r w:rsidRPr="00F53DB4">
        <w:t>ADAMS Accession</w:t>
      </w:r>
      <w:r w:rsidR="00832BD7" w:rsidRPr="00F53DB4">
        <w:t xml:space="preserve"> </w:t>
      </w:r>
      <w:r w:rsidRPr="00F53DB4">
        <w:t>No.</w:t>
      </w:r>
      <w:proofErr w:type="gramEnd"/>
      <w:r w:rsidR="0086705A" w:rsidRPr="00F53DB4">
        <w:t xml:space="preserve"> </w:t>
      </w:r>
      <w:hyperlink r:id="rId16" w:history="1">
        <w:proofErr w:type="gramStart"/>
        <w:r w:rsidR="0086705A" w:rsidRPr="00F53DB4">
          <w:rPr>
            <w:rStyle w:val="Hyperlink"/>
          </w:rPr>
          <w:t>ML</w:t>
        </w:r>
        <w:r w:rsidRPr="00F53DB4">
          <w:rPr>
            <w:rStyle w:val="Hyperlink"/>
          </w:rPr>
          <w:t>11272A111</w:t>
        </w:r>
      </w:hyperlink>
      <w:r w:rsidR="009653AC">
        <w:rPr>
          <w:rStyle w:val="Hyperlink"/>
        </w:rPr>
        <w:t>)</w:t>
      </w:r>
      <w:r w:rsidR="005B26B9">
        <w:rPr>
          <w:rStyle w:val="Hyperlink"/>
        </w:rPr>
        <w:t xml:space="preserve"> </w:t>
      </w:r>
      <w:r w:rsidR="009B2086" w:rsidRPr="00F53DB4">
        <w:t xml:space="preserve">to establish </w:t>
      </w:r>
      <w:r w:rsidRPr="00F53DB4">
        <w:t xml:space="preserve">prioritization of the </w:t>
      </w:r>
      <w:r w:rsidR="003D3170" w:rsidRPr="00F53DB4">
        <w:t>r</w:t>
      </w:r>
      <w:r w:rsidRPr="00F53DB4">
        <w:t>ecommendations.</w:t>
      </w:r>
      <w:proofErr w:type="gramEnd"/>
      <w:r w:rsidR="00832BD7" w:rsidRPr="00F53DB4">
        <w:t xml:space="preserve">  </w:t>
      </w:r>
      <w:r w:rsidRPr="00F53DB4">
        <w:t>Recommendation 4.2</w:t>
      </w:r>
      <w:r w:rsidR="0098342A" w:rsidRPr="00F53DB4">
        <w:t>,</w:t>
      </w:r>
      <w:r w:rsidRPr="00F53DB4">
        <w:t xml:space="preserve"> concerning mitigation </w:t>
      </w:r>
    </w:p>
    <w:p w:rsidR="00E71128" w:rsidRPr="00F53DB4" w:rsidRDefault="00E71128" w:rsidP="0086705A">
      <w:pPr>
        <w:autoSpaceDE w:val="0"/>
        <w:autoSpaceDN w:val="0"/>
        <w:adjustRightInd w:val="0"/>
        <w:spacing w:line="240" w:lineRule="auto"/>
      </w:pPr>
      <w:proofErr w:type="gramStart"/>
      <w:r w:rsidRPr="00F53DB4">
        <w:lastRenderedPageBreak/>
        <w:t>strategies</w:t>
      </w:r>
      <w:proofErr w:type="gramEnd"/>
      <w:r w:rsidR="0098342A" w:rsidRPr="00F53DB4">
        <w:t>,</w:t>
      </w:r>
      <w:r w:rsidRPr="00F53DB4">
        <w:t xml:space="preserve"> </w:t>
      </w:r>
      <w:r w:rsidR="008C5927" w:rsidRPr="00F53DB4">
        <w:t>and 7.1</w:t>
      </w:r>
      <w:r w:rsidR="0098342A" w:rsidRPr="00F53DB4">
        <w:t>,</w:t>
      </w:r>
      <w:r w:rsidR="008C5927" w:rsidRPr="00F53DB4">
        <w:t xml:space="preserve"> concerning spent fuel pool instrumentation</w:t>
      </w:r>
      <w:r w:rsidR="0098342A" w:rsidRPr="00F53DB4">
        <w:t>,</w:t>
      </w:r>
      <w:r w:rsidR="008C5927" w:rsidRPr="00F53DB4">
        <w:t xml:space="preserve"> were</w:t>
      </w:r>
      <w:r w:rsidRPr="00F53DB4">
        <w:t xml:space="preserve"> determined to be high-priority</w:t>
      </w:r>
      <w:r w:rsidR="00832BD7" w:rsidRPr="00F53DB4">
        <w:t xml:space="preserve"> </w:t>
      </w:r>
      <w:r w:rsidRPr="00F53DB4">
        <w:t>action</w:t>
      </w:r>
      <w:r w:rsidR="008C5927" w:rsidRPr="00F53DB4">
        <w:t>s</w:t>
      </w:r>
      <w:r w:rsidRPr="00F53DB4">
        <w:t>.</w:t>
      </w:r>
    </w:p>
    <w:p w:rsidR="0086705A" w:rsidRPr="00F53DB4" w:rsidRDefault="0086705A" w:rsidP="0086705A">
      <w:pPr>
        <w:autoSpaceDE w:val="0"/>
        <w:autoSpaceDN w:val="0"/>
        <w:adjustRightInd w:val="0"/>
        <w:spacing w:line="240" w:lineRule="auto"/>
      </w:pPr>
    </w:p>
    <w:p w:rsidR="008C5927" w:rsidRPr="00F53DB4" w:rsidRDefault="00E71128" w:rsidP="0086705A">
      <w:pPr>
        <w:autoSpaceDE w:val="0"/>
        <w:autoSpaceDN w:val="0"/>
        <w:adjustRightInd w:val="0"/>
        <w:spacing w:line="240" w:lineRule="auto"/>
      </w:pPr>
      <w:r w:rsidRPr="00F53DB4">
        <w:t xml:space="preserve">The events at Fukushima Dai-ichi highlight the possibility that extreme </w:t>
      </w:r>
      <w:r w:rsidR="0098342A" w:rsidRPr="00F53DB4">
        <w:t>natural phenomena</w:t>
      </w:r>
      <w:r w:rsidRPr="00F53DB4">
        <w:t xml:space="preserve"> could</w:t>
      </w:r>
      <w:r w:rsidR="00832BD7" w:rsidRPr="00F53DB4">
        <w:t xml:space="preserve"> </w:t>
      </w:r>
      <w:r w:rsidRPr="00F53DB4">
        <w:t>challenge the prevention, mitigation and emergency preparedness defense-in-depth layers</w:t>
      </w:r>
      <w:r w:rsidR="0086705A" w:rsidRPr="00F53DB4">
        <w:t xml:space="preserve">. </w:t>
      </w:r>
      <w:r w:rsidRPr="00F53DB4">
        <w:t xml:space="preserve"> At</w:t>
      </w:r>
      <w:r w:rsidR="00832BD7" w:rsidRPr="00F53DB4">
        <w:t xml:space="preserve"> </w:t>
      </w:r>
      <w:r w:rsidRPr="00F53DB4">
        <w:t>Fukushima, limitations in time and unpredictable conditions associated with the accident</w:t>
      </w:r>
      <w:r w:rsidR="00832BD7" w:rsidRPr="00F53DB4">
        <w:t xml:space="preserve"> </w:t>
      </w:r>
      <w:r w:rsidRPr="00F53DB4">
        <w:t>significantly challenged attempts by the responders to preclude core damage and containment</w:t>
      </w:r>
      <w:r w:rsidR="00832BD7" w:rsidRPr="00F53DB4">
        <w:t xml:space="preserve"> </w:t>
      </w:r>
      <w:r w:rsidRPr="00F53DB4">
        <w:t xml:space="preserve">failure. </w:t>
      </w:r>
      <w:r w:rsidR="0086705A" w:rsidRPr="00F53DB4">
        <w:t xml:space="preserve"> </w:t>
      </w:r>
      <w:r w:rsidR="009653AC">
        <w:t>T</w:t>
      </w:r>
      <w:r w:rsidRPr="00F53DB4">
        <w:t>he challenges faced by the operators were beyond any</w:t>
      </w:r>
      <w:r w:rsidR="00832BD7" w:rsidRPr="00F53DB4">
        <w:t xml:space="preserve"> </w:t>
      </w:r>
      <w:r w:rsidRPr="00F53DB4">
        <w:t xml:space="preserve">faced previously at a commercial </w:t>
      </w:r>
      <w:r w:rsidR="00832BD7" w:rsidRPr="00F53DB4">
        <w:t>n</w:t>
      </w:r>
      <w:r w:rsidRPr="00F53DB4">
        <w:t>uclear reactor.</w:t>
      </w:r>
      <w:r w:rsidR="0086705A" w:rsidRPr="00F53DB4">
        <w:t xml:space="preserve"> </w:t>
      </w:r>
      <w:r w:rsidRPr="00F53DB4">
        <w:t xml:space="preserve"> </w:t>
      </w:r>
      <w:r w:rsidR="009653AC">
        <w:t>The NRC</w:t>
      </w:r>
      <w:r w:rsidRPr="00F53DB4">
        <w:t xml:space="preserve"> determined that additional</w:t>
      </w:r>
      <w:r w:rsidR="00832BD7" w:rsidRPr="00F53DB4">
        <w:t xml:space="preserve"> </w:t>
      </w:r>
      <w:r w:rsidRPr="00F53DB4">
        <w:t xml:space="preserve">requirements must be imposed to </w:t>
      </w:r>
      <w:r w:rsidR="00832BD7" w:rsidRPr="00F53DB4">
        <w:t>m</w:t>
      </w:r>
      <w:r w:rsidRPr="00F53DB4">
        <w:t>itigate beyond-design-basis external events.</w:t>
      </w:r>
      <w:r w:rsidR="0086705A" w:rsidRPr="00F53DB4">
        <w:t xml:space="preserve"> </w:t>
      </w:r>
      <w:r w:rsidRPr="00F53DB4">
        <w:t xml:space="preserve"> These</w:t>
      </w:r>
      <w:r w:rsidR="00832BD7" w:rsidRPr="00F53DB4">
        <w:t xml:space="preserve"> </w:t>
      </w:r>
      <w:r w:rsidRPr="00F53DB4">
        <w:t xml:space="preserve">additional requirements impose guidance and strategies to be available if the loss of </w:t>
      </w:r>
      <w:r w:rsidR="005B7E53">
        <w:t>electrical power</w:t>
      </w:r>
      <w:r w:rsidR="006E08DB">
        <w:t>,</w:t>
      </w:r>
      <w:r w:rsidR="005B7E53">
        <w:t xml:space="preserve"> </w:t>
      </w:r>
      <w:r w:rsidRPr="00F53DB4">
        <w:t xml:space="preserve">motive force </w:t>
      </w:r>
      <w:r w:rsidR="005B7E53">
        <w:t>needed to provide cooling water to the reactor and spent fuel pool</w:t>
      </w:r>
      <w:r w:rsidR="006E08DB">
        <w:t>,</w:t>
      </w:r>
      <w:r w:rsidR="005B7E53">
        <w:t xml:space="preserve"> </w:t>
      </w:r>
      <w:r w:rsidRPr="00F53DB4">
        <w:t>and normal access to the ultimate heat sink to prevent fuel damage in the reactor</w:t>
      </w:r>
      <w:r w:rsidR="00832BD7" w:rsidRPr="00F53DB4">
        <w:t xml:space="preserve"> </w:t>
      </w:r>
      <w:r w:rsidRPr="00F53DB4">
        <w:t>and spent fuel pool affected all units at a site simultaneously.</w:t>
      </w:r>
    </w:p>
    <w:p w:rsidR="008C5927" w:rsidRPr="00F53DB4" w:rsidRDefault="008C5927" w:rsidP="0086705A">
      <w:pPr>
        <w:autoSpaceDE w:val="0"/>
        <w:autoSpaceDN w:val="0"/>
        <w:adjustRightInd w:val="0"/>
        <w:spacing w:line="240" w:lineRule="auto"/>
      </w:pPr>
    </w:p>
    <w:p w:rsidR="00EC2BA3" w:rsidRDefault="008C5927" w:rsidP="0086705A">
      <w:pPr>
        <w:autoSpaceDE w:val="0"/>
        <w:autoSpaceDN w:val="0"/>
        <w:adjustRightInd w:val="0"/>
        <w:spacing w:line="240" w:lineRule="auto"/>
      </w:pPr>
      <w:r w:rsidRPr="00F53DB4">
        <w:t xml:space="preserve">Additionally, the events at Fukushima, </w:t>
      </w:r>
      <w:r w:rsidR="009653AC">
        <w:t xml:space="preserve">demonstrated </w:t>
      </w:r>
      <w:r w:rsidR="009653AC" w:rsidRPr="00F53DB4">
        <w:t xml:space="preserve">the confusion and misapplication of resources that can result from beyond-design-basis external events when adequate instrumentation is not available. </w:t>
      </w:r>
      <w:r w:rsidR="009653AC">
        <w:t>R</w:t>
      </w:r>
      <w:r w:rsidRPr="00F53DB4">
        <w:t>esponders were without reliable instrumentation to determine level in the spent fuel pool. This caused concerns that the pool may have been dry, resulting in fuel dama</w:t>
      </w:r>
      <w:r w:rsidR="00481A63">
        <w:t xml:space="preserve">ge. </w:t>
      </w:r>
    </w:p>
    <w:p w:rsidR="009653AC" w:rsidRPr="00F53DB4" w:rsidRDefault="009653AC" w:rsidP="0086705A">
      <w:pPr>
        <w:autoSpaceDE w:val="0"/>
        <w:autoSpaceDN w:val="0"/>
        <w:adjustRightInd w:val="0"/>
        <w:spacing w:line="240" w:lineRule="auto"/>
      </w:pPr>
    </w:p>
    <w:p w:rsidR="00E71128" w:rsidRPr="00F53DB4" w:rsidRDefault="009653AC" w:rsidP="00EC2BA3">
      <w:pPr>
        <w:autoSpaceDE w:val="0"/>
        <w:autoSpaceDN w:val="0"/>
        <w:adjustRightInd w:val="0"/>
        <w:spacing w:line="240" w:lineRule="auto"/>
      </w:pPr>
      <w:r>
        <w:rPr>
          <w:color w:val="000000"/>
        </w:rPr>
        <w:t>Also, t</w:t>
      </w:r>
      <w:r w:rsidR="00EC2BA3" w:rsidRPr="00F53DB4">
        <w:rPr>
          <w:color w:val="000000"/>
        </w:rPr>
        <w:t>he accident at Fukushima reinforced the need for effective EP, the objective of which is to ensure the capability to implement effective measures to mitigate the consequences of a radiological emergency. The accident at Fukushima highlighted the need to determine and implement the required staff to fill all necessary positions responding to a multi-unit event</w:t>
      </w:r>
      <w:r>
        <w:rPr>
          <w:color w:val="000000"/>
        </w:rPr>
        <w:t>,</w:t>
      </w:r>
      <w:r w:rsidR="00983D2C">
        <w:rPr>
          <w:color w:val="000000"/>
        </w:rPr>
        <w:t xml:space="preserve"> </w:t>
      </w:r>
      <w:r w:rsidR="00EC2BA3" w:rsidRPr="00F53DB4">
        <w:rPr>
          <w:color w:val="000000"/>
        </w:rPr>
        <w:t>the</w:t>
      </w:r>
      <w:r w:rsidR="00983D2C">
        <w:rPr>
          <w:color w:val="000000"/>
        </w:rPr>
        <w:t xml:space="preserve"> </w:t>
      </w:r>
      <w:r w:rsidR="00EC2BA3" w:rsidRPr="00F53DB4">
        <w:rPr>
          <w:color w:val="000000"/>
        </w:rPr>
        <w:t>need to ensure that the communication equipment relied upon to coordinate the event response during a prolonged station blackout can be powere</w:t>
      </w:r>
      <w:r>
        <w:rPr>
          <w:color w:val="000000"/>
        </w:rPr>
        <w:t>d,</w:t>
      </w:r>
      <w:r w:rsidR="00983D2C">
        <w:rPr>
          <w:color w:val="000000"/>
        </w:rPr>
        <w:t xml:space="preserve"> and the importance of multi-unit dost assessment capability when responding to a similar event</w:t>
      </w:r>
      <w:r w:rsidR="00EC2BA3" w:rsidRPr="00F53DB4">
        <w:rPr>
          <w:color w:val="000000"/>
        </w:rPr>
        <w:t>.</w:t>
      </w:r>
    </w:p>
    <w:p w:rsidR="00C21FFF" w:rsidRPr="00F53DB4" w:rsidRDefault="00D53CD2" w:rsidP="00D53CD2">
      <w:pPr>
        <w:autoSpaceDE w:val="0"/>
        <w:autoSpaceDN w:val="0"/>
        <w:adjustRightInd w:val="0"/>
        <w:spacing w:before="100" w:beforeAutospacing="1" w:after="100" w:afterAutospacing="1" w:line="240" w:lineRule="auto"/>
        <w:rPr>
          <w:rFonts w:eastAsia="Calibri"/>
        </w:rPr>
      </w:pPr>
      <w:r w:rsidRPr="00F53DB4">
        <w:rPr>
          <w:rFonts w:eastAsia="Calibri"/>
        </w:rPr>
        <w:t xml:space="preserve">The NRC staff issued interim staff guidance (ISG) </w:t>
      </w:r>
      <w:r w:rsidRPr="00F53DB4">
        <w:rPr>
          <w:rFonts w:eastAsia="Calibri"/>
          <w:bCs/>
        </w:rPr>
        <w:t>JLD</w:t>
      </w:r>
      <w:r w:rsidRPr="00F53DB4">
        <w:rPr>
          <w:rFonts w:eastAsia="Calibri"/>
          <w:bCs/>
        </w:rPr>
        <w:noBreakHyphen/>
        <w:t>ISG</w:t>
      </w:r>
      <w:r w:rsidRPr="00F53DB4">
        <w:rPr>
          <w:rFonts w:eastAsia="Calibri"/>
          <w:bCs/>
        </w:rPr>
        <w:noBreakHyphen/>
        <w:t>2012</w:t>
      </w:r>
      <w:r w:rsidRPr="00F53DB4">
        <w:rPr>
          <w:rFonts w:eastAsia="Calibri"/>
          <w:bCs/>
        </w:rPr>
        <w:noBreakHyphen/>
        <w:t>01, Revision 0, “Compliance with Order EA</w:t>
      </w:r>
      <w:r w:rsidRPr="00F53DB4">
        <w:rPr>
          <w:rFonts w:eastAsia="Calibri"/>
          <w:bCs/>
        </w:rPr>
        <w:noBreakHyphen/>
        <w:t>12</w:t>
      </w:r>
      <w:r w:rsidRPr="00F53DB4">
        <w:rPr>
          <w:rFonts w:eastAsia="Calibri"/>
          <w:bCs/>
        </w:rPr>
        <w:noBreakHyphen/>
        <w:t>049, Order Modifying Licenses with Regard to Requirements for Mitigation Strategies for Beyond</w:t>
      </w:r>
      <w:r w:rsidRPr="00F53DB4">
        <w:rPr>
          <w:rFonts w:eastAsia="Calibri"/>
          <w:bCs/>
        </w:rPr>
        <w:noBreakHyphen/>
        <w:t>Design</w:t>
      </w:r>
      <w:r w:rsidRPr="00F53DB4">
        <w:rPr>
          <w:rFonts w:eastAsia="Calibri"/>
          <w:bCs/>
        </w:rPr>
        <w:noBreakHyphen/>
        <w:t>Basis External Events” (ADAMS Accession No. </w:t>
      </w:r>
      <w:hyperlink r:id="rId17" w:history="1">
        <w:r w:rsidRPr="00F53DB4">
          <w:rPr>
            <w:rStyle w:val="Hyperlink"/>
            <w:rFonts w:eastAsia="Calibri"/>
          </w:rPr>
          <w:t>ML12229A174</w:t>
        </w:r>
      </w:hyperlink>
      <w:r w:rsidRPr="00F53DB4">
        <w:rPr>
          <w:rFonts w:eastAsia="Calibri"/>
          <w:bCs/>
        </w:rPr>
        <w:t xml:space="preserve">).  </w:t>
      </w:r>
      <w:r w:rsidRPr="00F53DB4">
        <w:rPr>
          <w:rFonts w:eastAsia="Calibri"/>
        </w:rPr>
        <w:t>The ISG endorses, with clarifications, the methodologies described in the industry guidance document, Nuclear Energy Institute (NEI) 12</w:t>
      </w:r>
      <w:r w:rsidRPr="00F53DB4">
        <w:rPr>
          <w:rFonts w:eastAsia="Calibri"/>
        </w:rPr>
        <w:noBreakHyphen/>
        <w:t>06, “Diverse and Flexible Coping Strategies (FLEX) Implementation Guide,” Revision 0 (ADAMS Accession No. </w:t>
      </w:r>
      <w:hyperlink r:id="rId18" w:history="1">
        <w:r w:rsidRPr="00F53DB4">
          <w:rPr>
            <w:rStyle w:val="Hyperlink"/>
            <w:rFonts w:eastAsia="Calibri"/>
          </w:rPr>
          <w:t>ML12242A378</w:t>
        </w:r>
      </w:hyperlink>
      <w:r w:rsidRPr="00F53DB4">
        <w:rPr>
          <w:rFonts w:eastAsia="Calibri"/>
        </w:rPr>
        <w:t>).</w:t>
      </w:r>
      <w:r w:rsidRPr="00F53DB4">
        <w:rPr>
          <w:rFonts w:eastAsia="Calibri"/>
          <w:bCs/>
        </w:rPr>
        <w:t xml:space="preserve">  </w:t>
      </w:r>
      <w:r w:rsidRPr="00F53DB4">
        <w:rPr>
          <w:rFonts w:eastAsia="Calibri"/>
        </w:rPr>
        <w:t>This industry document outlines one possible approach that can be used by licensees, construction permit holders, and combined license holders to address the requirements of the order.</w:t>
      </w:r>
    </w:p>
    <w:p w:rsidR="00AE2306" w:rsidRDefault="00C21FFF" w:rsidP="00ED1F9F">
      <w:pPr>
        <w:autoSpaceDE w:val="0"/>
        <w:autoSpaceDN w:val="0"/>
        <w:adjustRightInd w:val="0"/>
        <w:spacing w:line="240" w:lineRule="auto"/>
        <w:rPr>
          <w:b/>
        </w:rPr>
        <w:sectPr w:rsidR="00AE2306" w:rsidSect="006F10DF">
          <w:footerReference w:type="default" r:id="rId19"/>
          <w:pgSz w:w="12240" w:h="15840" w:code="1"/>
          <w:pgMar w:top="1440" w:right="1440" w:bottom="1440" w:left="1440" w:header="1440" w:footer="1440" w:gutter="0"/>
          <w:cols w:space="720"/>
          <w:docGrid w:linePitch="360"/>
        </w:sectPr>
      </w:pPr>
      <w:r w:rsidRPr="00F53DB4">
        <w:rPr>
          <w:rFonts w:eastAsia="Calibri"/>
        </w:rPr>
        <w:t>The purpose o</w:t>
      </w:r>
      <w:r w:rsidR="00297F88">
        <w:rPr>
          <w:rFonts w:eastAsia="Calibri"/>
        </w:rPr>
        <w:t xml:space="preserve">f this TI is to verify that </w:t>
      </w:r>
      <w:r w:rsidRPr="00F53DB4">
        <w:rPr>
          <w:rFonts w:eastAsia="Calibri"/>
        </w:rPr>
        <w:t>licensees ha</w:t>
      </w:r>
      <w:r w:rsidR="00297F88">
        <w:rPr>
          <w:rFonts w:eastAsia="Calibri"/>
        </w:rPr>
        <w:t xml:space="preserve">ve </w:t>
      </w:r>
      <w:r w:rsidRPr="00F53DB4">
        <w:rPr>
          <w:rFonts w:eastAsia="Calibri"/>
        </w:rPr>
        <w:t>adequately implemented the mitigation strategies as described in the</w:t>
      </w:r>
      <w:r w:rsidR="00795838">
        <w:rPr>
          <w:rFonts w:eastAsia="Calibri"/>
        </w:rPr>
        <w:t xml:space="preserve"> licensee’s Final Integrated Plan and the NRC’s plant safety evaluation</w:t>
      </w:r>
      <w:r w:rsidR="00861AE3">
        <w:rPr>
          <w:rFonts w:eastAsia="Calibri"/>
        </w:rPr>
        <w:t xml:space="preserve"> and </w:t>
      </w:r>
      <w:r w:rsidRPr="00F53DB4">
        <w:rPr>
          <w:rFonts w:eastAsia="Calibri"/>
        </w:rPr>
        <w:t xml:space="preserve">to verify that the </w:t>
      </w:r>
      <w:r w:rsidR="00915651" w:rsidRPr="00F53DB4">
        <w:rPr>
          <w:rFonts w:eastAsia="Calibri"/>
        </w:rPr>
        <w:t>licensees installed reliable water-level measurement instrumentation in their spent fuel pools</w:t>
      </w:r>
      <w:r w:rsidR="00861AE3">
        <w:rPr>
          <w:rFonts w:eastAsia="Calibri"/>
        </w:rPr>
        <w:t xml:space="preserve">.  The purpose of this TI is also </w:t>
      </w:r>
      <w:r w:rsidR="005B26B9">
        <w:rPr>
          <w:rFonts w:eastAsia="Calibri"/>
        </w:rPr>
        <w:t xml:space="preserve">to </w:t>
      </w:r>
      <w:r w:rsidR="005B26B9" w:rsidRPr="00F53DB4">
        <w:rPr>
          <w:rFonts w:eastAsia="Calibri"/>
        </w:rPr>
        <w:t>verify</w:t>
      </w:r>
      <w:r w:rsidR="00861AE3">
        <w:rPr>
          <w:rFonts w:eastAsia="Calibri"/>
        </w:rPr>
        <w:t xml:space="preserve"> the licensees have implemented EP enhancements as described in their site-specific submittals and NRC </w:t>
      </w:r>
      <w:r w:rsidR="0094727B">
        <w:rPr>
          <w:rFonts w:eastAsia="Calibri"/>
        </w:rPr>
        <w:t xml:space="preserve">safety </w:t>
      </w:r>
      <w:r w:rsidR="00861AE3">
        <w:rPr>
          <w:rFonts w:eastAsia="Calibri"/>
        </w:rPr>
        <w:t xml:space="preserve">assessments, including multi-unit dose assessment capability and </w:t>
      </w:r>
      <w:r w:rsidR="00915651" w:rsidRPr="00F53DB4">
        <w:rPr>
          <w:rFonts w:eastAsia="Calibri"/>
        </w:rPr>
        <w:t xml:space="preserve">enhancements to ensure that </w:t>
      </w:r>
      <w:r w:rsidR="00861AE3">
        <w:rPr>
          <w:rFonts w:eastAsia="Calibri"/>
        </w:rPr>
        <w:t xml:space="preserve">staffing is sufficient and </w:t>
      </w:r>
      <w:r w:rsidR="00915651" w:rsidRPr="00F53DB4">
        <w:rPr>
          <w:rFonts w:eastAsia="Calibri"/>
        </w:rPr>
        <w:t xml:space="preserve">communications can be maintained during such an event. </w:t>
      </w:r>
    </w:p>
    <w:p w:rsidR="00A86BAE" w:rsidRPr="00F53DB4" w:rsidRDefault="007924BF" w:rsidP="0086705A">
      <w:pPr>
        <w:spacing w:line="240" w:lineRule="auto"/>
        <w:rPr>
          <w:b/>
        </w:rPr>
      </w:pPr>
      <w:r w:rsidRPr="00F046CE">
        <w:lastRenderedPageBreak/>
        <w:t>2515/191</w:t>
      </w:r>
      <w:r w:rsidR="008E26E2" w:rsidRPr="00F046CE">
        <w:t>-</w:t>
      </w:r>
      <w:proofErr w:type="gramStart"/>
      <w:r w:rsidR="008E26E2" w:rsidRPr="00F046CE">
        <w:t>03  INSPECTION</w:t>
      </w:r>
      <w:proofErr w:type="gramEnd"/>
      <w:r w:rsidR="008E26E2" w:rsidRPr="00F046CE">
        <w:t xml:space="preserve"> REQUIREMENTS</w:t>
      </w:r>
      <w:r w:rsidR="008E26E2" w:rsidRPr="00F53DB4">
        <w:rPr>
          <w:b/>
        </w:rPr>
        <w:t>:</w:t>
      </w:r>
    </w:p>
    <w:p w:rsidR="008E26E2" w:rsidRPr="00F53DB4" w:rsidRDefault="008E26E2" w:rsidP="0086705A">
      <w:pPr>
        <w:autoSpaceDE w:val="0"/>
        <w:autoSpaceDN w:val="0"/>
        <w:adjustRightInd w:val="0"/>
        <w:spacing w:line="240" w:lineRule="auto"/>
        <w:ind w:left="1080" w:hanging="1080"/>
        <w:jc w:val="both"/>
        <w:rPr>
          <w:color w:val="000000"/>
        </w:rPr>
      </w:pPr>
    </w:p>
    <w:p w:rsidR="00902BC6" w:rsidRDefault="008E26E2" w:rsidP="00902BC6">
      <w:pPr>
        <w:spacing w:line="240" w:lineRule="auto"/>
      </w:pPr>
      <w:r w:rsidRPr="00902BC6">
        <w:rPr>
          <w:color w:val="000000"/>
        </w:rPr>
        <w:t xml:space="preserve">Verify that </w:t>
      </w:r>
      <w:r w:rsidR="00CE3AEE" w:rsidRPr="00902BC6">
        <w:rPr>
          <w:color w:val="000000"/>
        </w:rPr>
        <w:t xml:space="preserve">plans </w:t>
      </w:r>
      <w:r w:rsidRPr="00902BC6">
        <w:rPr>
          <w:color w:val="000000"/>
        </w:rPr>
        <w:t xml:space="preserve">for </w:t>
      </w:r>
      <w:r w:rsidR="00524813" w:rsidRPr="00902BC6">
        <w:rPr>
          <w:color w:val="000000"/>
        </w:rPr>
        <w:t xml:space="preserve">complying with </w:t>
      </w:r>
      <w:r w:rsidR="00E71128" w:rsidRPr="00902BC6">
        <w:rPr>
          <w:color w:val="000000"/>
        </w:rPr>
        <w:t>NRC Order</w:t>
      </w:r>
      <w:r w:rsidR="00CE3AEE" w:rsidRPr="00902BC6">
        <w:rPr>
          <w:color w:val="000000"/>
        </w:rPr>
        <w:t>s</w:t>
      </w:r>
      <w:r w:rsidR="00E71128" w:rsidRPr="00902BC6">
        <w:rPr>
          <w:color w:val="000000"/>
        </w:rPr>
        <w:t xml:space="preserve"> EA-12-049</w:t>
      </w:r>
      <w:r w:rsidR="00A665B1" w:rsidRPr="00902BC6">
        <w:rPr>
          <w:color w:val="000000"/>
        </w:rPr>
        <w:t xml:space="preserve"> (mitigation strategies</w:t>
      </w:r>
      <w:r w:rsidR="006A43A3" w:rsidRPr="00F53DB4">
        <w:t xml:space="preserve"> for </w:t>
      </w:r>
      <w:r w:rsidR="00CE3AEE">
        <w:t>b</w:t>
      </w:r>
      <w:r w:rsidR="006A43A3" w:rsidRPr="00F53DB4">
        <w:t>eyond-</w:t>
      </w:r>
      <w:r w:rsidR="00CE3AEE">
        <w:t>d</w:t>
      </w:r>
      <w:r w:rsidR="006A43A3" w:rsidRPr="00F53DB4">
        <w:t>esign-</w:t>
      </w:r>
      <w:r w:rsidR="00CE3AEE">
        <w:t>b</w:t>
      </w:r>
      <w:r w:rsidR="006A43A3" w:rsidRPr="00F53DB4">
        <w:t>asis external events</w:t>
      </w:r>
      <w:r w:rsidR="0015085C" w:rsidRPr="00902BC6">
        <w:rPr>
          <w:color w:val="000000"/>
        </w:rPr>
        <w:t>)</w:t>
      </w:r>
      <w:r w:rsidR="00CE3AEE" w:rsidRPr="00902BC6">
        <w:rPr>
          <w:color w:val="000000"/>
        </w:rPr>
        <w:t xml:space="preserve"> and </w:t>
      </w:r>
      <w:r w:rsidR="00E71128" w:rsidRPr="00902BC6">
        <w:rPr>
          <w:color w:val="000000"/>
        </w:rPr>
        <w:t>EA-</w:t>
      </w:r>
      <w:r w:rsidR="008E30F9" w:rsidRPr="00902BC6">
        <w:rPr>
          <w:color w:val="000000"/>
        </w:rPr>
        <w:t>12</w:t>
      </w:r>
      <w:r w:rsidR="00E71128" w:rsidRPr="00902BC6">
        <w:rPr>
          <w:color w:val="000000"/>
        </w:rPr>
        <w:t>-</w:t>
      </w:r>
      <w:r w:rsidR="008E30F9" w:rsidRPr="00902BC6">
        <w:rPr>
          <w:color w:val="000000"/>
        </w:rPr>
        <w:t>051</w:t>
      </w:r>
      <w:r w:rsidR="00E71128" w:rsidRPr="00902BC6">
        <w:rPr>
          <w:color w:val="000000"/>
        </w:rPr>
        <w:t xml:space="preserve"> (sp</w:t>
      </w:r>
      <w:r w:rsidR="00297F88" w:rsidRPr="00902BC6">
        <w:rPr>
          <w:color w:val="000000"/>
        </w:rPr>
        <w:t>ent fuel pool instrumentation)</w:t>
      </w:r>
      <w:r w:rsidR="00EB213D" w:rsidRPr="00902BC6">
        <w:rPr>
          <w:color w:val="000000"/>
        </w:rPr>
        <w:t xml:space="preserve"> are in place and are being implemented by the licensee</w:t>
      </w:r>
      <w:r w:rsidR="00902BC6" w:rsidRPr="00902BC6">
        <w:rPr>
          <w:color w:val="000000"/>
        </w:rPr>
        <w:t>.  Verify</w:t>
      </w:r>
      <w:r w:rsidR="00EB213D" w:rsidRPr="00902BC6">
        <w:rPr>
          <w:color w:val="000000"/>
        </w:rPr>
        <w:t xml:space="preserve"> </w:t>
      </w:r>
      <w:r w:rsidR="001C4BEF">
        <w:rPr>
          <w:color w:val="000000"/>
        </w:rPr>
        <w:t xml:space="preserve">implementation of </w:t>
      </w:r>
      <w:r w:rsidR="00902BC6" w:rsidRPr="00902BC6">
        <w:rPr>
          <w:color w:val="000000"/>
        </w:rPr>
        <w:t>staffing and communications</w:t>
      </w:r>
      <w:r w:rsidR="00CE3AEE" w:rsidRPr="00902BC6">
        <w:rPr>
          <w:color w:val="000000"/>
        </w:rPr>
        <w:t xml:space="preserve"> </w:t>
      </w:r>
      <w:r w:rsidR="00EB213D" w:rsidRPr="00902BC6">
        <w:rPr>
          <w:color w:val="000000"/>
        </w:rPr>
        <w:t xml:space="preserve">information provided in response to </w:t>
      </w:r>
      <w:r w:rsidR="00CE3AEE" w:rsidRPr="00902BC6">
        <w:rPr>
          <w:color w:val="000000"/>
        </w:rPr>
        <w:t xml:space="preserve">the </w:t>
      </w:r>
      <w:r w:rsidR="0015085C" w:rsidRPr="00902BC6">
        <w:rPr>
          <w:color w:val="000000"/>
        </w:rPr>
        <w:t>March 12, 2012 request for information letter</w:t>
      </w:r>
      <w:r w:rsidR="00902BC6" w:rsidRPr="00902BC6">
        <w:rPr>
          <w:color w:val="000000"/>
        </w:rPr>
        <w:t xml:space="preserve"> </w:t>
      </w:r>
      <w:r w:rsidR="00902BC6">
        <w:t xml:space="preserve">and multi-unit dose assessment information provided per COMSECY-13-0010, </w:t>
      </w:r>
      <w:r w:rsidR="00902BC6" w:rsidRPr="00902BC6">
        <w:rPr>
          <w:i/>
        </w:rPr>
        <w:t>Schedule and Plans for Tier 2 Order on Emergency Preparedness for Japan Lessons Learned</w:t>
      </w:r>
      <w:r w:rsidR="00902BC6">
        <w:t>, dated March 27, 2013 (ADAMS Accession No. ML12339A262).</w:t>
      </w:r>
    </w:p>
    <w:p w:rsidR="00902BC6" w:rsidRPr="00F53DB4" w:rsidRDefault="00902BC6" w:rsidP="00902BC6">
      <w:pPr>
        <w:spacing w:line="240" w:lineRule="auto"/>
      </w:pPr>
    </w:p>
    <w:p w:rsidR="00882BBE" w:rsidRDefault="008E26E2" w:rsidP="0086705A">
      <w:pPr>
        <w:spacing w:line="240" w:lineRule="auto"/>
        <w:rPr>
          <w:color w:val="000000"/>
        </w:rPr>
      </w:pPr>
      <w:r w:rsidRPr="00F53DB4">
        <w:rPr>
          <w:color w:val="000000"/>
        </w:rPr>
        <w:t xml:space="preserve">These </w:t>
      </w:r>
      <w:r w:rsidR="00CE3AEE">
        <w:rPr>
          <w:color w:val="000000"/>
        </w:rPr>
        <w:t>plans</w:t>
      </w:r>
      <w:r w:rsidRPr="00F53DB4">
        <w:rPr>
          <w:color w:val="000000"/>
        </w:rPr>
        <w:t xml:space="preserve"> </w:t>
      </w:r>
      <w:r w:rsidR="00EB213D">
        <w:rPr>
          <w:color w:val="000000"/>
        </w:rPr>
        <w:t xml:space="preserve">and information </w:t>
      </w:r>
      <w:r w:rsidRPr="00F53DB4">
        <w:rPr>
          <w:color w:val="000000"/>
        </w:rPr>
        <w:t xml:space="preserve">are </w:t>
      </w:r>
      <w:r w:rsidR="00EB213D">
        <w:rPr>
          <w:color w:val="000000"/>
        </w:rPr>
        <w:t>provided</w:t>
      </w:r>
      <w:r w:rsidR="00EB213D" w:rsidRPr="00F53DB4">
        <w:rPr>
          <w:color w:val="000000"/>
        </w:rPr>
        <w:t xml:space="preserve"> </w:t>
      </w:r>
      <w:r w:rsidRPr="00F53DB4">
        <w:rPr>
          <w:color w:val="000000"/>
        </w:rPr>
        <w:t>in the site speci</w:t>
      </w:r>
      <w:r w:rsidR="00E71128" w:rsidRPr="00F53DB4">
        <w:rPr>
          <w:color w:val="000000"/>
        </w:rPr>
        <w:t xml:space="preserve">fic submittal(s). </w:t>
      </w:r>
      <w:r w:rsidR="0086705A" w:rsidRPr="00F53DB4">
        <w:rPr>
          <w:color w:val="000000"/>
        </w:rPr>
        <w:t xml:space="preserve"> </w:t>
      </w:r>
      <w:r w:rsidR="00E71128" w:rsidRPr="00F53DB4">
        <w:rPr>
          <w:color w:val="000000"/>
        </w:rPr>
        <w:t>The NRC staff’</w:t>
      </w:r>
      <w:r w:rsidRPr="00F53DB4">
        <w:rPr>
          <w:color w:val="000000"/>
        </w:rPr>
        <w:t xml:space="preserve">s </w:t>
      </w:r>
      <w:r w:rsidR="00CE3AEE" w:rsidRPr="00F53DB4">
        <w:rPr>
          <w:color w:val="000000"/>
        </w:rPr>
        <w:t xml:space="preserve">understanding of these </w:t>
      </w:r>
      <w:r w:rsidR="00CE3AEE">
        <w:rPr>
          <w:color w:val="000000"/>
        </w:rPr>
        <w:t>plans</w:t>
      </w:r>
      <w:r w:rsidR="00CE3AEE" w:rsidRPr="00F53DB4">
        <w:rPr>
          <w:color w:val="000000"/>
        </w:rPr>
        <w:t xml:space="preserve"> is</w:t>
      </w:r>
      <w:r w:rsidRPr="00F53DB4">
        <w:rPr>
          <w:color w:val="000000"/>
        </w:rPr>
        <w:t xml:space="preserve"> documented in the </w:t>
      </w:r>
      <w:r w:rsidR="0003428F" w:rsidRPr="00F53DB4">
        <w:rPr>
          <w:color w:val="000000"/>
        </w:rPr>
        <w:t xml:space="preserve">NRC’s plant safety </w:t>
      </w:r>
      <w:r w:rsidR="00297F88">
        <w:rPr>
          <w:color w:val="000000"/>
        </w:rPr>
        <w:t>evaluation</w:t>
      </w:r>
      <w:r w:rsidR="00CE3AEE">
        <w:rPr>
          <w:color w:val="000000"/>
        </w:rPr>
        <w:t>s</w:t>
      </w:r>
      <w:r w:rsidR="0003428F" w:rsidRPr="00F53DB4">
        <w:rPr>
          <w:color w:val="000000"/>
        </w:rPr>
        <w:t xml:space="preserve"> (</w:t>
      </w:r>
      <w:r w:rsidRPr="00F53DB4">
        <w:rPr>
          <w:color w:val="000000"/>
        </w:rPr>
        <w:t>SE</w:t>
      </w:r>
      <w:r w:rsidR="00CE3AEE">
        <w:rPr>
          <w:color w:val="000000"/>
        </w:rPr>
        <w:t>s</w:t>
      </w:r>
      <w:r w:rsidR="0003428F" w:rsidRPr="00F53DB4">
        <w:rPr>
          <w:color w:val="000000"/>
        </w:rPr>
        <w:t>)</w:t>
      </w:r>
      <w:r w:rsidR="00902BC6">
        <w:rPr>
          <w:color w:val="000000"/>
        </w:rPr>
        <w:t xml:space="preserve"> and safety assessments</w:t>
      </w:r>
      <w:r w:rsidRPr="00F53DB4">
        <w:rPr>
          <w:color w:val="000000"/>
        </w:rPr>
        <w:t>.</w:t>
      </w:r>
      <w:r w:rsidR="0086705A" w:rsidRPr="00F53DB4">
        <w:rPr>
          <w:color w:val="000000"/>
        </w:rPr>
        <w:t xml:space="preserve"> </w:t>
      </w:r>
      <w:r w:rsidRPr="00F53DB4">
        <w:rPr>
          <w:color w:val="000000"/>
        </w:rPr>
        <w:t xml:space="preserve"> </w:t>
      </w:r>
      <w:r w:rsidR="0094727B">
        <w:rPr>
          <w:color w:val="000000"/>
        </w:rPr>
        <w:t xml:space="preserve">See section 2515/191-11 for additional information.  </w:t>
      </w:r>
    </w:p>
    <w:p w:rsidR="0094727B" w:rsidRPr="00F53DB4" w:rsidRDefault="0094727B" w:rsidP="0086705A">
      <w:pPr>
        <w:spacing w:line="240" w:lineRule="auto"/>
        <w:rPr>
          <w:color w:val="000000"/>
        </w:rPr>
      </w:pPr>
    </w:p>
    <w:p w:rsidR="00882BBE" w:rsidRPr="00F53DB4" w:rsidRDefault="0087593A" w:rsidP="0086705A">
      <w:pPr>
        <w:spacing w:line="240" w:lineRule="auto"/>
        <w:rPr>
          <w:color w:val="000000"/>
        </w:rPr>
      </w:pPr>
      <w:r>
        <w:rPr>
          <w:color w:val="000000"/>
        </w:rPr>
        <w:t xml:space="preserve">See Appendix </w:t>
      </w:r>
      <w:r w:rsidR="00ED1F9F">
        <w:rPr>
          <w:color w:val="000000"/>
        </w:rPr>
        <w:t>A</w:t>
      </w:r>
      <w:r>
        <w:rPr>
          <w:color w:val="000000"/>
        </w:rPr>
        <w:t xml:space="preserve"> for </w:t>
      </w:r>
      <w:r w:rsidR="00882BBE" w:rsidRPr="00F53DB4">
        <w:rPr>
          <w:color w:val="000000"/>
        </w:rPr>
        <w:t xml:space="preserve">inspection requirements associated with FLEX equipment.  </w:t>
      </w:r>
    </w:p>
    <w:p w:rsidR="00882BBE" w:rsidRPr="00F53DB4" w:rsidRDefault="00882BBE" w:rsidP="0086705A">
      <w:pPr>
        <w:spacing w:line="240" w:lineRule="auto"/>
        <w:rPr>
          <w:color w:val="000000"/>
        </w:rPr>
      </w:pPr>
    </w:p>
    <w:p w:rsidR="00882BBE" w:rsidRPr="00F53DB4" w:rsidRDefault="0087593A" w:rsidP="0086705A">
      <w:pPr>
        <w:spacing w:line="240" w:lineRule="auto"/>
        <w:rPr>
          <w:color w:val="000000"/>
        </w:rPr>
      </w:pPr>
      <w:r>
        <w:rPr>
          <w:color w:val="000000"/>
        </w:rPr>
        <w:t xml:space="preserve">See Appendix </w:t>
      </w:r>
      <w:r w:rsidR="00ED1F9F">
        <w:rPr>
          <w:color w:val="000000"/>
        </w:rPr>
        <w:t>B</w:t>
      </w:r>
      <w:r>
        <w:rPr>
          <w:color w:val="000000"/>
        </w:rPr>
        <w:t xml:space="preserve"> for </w:t>
      </w:r>
      <w:r w:rsidR="00882BBE" w:rsidRPr="00F53DB4">
        <w:rPr>
          <w:color w:val="000000"/>
        </w:rPr>
        <w:t>inspection requirements associated with Spent Fuel Pool Instrumentation.</w:t>
      </w:r>
    </w:p>
    <w:p w:rsidR="00882BBE" w:rsidRPr="00F53DB4" w:rsidRDefault="00882BBE" w:rsidP="0086705A">
      <w:pPr>
        <w:spacing w:line="240" w:lineRule="auto"/>
        <w:rPr>
          <w:color w:val="000000"/>
        </w:rPr>
      </w:pPr>
    </w:p>
    <w:p w:rsidR="00882BBE" w:rsidRPr="00F53DB4" w:rsidRDefault="00882BBE" w:rsidP="0086705A">
      <w:pPr>
        <w:spacing w:line="240" w:lineRule="auto"/>
        <w:rPr>
          <w:color w:val="000000"/>
        </w:rPr>
      </w:pPr>
      <w:r w:rsidRPr="00F53DB4">
        <w:rPr>
          <w:color w:val="000000"/>
        </w:rPr>
        <w:t xml:space="preserve">See Appendix </w:t>
      </w:r>
      <w:r w:rsidR="00ED1F9F">
        <w:rPr>
          <w:color w:val="000000"/>
        </w:rPr>
        <w:t>C</w:t>
      </w:r>
      <w:r w:rsidR="0087593A">
        <w:rPr>
          <w:color w:val="000000"/>
        </w:rPr>
        <w:t xml:space="preserve"> for </w:t>
      </w:r>
      <w:r w:rsidRPr="00F53DB4">
        <w:rPr>
          <w:color w:val="000000"/>
        </w:rPr>
        <w:t xml:space="preserve">inspection requirements associated with </w:t>
      </w:r>
      <w:r w:rsidR="00297F88">
        <w:rPr>
          <w:color w:val="000000"/>
        </w:rPr>
        <w:t>Communications</w:t>
      </w:r>
      <w:r w:rsidR="00902BC6">
        <w:rPr>
          <w:color w:val="000000"/>
        </w:rPr>
        <w:t xml:space="preserve">, </w:t>
      </w:r>
      <w:r w:rsidR="00297F88">
        <w:rPr>
          <w:color w:val="000000"/>
        </w:rPr>
        <w:t>Staffing</w:t>
      </w:r>
      <w:r w:rsidR="00902BC6">
        <w:rPr>
          <w:color w:val="000000"/>
        </w:rPr>
        <w:t>, and Multi-Unit Dose Assessment</w:t>
      </w:r>
      <w:r w:rsidRPr="00F53DB4">
        <w:rPr>
          <w:color w:val="000000"/>
        </w:rPr>
        <w:t>.</w:t>
      </w:r>
    </w:p>
    <w:p w:rsidR="0039703C" w:rsidRPr="00F046CE" w:rsidRDefault="0039703C" w:rsidP="0086705A">
      <w:pPr>
        <w:spacing w:line="240" w:lineRule="auto"/>
        <w:rPr>
          <w:color w:val="000000"/>
        </w:rPr>
      </w:pPr>
    </w:p>
    <w:p w:rsidR="00C82ECA" w:rsidRPr="00F046CE" w:rsidRDefault="00C82ECA" w:rsidP="0086705A">
      <w:pPr>
        <w:spacing w:line="240" w:lineRule="auto"/>
      </w:pPr>
    </w:p>
    <w:p w:rsidR="00A86BAE" w:rsidRPr="00F046CE" w:rsidRDefault="00DB75AA" w:rsidP="0086705A">
      <w:pPr>
        <w:spacing w:line="240" w:lineRule="auto"/>
      </w:pPr>
      <w:r w:rsidRPr="00F046CE">
        <w:t>2515/191</w:t>
      </w:r>
      <w:r w:rsidR="005A1E90" w:rsidRPr="00F046CE">
        <w:t>-</w:t>
      </w:r>
      <w:proofErr w:type="gramStart"/>
      <w:r w:rsidR="005A1E90" w:rsidRPr="00F046CE">
        <w:t>04</w:t>
      </w:r>
      <w:r w:rsidR="00E96EA4" w:rsidRPr="00F046CE">
        <w:t xml:space="preserve">  </w:t>
      </w:r>
      <w:r w:rsidR="00EE20BC" w:rsidRPr="00F046CE">
        <w:t>DOCUMENTATION</w:t>
      </w:r>
      <w:proofErr w:type="gramEnd"/>
      <w:r w:rsidR="00EE20BC" w:rsidRPr="00F046CE">
        <w:t xml:space="preserve"> </w:t>
      </w:r>
      <w:r w:rsidR="00211255" w:rsidRPr="00F046CE">
        <w:t xml:space="preserve">AND </w:t>
      </w:r>
      <w:r w:rsidR="00E96EA4" w:rsidRPr="00F046CE">
        <w:t>REPORTING REQUIREMENTS</w:t>
      </w:r>
      <w:r w:rsidR="00EA24E4" w:rsidRPr="00F046CE">
        <w:t>:</w:t>
      </w:r>
    </w:p>
    <w:p w:rsidR="005A1E90" w:rsidRPr="00F046CE" w:rsidRDefault="005A1E90" w:rsidP="0086705A">
      <w:pPr>
        <w:spacing w:line="240" w:lineRule="auto"/>
      </w:pPr>
    </w:p>
    <w:p w:rsidR="009E37EC" w:rsidRDefault="0089648B" w:rsidP="0089648B">
      <w:pPr>
        <w:spacing w:line="240" w:lineRule="auto"/>
        <w:rPr>
          <w:color w:val="000000"/>
        </w:rPr>
      </w:pPr>
      <w:r>
        <w:t>S</w:t>
      </w:r>
      <w:r w:rsidRPr="00F53DB4">
        <w:t>pecific reporting requirements are discussed in the Appendices.</w:t>
      </w:r>
      <w:r w:rsidR="00297F88">
        <w:rPr>
          <w:color w:val="000000"/>
        </w:rPr>
        <w:t xml:space="preserve">  </w:t>
      </w:r>
    </w:p>
    <w:p w:rsidR="009E37EC" w:rsidRDefault="009E37EC" w:rsidP="00297F88">
      <w:pPr>
        <w:autoSpaceDE w:val="0"/>
        <w:autoSpaceDN w:val="0"/>
        <w:adjustRightInd w:val="0"/>
        <w:spacing w:line="240" w:lineRule="auto"/>
        <w:rPr>
          <w:color w:val="000000"/>
        </w:rPr>
      </w:pPr>
    </w:p>
    <w:p w:rsidR="00717B58" w:rsidRDefault="00717B58" w:rsidP="00297F88">
      <w:pPr>
        <w:autoSpaceDE w:val="0"/>
        <w:autoSpaceDN w:val="0"/>
        <w:adjustRightInd w:val="0"/>
        <w:spacing w:line="240" w:lineRule="auto"/>
      </w:pPr>
      <w:r w:rsidRPr="00F53DB4">
        <w:rPr>
          <w:color w:val="000000"/>
        </w:rPr>
        <w:t>The inspection report</w:t>
      </w:r>
      <w:r w:rsidR="00AC5868">
        <w:rPr>
          <w:color w:val="000000"/>
        </w:rPr>
        <w:t>(s)</w:t>
      </w:r>
      <w:r w:rsidRPr="00F53DB4">
        <w:rPr>
          <w:color w:val="000000"/>
        </w:rPr>
        <w:t xml:space="preserve"> containing the results should be forwarded to NRR/</w:t>
      </w:r>
      <w:r>
        <w:t xml:space="preserve">JLD/JOMB </w:t>
      </w:r>
      <w:r>
        <w:rPr>
          <w:color w:val="000000"/>
        </w:rPr>
        <w:t xml:space="preserve">via e-mail to </w:t>
      </w:r>
      <w:r w:rsidRPr="00693306">
        <w:t>JLD_Regional.Resource@nrc.gov</w:t>
      </w:r>
      <w:r>
        <w:t xml:space="preserve">.  </w:t>
      </w:r>
      <w:r>
        <w:rPr>
          <w:color w:val="000000"/>
        </w:rPr>
        <w:t xml:space="preserve">Inspectors should contact NRR/JLD/JOMB </w:t>
      </w:r>
      <w:r w:rsidRPr="00F53DB4">
        <w:t>with any questions related to the scope of this TI or with questions related to other inspector concerns identified while implementing this TI.</w:t>
      </w:r>
    </w:p>
    <w:p w:rsidR="00717B58" w:rsidRDefault="00717B58" w:rsidP="00297F88">
      <w:pPr>
        <w:autoSpaceDE w:val="0"/>
        <w:autoSpaceDN w:val="0"/>
        <w:adjustRightInd w:val="0"/>
        <w:spacing w:line="240" w:lineRule="auto"/>
        <w:rPr>
          <w:color w:val="000000"/>
        </w:rPr>
      </w:pPr>
    </w:p>
    <w:p w:rsidR="00481A63" w:rsidRPr="00F53DB4" w:rsidRDefault="00297F88" w:rsidP="00EE20BC">
      <w:pPr>
        <w:autoSpaceDE w:val="0"/>
        <w:autoSpaceDN w:val="0"/>
        <w:adjustRightInd w:val="0"/>
        <w:spacing w:line="240" w:lineRule="auto"/>
        <w:rPr>
          <w:color w:val="000000"/>
        </w:rPr>
      </w:pPr>
      <w:r w:rsidRPr="00F53DB4">
        <w:rPr>
          <w:color w:val="000000"/>
        </w:rPr>
        <w:t xml:space="preserve">Noncompliance </w:t>
      </w:r>
      <w:r>
        <w:rPr>
          <w:color w:val="000000"/>
        </w:rPr>
        <w:t>with other current licensing requirements (not directly associated with the commitments for implementation of EA-12-049, EA-12-051, the March 12, 2012 10 CFR 50.54(f) letter on Emergency Preparedness</w:t>
      </w:r>
      <w:r w:rsidR="00902BC6">
        <w:rPr>
          <w:color w:val="000000"/>
        </w:rPr>
        <w:t xml:space="preserve">, or multi-unit dose assessment per </w:t>
      </w:r>
      <w:r w:rsidR="00902BC6">
        <w:t>COMSECY-13-0010</w:t>
      </w:r>
      <w:r>
        <w:rPr>
          <w:color w:val="000000"/>
        </w:rPr>
        <w:t xml:space="preserve">) </w:t>
      </w:r>
      <w:r w:rsidR="00EE20BC" w:rsidRPr="00F53DB4">
        <w:rPr>
          <w:color w:val="000000"/>
        </w:rPr>
        <w:t>should be screened, processed, and documented in accordance with IMC-0612, “Power Reactor Inspection Reports</w:t>
      </w:r>
      <w:r w:rsidR="0094727B">
        <w:rPr>
          <w:color w:val="000000"/>
        </w:rPr>
        <w:t>.</w:t>
      </w:r>
      <w:r w:rsidR="00EE20BC" w:rsidRPr="00F53DB4">
        <w:rPr>
          <w:color w:val="000000"/>
        </w:rPr>
        <w:t xml:space="preserve">” </w:t>
      </w:r>
    </w:p>
    <w:p w:rsidR="00481A63" w:rsidRPr="00B9215D" w:rsidRDefault="00481A63" w:rsidP="0086705A">
      <w:pPr>
        <w:spacing w:line="240" w:lineRule="auto"/>
      </w:pPr>
    </w:p>
    <w:p w:rsidR="00E96EA4" w:rsidRPr="00F046CE" w:rsidRDefault="00DB75AA" w:rsidP="0086705A">
      <w:pPr>
        <w:spacing w:line="240" w:lineRule="auto"/>
      </w:pPr>
      <w:r w:rsidRPr="00F046CE">
        <w:t>2515/191</w:t>
      </w:r>
      <w:r w:rsidR="005A1E90" w:rsidRPr="00F046CE">
        <w:t>-</w:t>
      </w:r>
      <w:proofErr w:type="gramStart"/>
      <w:r w:rsidR="005A1E90" w:rsidRPr="00F046CE">
        <w:t>05</w:t>
      </w:r>
      <w:r w:rsidR="00E96EA4" w:rsidRPr="00F046CE">
        <w:t xml:space="preserve">  COMPLETION</w:t>
      </w:r>
      <w:proofErr w:type="gramEnd"/>
      <w:r w:rsidR="00E96EA4" w:rsidRPr="00F046CE">
        <w:t xml:space="preserve"> SCHEDULE:</w:t>
      </w:r>
    </w:p>
    <w:p w:rsidR="003B1A2A" w:rsidRPr="00B9215D" w:rsidRDefault="003B1A2A" w:rsidP="0086705A">
      <w:pPr>
        <w:spacing w:line="240" w:lineRule="auto"/>
      </w:pPr>
    </w:p>
    <w:p w:rsidR="00B9215D" w:rsidRDefault="00AC5868" w:rsidP="0086705A">
      <w:pPr>
        <w:spacing w:line="240" w:lineRule="auto"/>
        <w:sectPr w:rsidR="00B9215D" w:rsidSect="00994188">
          <w:footerReference w:type="default" r:id="rId20"/>
          <w:pgSz w:w="12240" w:h="15840" w:code="1"/>
          <w:pgMar w:top="1440" w:right="1440" w:bottom="1440" w:left="1440" w:header="1440" w:footer="1440" w:gutter="0"/>
          <w:cols w:space="720"/>
          <w:docGrid w:linePitch="360"/>
        </w:sectPr>
      </w:pPr>
      <w:r>
        <w:t>Appendices A and B of t</w:t>
      </w:r>
      <w:r w:rsidR="003B1A2A" w:rsidRPr="00F53DB4">
        <w:t xml:space="preserve">his TI </w:t>
      </w:r>
      <w:r w:rsidR="00B839C4">
        <w:t>are</w:t>
      </w:r>
      <w:r w:rsidR="003B1A2A" w:rsidRPr="00F53DB4">
        <w:t xml:space="preserve"> to be initiated after </w:t>
      </w:r>
      <w:r w:rsidR="00C77A48">
        <w:t xml:space="preserve">the </w:t>
      </w:r>
      <w:r w:rsidR="003B1A2A" w:rsidRPr="00F53DB4">
        <w:t>licensee completes implementation of NRC Orders EA-12-049 and EA-12-51</w:t>
      </w:r>
      <w:r>
        <w:t>, respectively</w:t>
      </w:r>
      <w:r w:rsidR="007104E0">
        <w:t xml:space="preserve">, </w:t>
      </w:r>
      <w:r w:rsidR="00B839C4">
        <w:t>after</w:t>
      </w:r>
      <w:r w:rsidR="00EB742C">
        <w:t xml:space="preserve"> the Order compliance date, </w:t>
      </w:r>
      <w:r w:rsidR="001954AA">
        <w:t xml:space="preserve">and </w:t>
      </w:r>
      <w:r>
        <w:t xml:space="preserve">after </w:t>
      </w:r>
      <w:r w:rsidR="001954AA">
        <w:t xml:space="preserve">the NRC has issued the </w:t>
      </w:r>
      <w:r w:rsidR="0094727B">
        <w:t>safety evaluation</w:t>
      </w:r>
      <w:r w:rsidR="001954AA">
        <w:t xml:space="preserve">.  Additionally, </w:t>
      </w:r>
      <w:r>
        <w:t xml:space="preserve">Appendix C of </w:t>
      </w:r>
      <w:r w:rsidR="001954AA">
        <w:t>this TI is to be complet</w:t>
      </w:r>
      <w:r w:rsidR="002F5D75">
        <w:t>ed after the licensee implement</w:t>
      </w:r>
      <w:r w:rsidR="001C4BEF">
        <w:t>s</w:t>
      </w:r>
      <w:r w:rsidR="002F5D75">
        <w:t xml:space="preserve"> multi-unit dose assessment capabilities and enhancements associated with th</w:t>
      </w:r>
      <w:r w:rsidR="001954AA">
        <w:t>e</w:t>
      </w:r>
      <w:r w:rsidR="007104E0">
        <w:rPr>
          <w:color w:val="000000"/>
        </w:rPr>
        <w:t xml:space="preserve"> March 12, 2012</w:t>
      </w:r>
      <w:r w:rsidR="00252E49">
        <w:rPr>
          <w:color w:val="000000"/>
        </w:rPr>
        <w:t>,</w:t>
      </w:r>
      <w:r w:rsidR="007104E0">
        <w:rPr>
          <w:color w:val="000000"/>
        </w:rPr>
        <w:t xml:space="preserve"> 10 CFR 50.54(f) letter on Emergency Preparedness</w:t>
      </w:r>
      <w:r w:rsidR="002F5D75">
        <w:t xml:space="preserve">, and the NRC has issued associated safety assessments.  </w:t>
      </w:r>
      <w:r>
        <w:t>Appendices A, B, and C may be completed at different times, but should be completed as soon as practical after licensee implementation dates and</w:t>
      </w:r>
      <w:r w:rsidR="003B1A2A" w:rsidRPr="00F53DB4">
        <w:t xml:space="preserve"> no la</w:t>
      </w:r>
      <w:r w:rsidR="00C77A48">
        <w:t xml:space="preserve">ter than 12/31/2018.  </w:t>
      </w:r>
      <w:r w:rsidR="00252E49">
        <w:t xml:space="preserve">NRR/DIRS has approved this TI </w:t>
      </w:r>
      <w:r w:rsidR="007F4E84">
        <w:t>to be</w:t>
      </w:r>
      <w:r w:rsidR="00252E49">
        <w:t xml:space="preserve"> in effect for greater than 24 months</w:t>
      </w:r>
      <w:r w:rsidR="007F4E84">
        <w:t>,</w:t>
      </w:r>
      <w:r w:rsidR="00252E49">
        <w:t xml:space="preserve"> based on the </w:t>
      </w:r>
      <w:r w:rsidR="00C77A48">
        <w:t xml:space="preserve">time </w:t>
      </w:r>
      <w:r w:rsidR="00252E49">
        <w:t xml:space="preserve">necessary </w:t>
      </w:r>
      <w:r w:rsidR="00C77A48">
        <w:t xml:space="preserve">for </w:t>
      </w:r>
      <w:r w:rsidR="00252E49">
        <w:t xml:space="preserve">the </w:t>
      </w:r>
      <w:r w:rsidR="002F5D75">
        <w:t xml:space="preserve">NRC </w:t>
      </w:r>
      <w:r w:rsidR="0094727B">
        <w:t xml:space="preserve">headquarters </w:t>
      </w:r>
      <w:r w:rsidR="002F5D75">
        <w:t xml:space="preserve">staff </w:t>
      </w:r>
    </w:p>
    <w:p w:rsidR="004A5146" w:rsidRDefault="002F5D75" w:rsidP="0086705A">
      <w:pPr>
        <w:spacing w:line="240" w:lineRule="auto"/>
      </w:pPr>
      <w:proofErr w:type="gramStart"/>
      <w:r>
        <w:lastRenderedPageBreak/>
        <w:t>to</w:t>
      </w:r>
      <w:proofErr w:type="gramEnd"/>
      <w:r>
        <w:t xml:space="preserve"> issue safety evaluations and assessments</w:t>
      </w:r>
      <w:r w:rsidR="00252E49">
        <w:t xml:space="preserve"> </w:t>
      </w:r>
      <w:r>
        <w:t>and</w:t>
      </w:r>
      <w:r w:rsidR="00C77A48">
        <w:t xml:space="preserve"> for the </w:t>
      </w:r>
      <w:r w:rsidR="003B1A2A" w:rsidRPr="00F53DB4">
        <w:t xml:space="preserve">regions </w:t>
      </w:r>
      <w:r w:rsidR="009229B6">
        <w:t>to plan and perform inspection</w:t>
      </w:r>
      <w:r w:rsidR="00C77A48">
        <w:t>s</w:t>
      </w:r>
      <w:r w:rsidR="009229B6">
        <w:t xml:space="preserve"> associated with this TI for all </w:t>
      </w:r>
      <w:r w:rsidR="003B1A2A" w:rsidRPr="00F53DB4">
        <w:t xml:space="preserve">licensees in their region. </w:t>
      </w:r>
    </w:p>
    <w:p w:rsidR="00B9215D" w:rsidRDefault="00B9215D" w:rsidP="0086705A">
      <w:pPr>
        <w:spacing w:line="240" w:lineRule="auto"/>
      </w:pPr>
    </w:p>
    <w:p w:rsidR="00B9215D" w:rsidRDefault="00B9215D" w:rsidP="0086705A">
      <w:pPr>
        <w:spacing w:line="240" w:lineRule="auto"/>
      </w:pPr>
    </w:p>
    <w:p w:rsidR="00E96EA4" w:rsidRPr="00F046CE" w:rsidRDefault="00DB75AA" w:rsidP="0086705A">
      <w:pPr>
        <w:spacing w:line="240" w:lineRule="auto"/>
      </w:pPr>
      <w:r w:rsidRPr="00F046CE">
        <w:t>2515/191</w:t>
      </w:r>
      <w:r w:rsidR="005A1E90" w:rsidRPr="00F046CE">
        <w:t>-</w:t>
      </w:r>
      <w:proofErr w:type="gramStart"/>
      <w:r w:rsidR="005A1E90" w:rsidRPr="00F046CE">
        <w:t>06</w:t>
      </w:r>
      <w:r w:rsidR="00E96EA4" w:rsidRPr="00F046CE">
        <w:t xml:space="preserve">  EXPIRATION</w:t>
      </w:r>
      <w:proofErr w:type="gramEnd"/>
    </w:p>
    <w:p w:rsidR="003B1A2A" w:rsidRPr="00F046CE" w:rsidRDefault="003B1A2A" w:rsidP="0086705A">
      <w:pPr>
        <w:spacing w:line="240" w:lineRule="auto"/>
      </w:pPr>
    </w:p>
    <w:p w:rsidR="003B1A2A" w:rsidRPr="00772EB8" w:rsidRDefault="008A44B8" w:rsidP="0086705A">
      <w:pPr>
        <w:spacing w:line="240" w:lineRule="auto"/>
      </w:pPr>
      <w:r w:rsidRPr="00F53DB4">
        <w:t>The</w:t>
      </w:r>
      <w:r w:rsidR="00772EB8">
        <w:t xml:space="preserve"> TI will expire on June 30, 201</w:t>
      </w:r>
      <w:r w:rsidR="00184CC4">
        <w:t>9</w:t>
      </w:r>
      <w:r w:rsidRPr="00F53DB4">
        <w:t>.</w:t>
      </w:r>
    </w:p>
    <w:p w:rsidR="009E37EC" w:rsidRPr="00F046CE" w:rsidRDefault="009E37EC" w:rsidP="0086705A">
      <w:pPr>
        <w:spacing w:line="240" w:lineRule="auto"/>
      </w:pPr>
    </w:p>
    <w:p w:rsidR="004A5146" w:rsidRPr="00F046CE" w:rsidRDefault="004A5146" w:rsidP="0086705A">
      <w:pPr>
        <w:spacing w:line="240" w:lineRule="auto"/>
      </w:pPr>
    </w:p>
    <w:p w:rsidR="00E96EA4" w:rsidRPr="00F046CE" w:rsidRDefault="00DB75AA" w:rsidP="0086705A">
      <w:pPr>
        <w:spacing w:line="240" w:lineRule="auto"/>
      </w:pPr>
      <w:r w:rsidRPr="00F046CE">
        <w:t>2515/191</w:t>
      </w:r>
      <w:r w:rsidR="005A1E90" w:rsidRPr="00F046CE">
        <w:t>-</w:t>
      </w:r>
      <w:proofErr w:type="gramStart"/>
      <w:r w:rsidR="005A1E90" w:rsidRPr="00F046CE">
        <w:t>07</w:t>
      </w:r>
      <w:r w:rsidR="00E96EA4" w:rsidRPr="00F046CE">
        <w:t xml:space="preserve">  CONTACT</w:t>
      </w:r>
      <w:proofErr w:type="gramEnd"/>
      <w:r w:rsidR="00E96EA4" w:rsidRPr="00F046CE">
        <w:t>(S)</w:t>
      </w:r>
    </w:p>
    <w:p w:rsidR="009240A5" w:rsidRPr="00F046CE" w:rsidRDefault="009240A5" w:rsidP="0086705A">
      <w:pPr>
        <w:spacing w:line="240" w:lineRule="auto"/>
      </w:pPr>
    </w:p>
    <w:p w:rsidR="009A5E72" w:rsidRPr="00F046CE" w:rsidRDefault="009A5E72" w:rsidP="009A5E72">
      <w:pPr>
        <w:spacing w:line="240" w:lineRule="auto"/>
      </w:pPr>
      <w:r w:rsidRPr="00F046CE">
        <w:t xml:space="preserve">Any request for technical support, or any administrative, documentation, or reporting questions should be addressed to </w:t>
      </w:r>
      <w:r w:rsidR="00527685" w:rsidRPr="00F046CE">
        <w:rPr>
          <w:color w:val="000000"/>
        </w:rPr>
        <w:t>NRR/</w:t>
      </w:r>
      <w:r w:rsidR="00527685" w:rsidRPr="00F046CE">
        <w:t xml:space="preserve">JLD/JOMB </w:t>
      </w:r>
      <w:r w:rsidR="00527685" w:rsidRPr="00F046CE">
        <w:rPr>
          <w:color w:val="000000"/>
        </w:rPr>
        <w:t xml:space="preserve">via e-mail to </w:t>
      </w:r>
      <w:r w:rsidR="00527685" w:rsidRPr="00F046CE">
        <w:t>JLD_Regional.Resource@nrc.gov</w:t>
      </w:r>
      <w:r w:rsidR="009E37EC" w:rsidRPr="00F046CE">
        <w:t>.</w:t>
      </w:r>
    </w:p>
    <w:p w:rsidR="00F53DB4" w:rsidRPr="00F046CE" w:rsidRDefault="00F53DB4" w:rsidP="0086705A">
      <w:pPr>
        <w:spacing w:line="240" w:lineRule="auto"/>
      </w:pPr>
    </w:p>
    <w:p w:rsidR="009A5E72" w:rsidRPr="00F046CE" w:rsidRDefault="009A5E72" w:rsidP="0086705A">
      <w:pPr>
        <w:spacing w:line="240" w:lineRule="auto"/>
      </w:pPr>
    </w:p>
    <w:p w:rsidR="00E96EA4" w:rsidRPr="00F046CE" w:rsidRDefault="00DB75AA" w:rsidP="0086705A">
      <w:pPr>
        <w:spacing w:line="240" w:lineRule="auto"/>
      </w:pPr>
      <w:r w:rsidRPr="00F046CE">
        <w:t>2515/191</w:t>
      </w:r>
      <w:r w:rsidR="0024066E" w:rsidRPr="00F046CE">
        <w:t>-08</w:t>
      </w:r>
      <w:r w:rsidR="00E96EA4" w:rsidRPr="00F046CE">
        <w:t xml:space="preserve"> STATISTICAL DATA REPORTING</w:t>
      </w:r>
    </w:p>
    <w:p w:rsidR="00DB75AA" w:rsidRPr="00F046CE" w:rsidRDefault="00DB75AA" w:rsidP="0086705A">
      <w:pPr>
        <w:spacing w:line="240" w:lineRule="auto"/>
      </w:pPr>
    </w:p>
    <w:p w:rsidR="00DB75AA" w:rsidRPr="00F046CE" w:rsidRDefault="00DB75AA" w:rsidP="0086705A">
      <w:pPr>
        <w:spacing w:line="240" w:lineRule="auto"/>
      </w:pPr>
      <w:r w:rsidRPr="00F046CE">
        <w:t>All direct inspection effort expended on this TI is to be charged to 2515/191 with an IPE code of TI.</w:t>
      </w:r>
      <w:r w:rsidR="00772EB8">
        <w:t xml:space="preserve"> </w:t>
      </w:r>
      <w:r w:rsidRPr="00F046CE">
        <w:t xml:space="preserve"> All indirect inspection effort expended on this TI for preparation and documentation should</w:t>
      </w:r>
      <w:r w:rsidR="00B71F7E">
        <w:t xml:space="preserve"> be attributed to the new activity code</w:t>
      </w:r>
      <w:r w:rsidRPr="00F046CE">
        <w:t xml:space="preserve"> </w:t>
      </w:r>
      <w:r w:rsidR="00B71F7E">
        <w:t>for prep and doc:  TPD</w:t>
      </w:r>
      <w:r w:rsidRPr="00F046CE">
        <w:t>.</w:t>
      </w:r>
    </w:p>
    <w:p w:rsidR="00DB75AA" w:rsidRPr="00F046CE" w:rsidRDefault="00DB75AA" w:rsidP="0086705A">
      <w:pPr>
        <w:spacing w:line="240" w:lineRule="auto"/>
      </w:pPr>
    </w:p>
    <w:p w:rsidR="00DB75AA" w:rsidRPr="00F046CE" w:rsidRDefault="00DB75AA" w:rsidP="0086705A">
      <w:pPr>
        <w:spacing w:line="240" w:lineRule="auto"/>
      </w:pPr>
    </w:p>
    <w:p w:rsidR="00E96EA4" w:rsidRPr="00F046CE" w:rsidRDefault="00CF3E53" w:rsidP="0086705A">
      <w:pPr>
        <w:spacing w:line="240" w:lineRule="auto"/>
      </w:pPr>
      <w:r w:rsidRPr="00F046CE">
        <w:t>2515/191</w:t>
      </w:r>
      <w:r w:rsidR="0024066E" w:rsidRPr="00F046CE">
        <w:t>-</w:t>
      </w:r>
      <w:proofErr w:type="gramStart"/>
      <w:r w:rsidR="0024066E" w:rsidRPr="00F046CE">
        <w:t>09</w:t>
      </w:r>
      <w:r w:rsidR="00E96EA4" w:rsidRPr="00F046CE">
        <w:t xml:space="preserve">  RESOURCE</w:t>
      </w:r>
      <w:proofErr w:type="gramEnd"/>
      <w:r w:rsidR="00E96EA4" w:rsidRPr="00F046CE">
        <w:t xml:space="preserve"> ESTIMATE</w:t>
      </w:r>
    </w:p>
    <w:p w:rsidR="00DB75AA" w:rsidRPr="00F046CE" w:rsidRDefault="00DB75AA" w:rsidP="0086705A">
      <w:pPr>
        <w:spacing w:line="240" w:lineRule="auto"/>
      </w:pPr>
    </w:p>
    <w:p w:rsidR="00772EB8" w:rsidRDefault="001D6076" w:rsidP="00EF287E">
      <w:pPr>
        <w:pStyle w:val="Default"/>
        <w:rPr>
          <w:rFonts w:ascii="Arial" w:hAnsi="Arial" w:cs="Arial"/>
          <w:sz w:val="22"/>
          <w:szCs w:val="22"/>
        </w:rPr>
      </w:pPr>
      <w:r w:rsidRPr="00F046CE">
        <w:rPr>
          <w:rFonts w:ascii="Arial" w:hAnsi="Arial" w:cs="Arial"/>
          <w:sz w:val="22"/>
          <w:szCs w:val="22"/>
        </w:rPr>
        <w:t>The estimated</w:t>
      </w:r>
      <w:r w:rsidRPr="00F53DB4">
        <w:rPr>
          <w:rFonts w:ascii="Arial" w:hAnsi="Arial" w:cs="Arial"/>
          <w:sz w:val="22"/>
          <w:szCs w:val="22"/>
        </w:rPr>
        <w:t xml:space="preserve"> average time to complete the TI inspection requirements </w:t>
      </w:r>
      <w:r w:rsidR="00296343">
        <w:rPr>
          <w:rFonts w:ascii="Arial" w:hAnsi="Arial" w:cs="Arial"/>
          <w:sz w:val="22"/>
          <w:szCs w:val="22"/>
        </w:rPr>
        <w:t xml:space="preserve">described </w:t>
      </w:r>
      <w:r w:rsidR="00BF2542">
        <w:rPr>
          <w:rFonts w:ascii="Arial" w:hAnsi="Arial" w:cs="Arial"/>
          <w:sz w:val="22"/>
          <w:szCs w:val="22"/>
        </w:rPr>
        <w:t>is 100 hours per site (</w:t>
      </w:r>
      <w:r w:rsidR="00296343">
        <w:rPr>
          <w:rFonts w:ascii="Arial" w:hAnsi="Arial" w:cs="Arial"/>
          <w:sz w:val="22"/>
          <w:szCs w:val="22"/>
        </w:rPr>
        <w:t>Appendi</w:t>
      </w:r>
      <w:r w:rsidR="00BF2542">
        <w:rPr>
          <w:rFonts w:ascii="Arial" w:hAnsi="Arial" w:cs="Arial"/>
          <w:sz w:val="22"/>
          <w:szCs w:val="22"/>
        </w:rPr>
        <w:t>x</w:t>
      </w:r>
      <w:r w:rsidR="00296343">
        <w:rPr>
          <w:rFonts w:ascii="Arial" w:hAnsi="Arial" w:cs="Arial"/>
          <w:sz w:val="22"/>
          <w:szCs w:val="22"/>
        </w:rPr>
        <w:t xml:space="preserve"> A</w:t>
      </w:r>
      <w:r w:rsidR="00BF2542">
        <w:rPr>
          <w:rFonts w:ascii="Arial" w:hAnsi="Arial" w:cs="Arial"/>
          <w:sz w:val="22"/>
          <w:szCs w:val="22"/>
        </w:rPr>
        <w:t xml:space="preserve"> – 80 hours</w:t>
      </w:r>
      <w:r w:rsidR="00296343">
        <w:rPr>
          <w:rFonts w:ascii="Arial" w:hAnsi="Arial" w:cs="Arial"/>
          <w:sz w:val="22"/>
          <w:szCs w:val="22"/>
        </w:rPr>
        <w:t xml:space="preserve">, </w:t>
      </w:r>
      <w:r w:rsidR="00BF2542">
        <w:rPr>
          <w:rFonts w:ascii="Arial" w:hAnsi="Arial" w:cs="Arial"/>
          <w:sz w:val="22"/>
          <w:szCs w:val="22"/>
        </w:rPr>
        <w:t xml:space="preserve">Appendix </w:t>
      </w:r>
      <w:r w:rsidR="00296343">
        <w:rPr>
          <w:rFonts w:ascii="Arial" w:hAnsi="Arial" w:cs="Arial"/>
          <w:sz w:val="22"/>
          <w:szCs w:val="22"/>
        </w:rPr>
        <w:t xml:space="preserve">B </w:t>
      </w:r>
      <w:r w:rsidR="00BF2542">
        <w:rPr>
          <w:rFonts w:ascii="Arial" w:hAnsi="Arial" w:cs="Arial"/>
          <w:sz w:val="22"/>
          <w:szCs w:val="22"/>
        </w:rPr>
        <w:t>– 12</w:t>
      </w:r>
      <w:r w:rsidR="006B787E">
        <w:rPr>
          <w:rFonts w:ascii="Arial" w:hAnsi="Arial" w:cs="Arial"/>
          <w:sz w:val="22"/>
          <w:szCs w:val="22"/>
        </w:rPr>
        <w:t xml:space="preserve"> </w:t>
      </w:r>
      <w:r w:rsidR="00BF2542">
        <w:rPr>
          <w:rFonts w:ascii="Arial" w:hAnsi="Arial" w:cs="Arial"/>
          <w:sz w:val="22"/>
          <w:szCs w:val="22"/>
        </w:rPr>
        <w:t xml:space="preserve">hours, </w:t>
      </w:r>
      <w:r w:rsidR="00296343">
        <w:rPr>
          <w:rFonts w:ascii="Arial" w:hAnsi="Arial" w:cs="Arial"/>
          <w:sz w:val="22"/>
          <w:szCs w:val="22"/>
        </w:rPr>
        <w:t xml:space="preserve">and </w:t>
      </w:r>
      <w:r w:rsidR="00BF2542">
        <w:rPr>
          <w:rFonts w:ascii="Arial" w:hAnsi="Arial" w:cs="Arial"/>
          <w:sz w:val="22"/>
          <w:szCs w:val="22"/>
        </w:rPr>
        <w:t xml:space="preserve">Appendix </w:t>
      </w:r>
      <w:r w:rsidR="00296343">
        <w:rPr>
          <w:rFonts w:ascii="Arial" w:hAnsi="Arial" w:cs="Arial"/>
          <w:sz w:val="22"/>
          <w:szCs w:val="22"/>
        </w:rPr>
        <w:t xml:space="preserve">C </w:t>
      </w:r>
      <w:r w:rsidR="00BF2542">
        <w:rPr>
          <w:rFonts w:ascii="Arial" w:hAnsi="Arial" w:cs="Arial"/>
          <w:sz w:val="22"/>
          <w:szCs w:val="22"/>
        </w:rPr>
        <w:t>– 8 hours)</w:t>
      </w:r>
      <w:r w:rsidR="00E12DE8">
        <w:rPr>
          <w:rFonts w:ascii="Arial" w:hAnsi="Arial" w:cs="Arial"/>
          <w:sz w:val="22"/>
          <w:szCs w:val="22"/>
        </w:rPr>
        <w:t xml:space="preserve">. </w:t>
      </w:r>
      <w:r w:rsidR="001954AA">
        <w:rPr>
          <w:rFonts w:ascii="Arial" w:hAnsi="Arial" w:cs="Arial"/>
          <w:sz w:val="22"/>
          <w:szCs w:val="22"/>
        </w:rPr>
        <w:t xml:space="preserve"> </w:t>
      </w:r>
      <w:r w:rsidR="00E12DE8">
        <w:rPr>
          <w:rFonts w:ascii="Arial" w:hAnsi="Arial" w:cs="Arial"/>
          <w:sz w:val="22"/>
          <w:szCs w:val="22"/>
        </w:rPr>
        <w:t>Inspectors can take credit within the baseline inspection program for samples completed during this TI</w:t>
      </w:r>
      <w:r w:rsidR="00E12DE8" w:rsidRPr="00F53DB4">
        <w:rPr>
          <w:rFonts w:ascii="Arial" w:hAnsi="Arial" w:cs="Arial"/>
          <w:sz w:val="22"/>
          <w:szCs w:val="22"/>
        </w:rPr>
        <w:t>,</w:t>
      </w:r>
      <w:r w:rsidR="00E12DE8">
        <w:rPr>
          <w:rFonts w:ascii="Arial" w:hAnsi="Arial" w:cs="Arial"/>
          <w:sz w:val="22"/>
          <w:szCs w:val="22"/>
        </w:rPr>
        <w:t xml:space="preserve"> </w:t>
      </w:r>
      <w:r w:rsidR="006B787E">
        <w:rPr>
          <w:rFonts w:ascii="Arial" w:hAnsi="Arial" w:cs="Arial"/>
          <w:sz w:val="22"/>
          <w:szCs w:val="22"/>
        </w:rPr>
        <w:t>as appropriate (e.g., f</w:t>
      </w:r>
      <w:r w:rsidRPr="00F53DB4">
        <w:rPr>
          <w:rFonts w:ascii="Arial" w:hAnsi="Arial" w:cs="Arial"/>
          <w:sz w:val="22"/>
          <w:szCs w:val="22"/>
        </w:rPr>
        <w:t xml:space="preserve">looding </w:t>
      </w:r>
      <w:r w:rsidR="00E01543" w:rsidRPr="00F53DB4">
        <w:rPr>
          <w:rFonts w:ascii="Arial" w:hAnsi="Arial" w:cs="Arial"/>
          <w:sz w:val="22"/>
          <w:szCs w:val="22"/>
        </w:rPr>
        <w:t xml:space="preserve">or </w:t>
      </w:r>
      <w:r w:rsidR="00EF287E" w:rsidRPr="00F53DB4">
        <w:rPr>
          <w:rFonts w:ascii="Arial" w:hAnsi="Arial" w:cs="Arial"/>
          <w:sz w:val="22"/>
          <w:szCs w:val="22"/>
        </w:rPr>
        <w:t xml:space="preserve">readiness for impending adverse weather </w:t>
      </w:r>
      <w:r w:rsidR="006B787E">
        <w:rPr>
          <w:rFonts w:ascii="Arial" w:hAnsi="Arial" w:cs="Arial"/>
          <w:sz w:val="22"/>
          <w:szCs w:val="22"/>
        </w:rPr>
        <w:t>sample associated with IP</w:t>
      </w:r>
      <w:r w:rsidR="00493FCD">
        <w:rPr>
          <w:rFonts w:ascii="Arial" w:hAnsi="Arial" w:cs="Arial"/>
          <w:sz w:val="22"/>
          <w:szCs w:val="22"/>
        </w:rPr>
        <w:t xml:space="preserve"> </w:t>
      </w:r>
      <w:r w:rsidR="006B787E">
        <w:rPr>
          <w:rFonts w:ascii="Arial" w:hAnsi="Arial" w:cs="Arial"/>
          <w:sz w:val="22"/>
          <w:szCs w:val="22"/>
        </w:rPr>
        <w:t>71111.01,</w:t>
      </w:r>
      <w:r w:rsidRPr="00F53DB4">
        <w:rPr>
          <w:rFonts w:ascii="Arial" w:hAnsi="Arial" w:cs="Arial"/>
          <w:sz w:val="22"/>
          <w:szCs w:val="22"/>
        </w:rPr>
        <w:t xml:space="preserve"> “Adverse Weather P</w:t>
      </w:r>
      <w:r w:rsidR="006B787E">
        <w:rPr>
          <w:rFonts w:ascii="Arial" w:hAnsi="Arial" w:cs="Arial"/>
          <w:sz w:val="22"/>
          <w:szCs w:val="22"/>
        </w:rPr>
        <w:t>rotection;”</w:t>
      </w:r>
      <w:r w:rsidR="00EF287E" w:rsidRPr="00F53DB4">
        <w:rPr>
          <w:rFonts w:ascii="Arial" w:hAnsi="Arial" w:cs="Arial"/>
          <w:sz w:val="22"/>
          <w:szCs w:val="22"/>
        </w:rPr>
        <w:t xml:space="preserve"> </w:t>
      </w:r>
      <w:r w:rsidRPr="00F53DB4">
        <w:rPr>
          <w:rFonts w:ascii="Arial" w:hAnsi="Arial" w:cs="Arial"/>
          <w:sz w:val="22"/>
          <w:szCs w:val="22"/>
        </w:rPr>
        <w:t xml:space="preserve">partial </w:t>
      </w:r>
      <w:proofErr w:type="spellStart"/>
      <w:r w:rsidRPr="00F53DB4">
        <w:rPr>
          <w:rFonts w:ascii="Arial" w:hAnsi="Arial" w:cs="Arial"/>
          <w:sz w:val="22"/>
          <w:szCs w:val="22"/>
        </w:rPr>
        <w:t>walkdown</w:t>
      </w:r>
      <w:proofErr w:type="spellEnd"/>
      <w:r w:rsidRPr="00F53DB4">
        <w:rPr>
          <w:rFonts w:ascii="Arial" w:hAnsi="Arial" w:cs="Arial"/>
          <w:sz w:val="22"/>
          <w:szCs w:val="22"/>
        </w:rPr>
        <w:t xml:space="preserve"> sample associated with </w:t>
      </w:r>
      <w:r w:rsidR="006B787E">
        <w:rPr>
          <w:rFonts w:ascii="Arial" w:hAnsi="Arial" w:cs="Arial"/>
          <w:sz w:val="22"/>
          <w:szCs w:val="22"/>
        </w:rPr>
        <w:t xml:space="preserve">IP 71111.04, </w:t>
      </w:r>
      <w:r w:rsidRPr="00F53DB4">
        <w:rPr>
          <w:rFonts w:ascii="Arial" w:hAnsi="Arial" w:cs="Arial"/>
          <w:sz w:val="22"/>
          <w:szCs w:val="22"/>
        </w:rPr>
        <w:t>“Equipment Alignment</w:t>
      </w:r>
      <w:r w:rsidR="006B787E">
        <w:rPr>
          <w:rFonts w:ascii="Arial" w:hAnsi="Arial" w:cs="Arial"/>
          <w:sz w:val="22"/>
          <w:szCs w:val="22"/>
        </w:rPr>
        <w:t>;</w:t>
      </w:r>
      <w:r w:rsidRPr="00F53DB4">
        <w:rPr>
          <w:rFonts w:ascii="Arial" w:hAnsi="Arial" w:cs="Arial"/>
          <w:sz w:val="22"/>
          <w:szCs w:val="22"/>
        </w:rPr>
        <w:t>”</w:t>
      </w:r>
      <w:r w:rsidR="00EF287E" w:rsidRPr="00F53DB4">
        <w:rPr>
          <w:rFonts w:ascii="Arial" w:hAnsi="Arial" w:cs="Arial"/>
          <w:sz w:val="22"/>
          <w:szCs w:val="22"/>
        </w:rPr>
        <w:t xml:space="preserve"> internal flooding associated with</w:t>
      </w:r>
      <w:r w:rsidR="006B787E">
        <w:rPr>
          <w:rFonts w:ascii="Arial" w:hAnsi="Arial" w:cs="Arial"/>
          <w:sz w:val="22"/>
          <w:szCs w:val="22"/>
        </w:rPr>
        <w:t xml:space="preserve"> IP</w:t>
      </w:r>
      <w:r w:rsidR="00493FCD">
        <w:rPr>
          <w:rFonts w:ascii="Arial" w:hAnsi="Arial" w:cs="Arial"/>
          <w:sz w:val="22"/>
          <w:szCs w:val="22"/>
        </w:rPr>
        <w:t xml:space="preserve"> </w:t>
      </w:r>
      <w:r w:rsidR="006B787E">
        <w:rPr>
          <w:rFonts w:ascii="Arial" w:hAnsi="Arial" w:cs="Arial"/>
          <w:sz w:val="22"/>
          <w:szCs w:val="22"/>
        </w:rPr>
        <w:t>71111.06,</w:t>
      </w:r>
      <w:r w:rsidR="00EF287E" w:rsidRPr="00F53DB4">
        <w:rPr>
          <w:rFonts w:ascii="Arial" w:hAnsi="Arial" w:cs="Arial"/>
          <w:sz w:val="22"/>
          <w:szCs w:val="22"/>
        </w:rPr>
        <w:t xml:space="preserve"> “Flood Protection Measures</w:t>
      </w:r>
      <w:r w:rsidR="006B787E">
        <w:rPr>
          <w:rFonts w:ascii="Arial" w:hAnsi="Arial" w:cs="Arial"/>
          <w:sz w:val="22"/>
          <w:szCs w:val="22"/>
        </w:rPr>
        <w:t>;</w:t>
      </w:r>
      <w:r w:rsidR="00EF287E" w:rsidRPr="00F53DB4">
        <w:rPr>
          <w:rFonts w:ascii="Arial" w:hAnsi="Arial" w:cs="Arial"/>
          <w:sz w:val="22"/>
          <w:szCs w:val="22"/>
        </w:rPr>
        <w:t xml:space="preserve">” review of plant modifications associated with </w:t>
      </w:r>
      <w:r w:rsidR="006B787E">
        <w:rPr>
          <w:rFonts w:ascii="Arial" w:hAnsi="Arial" w:cs="Arial"/>
          <w:sz w:val="22"/>
          <w:szCs w:val="22"/>
        </w:rPr>
        <w:t xml:space="preserve">IP 71111.017T, </w:t>
      </w:r>
      <w:r w:rsidR="00EF287E" w:rsidRPr="00F53DB4">
        <w:rPr>
          <w:rFonts w:ascii="Arial" w:hAnsi="Arial" w:cs="Arial"/>
          <w:sz w:val="22"/>
          <w:szCs w:val="22"/>
        </w:rPr>
        <w:t>“Evaluations of Changes, Tests, and Experiments and Permanent Plant Modifications</w:t>
      </w:r>
      <w:r w:rsidR="00772EB8">
        <w:rPr>
          <w:rFonts w:ascii="Arial" w:hAnsi="Arial" w:cs="Arial"/>
          <w:sz w:val="22"/>
          <w:szCs w:val="22"/>
        </w:rPr>
        <w:t xml:space="preserve">;” IP </w:t>
      </w:r>
      <w:r w:rsidR="006B787E">
        <w:rPr>
          <w:rFonts w:ascii="Arial" w:hAnsi="Arial" w:cs="Arial"/>
          <w:sz w:val="22"/>
          <w:szCs w:val="22"/>
        </w:rPr>
        <w:t xml:space="preserve">71111.18, </w:t>
      </w:r>
      <w:r w:rsidR="00EF287E" w:rsidRPr="00F53DB4">
        <w:rPr>
          <w:rFonts w:ascii="Arial" w:hAnsi="Arial" w:cs="Arial"/>
          <w:sz w:val="22"/>
          <w:szCs w:val="22"/>
        </w:rPr>
        <w:t>“Plant Modifications</w:t>
      </w:r>
      <w:r w:rsidR="006B787E">
        <w:rPr>
          <w:rFonts w:ascii="Arial" w:hAnsi="Arial" w:cs="Arial"/>
          <w:sz w:val="22"/>
          <w:szCs w:val="22"/>
        </w:rPr>
        <w:t>;</w:t>
      </w:r>
      <w:r w:rsidR="00EF287E" w:rsidRPr="00F53DB4">
        <w:rPr>
          <w:rFonts w:ascii="Arial" w:hAnsi="Arial" w:cs="Arial"/>
          <w:sz w:val="22"/>
          <w:szCs w:val="22"/>
        </w:rPr>
        <w:t xml:space="preserve">” and surveillance activities associated with </w:t>
      </w:r>
    </w:p>
    <w:p w:rsidR="00DB75AA" w:rsidRPr="00F53DB4" w:rsidRDefault="006B787E" w:rsidP="00EF287E">
      <w:pPr>
        <w:pStyle w:val="Default"/>
        <w:rPr>
          <w:rFonts w:ascii="Arial" w:hAnsi="Arial" w:cs="Arial"/>
          <w:b/>
          <w:sz w:val="22"/>
          <w:szCs w:val="22"/>
        </w:rPr>
      </w:pPr>
      <w:proofErr w:type="gramStart"/>
      <w:r>
        <w:rPr>
          <w:rFonts w:ascii="Arial" w:hAnsi="Arial" w:cs="Arial"/>
          <w:sz w:val="22"/>
          <w:szCs w:val="22"/>
        </w:rPr>
        <w:t xml:space="preserve">IP 71111.22, </w:t>
      </w:r>
      <w:r w:rsidR="00EF287E" w:rsidRPr="00F53DB4">
        <w:rPr>
          <w:rFonts w:ascii="Arial" w:hAnsi="Arial" w:cs="Arial"/>
          <w:sz w:val="22"/>
          <w:szCs w:val="22"/>
        </w:rPr>
        <w:t>“Surveillance Testing”</w:t>
      </w:r>
      <w:r w:rsidR="00E12DE8">
        <w:rPr>
          <w:rFonts w:ascii="Arial" w:hAnsi="Arial" w:cs="Arial"/>
          <w:sz w:val="22"/>
          <w:szCs w:val="22"/>
        </w:rPr>
        <w:t>)</w:t>
      </w:r>
      <w:r w:rsidR="001D6076" w:rsidRPr="00F53DB4">
        <w:rPr>
          <w:rFonts w:ascii="Arial" w:hAnsi="Arial" w:cs="Arial"/>
          <w:sz w:val="22"/>
          <w:szCs w:val="22"/>
        </w:rPr>
        <w:t>.</w:t>
      </w:r>
      <w:proofErr w:type="gramEnd"/>
    </w:p>
    <w:p w:rsidR="00E96EA4" w:rsidRPr="00F046CE" w:rsidRDefault="00E96EA4" w:rsidP="0086705A">
      <w:pPr>
        <w:spacing w:line="240" w:lineRule="auto"/>
      </w:pPr>
    </w:p>
    <w:p w:rsidR="00C24696" w:rsidRPr="00F046CE" w:rsidRDefault="00C24696" w:rsidP="0086705A">
      <w:pPr>
        <w:spacing w:line="240" w:lineRule="auto"/>
      </w:pPr>
    </w:p>
    <w:p w:rsidR="00E96EA4" w:rsidRPr="00F046CE" w:rsidRDefault="00CF3E53" w:rsidP="0086705A">
      <w:pPr>
        <w:spacing w:line="240" w:lineRule="auto"/>
      </w:pPr>
      <w:r w:rsidRPr="00F046CE">
        <w:t>2515/191</w:t>
      </w:r>
      <w:r w:rsidR="0024066E" w:rsidRPr="00F046CE">
        <w:t>-10</w:t>
      </w:r>
      <w:r w:rsidR="00E96EA4" w:rsidRPr="00F046CE">
        <w:t xml:space="preserve"> TRAINING</w:t>
      </w:r>
    </w:p>
    <w:p w:rsidR="00CF3E53" w:rsidRPr="00F046CE" w:rsidRDefault="00CF3E53" w:rsidP="0086705A">
      <w:pPr>
        <w:spacing w:line="240" w:lineRule="auto"/>
      </w:pPr>
    </w:p>
    <w:p w:rsidR="00CF3E53" w:rsidRDefault="009A5E72" w:rsidP="0086705A">
      <w:pPr>
        <w:spacing w:line="240" w:lineRule="auto"/>
      </w:pPr>
      <w:r>
        <w:t xml:space="preserve">Training will be conducted during the </w:t>
      </w:r>
      <w:r w:rsidR="000F7A63">
        <w:t>December 2014</w:t>
      </w:r>
      <w:r w:rsidR="006C5A2A">
        <w:t xml:space="preserve"> to June </w:t>
      </w:r>
      <w:r w:rsidRPr="00B94DEF">
        <w:t>2015</w:t>
      </w:r>
      <w:r w:rsidR="006C5A2A">
        <w:t xml:space="preserve"> timeframe</w:t>
      </w:r>
      <w:r>
        <w:t>.</w:t>
      </w:r>
    </w:p>
    <w:p w:rsidR="00E12DE8" w:rsidRDefault="00E12DE8" w:rsidP="0086705A">
      <w:pPr>
        <w:spacing w:line="240" w:lineRule="auto"/>
      </w:pPr>
    </w:p>
    <w:p w:rsidR="00E12DE8" w:rsidRDefault="00E12DE8" w:rsidP="0086705A">
      <w:pPr>
        <w:spacing w:line="240" w:lineRule="auto"/>
      </w:pPr>
    </w:p>
    <w:p w:rsidR="00E96EA4" w:rsidRPr="00F046CE" w:rsidRDefault="00CF3E53" w:rsidP="0086705A">
      <w:pPr>
        <w:spacing w:line="240" w:lineRule="auto"/>
      </w:pPr>
      <w:r w:rsidRPr="00F046CE">
        <w:t>2515/191</w:t>
      </w:r>
      <w:r w:rsidR="0024066E" w:rsidRPr="00F046CE">
        <w:t>-11</w:t>
      </w:r>
      <w:r w:rsidR="00E96EA4" w:rsidRPr="00F046CE">
        <w:t xml:space="preserve"> REFERENCES</w:t>
      </w:r>
    </w:p>
    <w:p w:rsidR="00A47E5A" w:rsidRPr="00F046CE" w:rsidRDefault="00A47E5A" w:rsidP="0086705A">
      <w:pPr>
        <w:spacing w:line="240" w:lineRule="auto"/>
      </w:pPr>
    </w:p>
    <w:p w:rsidR="00F046CE" w:rsidRDefault="00D2022E" w:rsidP="0086705A">
      <w:pPr>
        <w:spacing w:line="240" w:lineRule="auto"/>
        <w:sectPr w:rsidR="00F046CE" w:rsidSect="00994188">
          <w:pgSz w:w="12240" w:h="15840" w:code="1"/>
          <w:pgMar w:top="1440" w:right="1440" w:bottom="1440" w:left="1440" w:header="1440" w:footer="1440" w:gutter="0"/>
          <w:cols w:space="720"/>
          <w:docGrid w:linePitch="360"/>
        </w:sectPr>
      </w:pPr>
      <w:r>
        <w:t>NEI 12-01</w:t>
      </w:r>
      <w:r w:rsidRPr="00F53DB4">
        <w:t xml:space="preserve">, </w:t>
      </w:r>
      <w:r w:rsidRPr="00D2022E">
        <w:rPr>
          <w:i/>
        </w:rPr>
        <w:t xml:space="preserve">Guideline for Assessing </w:t>
      </w:r>
      <w:proofErr w:type="gramStart"/>
      <w:r>
        <w:rPr>
          <w:i/>
        </w:rPr>
        <w:t>Beyond</w:t>
      </w:r>
      <w:proofErr w:type="gramEnd"/>
      <w:r>
        <w:rPr>
          <w:i/>
        </w:rPr>
        <w:t xml:space="preserve"> Design Basis Accident Response Staffing and Communications Capabilities,</w:t>
      </w:r>
      <w:r w:rsidRPr="00F53DB4">
        <w:rPr>
          <w:i/>
        </w:rPr>
        <w:t xml:space="preserve"> </w:t>
      </w:r>
      <w:r>
        <w:t xml:space="preserve">Revision 0, dated May </w:t>
      </w:r>
      <w:r w:rsidRPr="00F53DB4">
        <w:t xml:space="preserve">2012 (ADAMS Accession No. </w:t>
      </w:r>
      <w:r w:rsidRPr="00D2022E">
        <w:t>ML12</w:t>
      </w:r>
      <w:r>
        <w:t>125A412</w:t>
      </w:r>
      <w:r w:rsidRPr="00F53DB4">
        <w:t>)</w:t>
      </w:r>
    </w:p>
    <w:p w:rsidR="00A47E5A" w:rsidRPr="00F53DB4" w:rsidRDefault="00A47E5A" w:rsidP="0086705A">
      <w:pPr>
        <w:spacing w:line="240" w:lineRule="auto"/>
      </w:pPr>
      <w:r w:rsidRPr="00F53DB4">
        <w:lastRenderedPageBreak/>
        <w:t xml:space="preserve">NEI 12-02, </w:t>
      </w:r>
      <w:r w:rsidRPr="00F53DB4">
        <w:rPr>
          <w:i/>
        </w:rPr>
        <w:t xml:space="preserve">Industry Guidance for Compliance with NRC Order EA-12-051, “To Modify Licenses with Regard to Reliable Spent Fuel Pool Instrumentation,” </w:t>
      </w:r>
      <w:r w:rsidRPr="00F53DB4">
        <w:t xml:space="preserve">Revision 1, dated August 24, 2012 (ADAMS Accession No. </w:t>
      </w:r>
      <w:hyperlink r:id="rId21" w:history="1">
        <w:r w:rsidRPr="00F53DB4">
          <w:rPr>
            <w:rStyle w:val="Hyperlink"/>
          </w:rPr>
          <w:t>ML1</w:t>
        </w:r>
        <w:r w:rsidR="00AF62DC" w:rsidRPr="00F53DB4">
          <w:rPr>
            <w:rStyle w:val="Hyperlink"/>
          </w:rPr>
          <w:t>2240A307</w:t>
        </w:r>
      </w:hyperlink>
      <w:r w:rsidRPr="00F53DB4">
        <w:t>)</w:t>
      </w:r>
    </w:p>
    <w:p w:rsidR="00AF62DC" w:rsidRPr="00F53DB4" w:rsidRDefault="00AF62DC" w:rsidP="0086705A">
      <w:pPr>
        <w:spacing w:line="240" w:lineRule="auto"/>
      </w:pPr>
    </w:p>
    <w:p w:rsidR="00AF62DC" w:rsidRPr="00F53DB4" w:rsidRDefault="00AF62DC" w:rsidP="00AF62DC">
      <w:pPr>
        <w:spacing w:line="240" w:lineRule="auto"/>
      </w:pPr>
      <w:r w:rsidRPr="00F53DB4">
        <w:t>N</w:t>
      </w:r>
      <w:r w:rsidR="0094727B">
        <w:t>EI</w:t>
      </w:r>
      <w:r w:rsidRPr="00F53DB4">
        <w:t xml:space="preserve"> 12-06, </w:t>
      </w:r>
      <w:r w:rsidRPr="00F53DB4">
        <w:rPr>
          <w:i/>
        </w:rPr>
        <w:t>Diverse and Flexible Coping Strategies</w:t>
      </w:r>
      <w:r w:rsidR="001C4BEF">
        <w:rPr>
          <w:i/>
        </w:rPr>
        <w:t xml:space="preserve"> </w:t>
      </w:r>
      <w:r w:rsidRPr="00F53DB4">
        <w:rPr>
          <w:i/>
        </w:rPr>
        <w:t>(FLEX) Implementation Guide,</w:t>
      </w:r>
      <w:r w:rsidRPr="00F53DB4">
        <w:t xml:space="preserve"> Revision 0, dated August 2012 (</w:t>
      </w:r>
      <w:hyperlink r:id="rId22" w:history="1">
        <w:r w:rsidRPr="00F53DB4">
          <w:rPr>
            <w:rStyle w:val="Hyperlink"/>
          </w:rPr>
          <w:t>ML12242A378</w:t>
        </w:r>
      </w:hyperlink>
      <w:r w:rsidRPr="00F53DB4">
        <w:t>)</w:t>
      </w:r>
    </w:p>
    <w:p w:rsidR="00A47E5A" w:rsidRPr="00F53DB4" w:rsidRDefault="00A47E5A" w:rsidP="0086705A">
      <w:pPr>
        <w:spacing w:line="240" w:lineRule="auto"/>
      </w:pPr>
    </w:p>
    <w:p w:rsidR="004A5146" w:rsidRDefault="00A47E5A" w:rsidP="0086705A">
      <w:pPr>
        <w:spacing w:line="240" w:lineRule="auto"/>
      </w:pPr>
      <w:r w:rsidRPr="00F53DB4">
        <w:t xml:space="preserve">Final Interim Staff Guidance: JLD-ISG-2012-03, </w:t>
      </w:r>
      <w:r w:rsidRPr="00F53DB4">
        <w:rPr>
          <w:i/>
        </w:rPr>
        <w:t xml:space="preserve">Compliance with Order EA-12-051, Reliable Spent Fuel Pool Instrumentation, </w:t>
      </w:r>
      <w:r w:rsidRPr="00F53DB4">
        <w:t>Revision 0</w:t>
      </w:r>
      <w:r w:rsidR="00AF62DC" w:rsidRPr="00F53DB4">
        <w:t>, dated August 29, 2012 (</w:t>
      </w:r>
      <w:hyperlink r:id="rId23" w:history="1">
        <w:r w:rsidR="00AF62DC" w:rsidRPr="00F53DB4">
          <w:rPr>
            <w:rStyle w:val="Hyperlink"/>
          </w:rPr>
          <w:t>ML12221A339</w:t>
        </w:r>
      </w:hyperlink>
      <w:r w:rsidR="00AF62DC" w:rsidRPr="00F53DB4">
        <w:t>)</w:t>
      </w:r>
      <w:r w:rsidR="004A5146" w:rsidDel="004A5146">
        <w:t xml:space="preserve"> </w:t>
      </w:r>
    </w:p>
    <w:p w:rsidR="004A5146" w:rsidRDefault="004A5146" w:rsidP="0086705A">
      <w:pPr>
        <w:spacing w:line="240" w:lineRule="auto"/>
      </w:pPr>
    </w:p>
    <w:p w:rsidR="00F61782" w:rsidRDefault="00F11965" w:rsidP="0086705A">
      <w:pPr>
        <w:spacing w:line="240" w:lineRule="auto"/>
      </w:pPr>
      <w:r w:rsidRPr="00F53DB4">
        <w:t xml:space="preserve">Final Interim Staff Guidance: JLD-ISG-2012-01: </w:t>
      </w:r>
      <w:r w:rsidRPr="00F53DB4">
        <w:rPr>
          <w:i/>
        </w:rPr>
        <w:t xml:space="preserve">Compliance with Order EA-12-049, Order Modifying Licenses with Regard to Requirements for Mitigation Strategies for Beyond-Design-Basis External Events, </w:t>
      </w:r>
      <w:r w:rsidRPr="00F53DB4">
        <w:t>Revision 0, dated August 29, 2013 (</w:t>
      </w:r>
      <w:hyperlink r:id="rId24" w:history="1">
        <w:r w:rsidRPr="00F53DB4">
          <w:rPr>
            <w:rStyle w:val="Hyperlink"/>
          </w:rPr>
          <w:t>ML12229A174</w:t>
        </w:r>
      </w:hyperlink>
      <w:r w:rsidRPr="00F53DB4">
        <w:t>)</w:t>
      </w:r>
    </w:p>
    <w:p w:rsidR="0094727B" w:rsidRDefault="0094727B" w:rsidP="0086705A">
      <w:pPr>
        <w:spacing w:line="240" w:lineRule="auto"/>
      </w:pPr>
    </w:p>
    <w:p w:rsidR="0094727B" w:rsidRDefault="0094727B" w:rsidP="0086705A">
      <w:pPr>
        <w:spacing w:line="240" w:lineRule="auto"/>
      </w:pPr>
      <w:r>
        <w:t>Licensee site-specific Final Integrated Plan and NRC Safety Evaluation covering EA-12-049 and EA-12-051</w:t>
      </w:r>
    </w:p>
    <w:p w:rsidR="0094727B" w:rsidRDefault="0094727B" w:rsidP="0086705A">
      <w:pPr>
        <w:spacing w:line="240" w:lineRule="auto"/>
      </w:pPr>
    </w:p>
    <w:p w:rsidR="0094727B" w:rsidRDefault="0094727B" w:rsidP="0086705A">
      <w:pPr>
        <w:spacing w:line="240" w:lineRule="auto"/>
      </w:pPr>
      <w:r>
        <w:t>Licensee site-specific Communications Assessment and NRC Safety Assessment</w:t>
      </w:r>
    </w:p>
    <w:p w:rsidR="0094727B" w:rsidRDefault="0094727B" w:rsidP="0086705A">
      <w:pPr>
        <w:spacing w:line="240" w:lineRule="auto"/>
      </w:pPr>
    </w:p>
    <w:p w:rsidR="0094727B" w:rsidRDefault="0094727B" w:rsidP="0086705A">
      <w:pPr>
        <w:spacing w:line="240" w:lineRule="auto"/>
      </w:pPr>
      <w:r>
        <w:t>Licensee site-specific Phase 1 and 2 Staffing Assessment and NRC Safety Assessment</w:t>
      </w:r>
    </w:p>
    <w:p w:rsidR="0094727B" w:rsidRDefault="0094727B" w:rsidP="0086705A">
      <w:pPr>
        <w:spacing w:line="240" w:lineRule="auto"/>
      </w:pPr>
    </w:p>
    <w:p w:rsidR="0094727B" w:rsidRDefault="0094727B" w:rsidP="0086705A">
      <w:pPr>
        <w:spacing w:line="240" w:lineRule="auto"/>
      </w:pPr>
      <w:r>
        <w:t>Licensee site-specific Multi-Unit Dose Assessment Submittal</w:t>
      </w:r>
    </w:p>
    <w:p w:rsidR="007C061E" w:rsidRDefault="007C061E" w:rsidP="0086705A">
      <w:pPr>
        <w:spacing w:line="240" w:lineRule="auto"/>
      </w:pPr>
    </w:p>
    <w:p w:rsidR="007C061E" w:rsidRDefault="007C061E" w:rsidP="0086705A">
      <w:pPr>
        <w:spacing w:line="240" w:lineRule="auto"/>
      </w:pPr>
    </w:p>
    <w:p w:rsidR="007C061E" w:rsidRDefault="007C061E" w:rsidP="007C061E">
      <w:pPr>
        <w:spacing w:line="240" w:lineRule="auto"/>
        <w:jc w:val="center"/>
      </w:pPr>
      <w:r>
        <w:t>END</w:t>
      </w:r>
    </w:p>
    <w:p w:rsidR="007C061E" w:rsidRDefault="007C061E" w:rsidP="007C061E">
      <w:pPr>
        <w:spacing w:line="240" w:lineRule="auto"/>
        <w:jc w:val="center"/>
      </w:pPr>
    </w:p>
    <w:p w:rsidR="00E12DE8" w:rsidRDefault="00E12DE8" w:rsidP="007C061E">
      <w:pPr>
        <w:spacing w:line="240" w:lineRule="auto"/>
        <w:jc w:val="center"/>
      </w:pPr>
    </w:p>
    <w:p w:rsidR="007C061E" w:rsidRDefault="007C061E" w:rsidP="00A55DD2">
      <w:pPr>
        <w:spacing w:line="240" w:lineRule="auto"/>
      </w:pPr>
      <w:r>
        <w:t xml:space="preserve">Appendices:  </w:t>
      </w:r>
    </w:p>
    <w:p w:rsidR="00772EB8" w:rsidRDefault="00772EB8" w:rsidP="007C061E">
      <w:pPr>
        <w:pStyle w:val="ListParagraph"/>
        <w:spacing w:line="240" w:lineRule="auto"/>
        <w:ind w:left="0"/>
      </w:pPr>
    </w:p>
    <w:p w:rsidR="007C061E" w:rsidRPr="00F53DB4" w:rsidRDefault="007C061E" w:rsidP="007C061E">
      <w:pPr>
        <w:pStyle w:val="ListParagraph"/>
        <w:spacing w:line="240" w:lineRule="auto"/>
        <w:ind w:left="0"/>
      </w:pPr>
      <w:r>
        <w:t xml:space="preserve">Appendix A:  </w:t>
      </w:r>
      <w:r w:rsidRPr="00F53DB4">
        <w:t>Mitigation S</w:t>
      </w:r>
      <w:r>
        <w:t xml:space="preserve">trategies </w:t>
      </w:r>
      <w:proofErr w:type="gramStart"/>
      <w:r>
        <w:t>For</w:t>
      </w:r>
      <w:proofErr w:type="gramEnd"/>
      <w:r>
        <w:t xml:space="preserve"> Beyond-Design Basis</w:t>
      </w:r>
      <w:r w:rsidRPr="00F53DB4">
        <w:t xml:space="preserve"> External Events</w:t>
      </w:r>
    </w:p>
    <w:p w:rsidR="007C061E" w:rsidRDefault="007C061E" w:rsidP="007C061E">
      <w:pPr>
        <w:spacing w:line="240" w:lineRule="auto"/>
      </w:pPr>
      <w:r>
        <w:t xml:space="preserve">Appendix B:  </w:t>
      </w:r>
      <w:r w:rsidRPr="00A97FDC">
        <w:t>Spent Fuel Pool Instrumentation</w:t>
      </w:r>
    </w:p>
    <w:p w:rsidR="007C061E" w:rsidRDefault="007C061E" w:rsidP="00A55DD2">
      <w:pPr>
        <w:spacing w:line="240" w:lineRule="auto"/>
      </w:pPr>
      <w:r>
        <w:t xml:space="preserve">Appendix C:  </w:t>
      </w:r>
      <w:r w:rsidRPr="00130EF9">
        <w:t xml:space="preserve">Staffing </w:t>
      </w:r>
      <w:proofErr w:type="gramStart"/>
      <w:r w:rsidRPr="00130EF9">
        <w:t>And</w:t>
      </w:r>
      <w:proofErr w:type="gramEnd"/>
      <w:r w:rsidRPr="00130EF9">
        <w:t xml:space="preserve"> Communication Request For Information</w:t>
      </w:r>
    </w:p>
    <w:p w:rsidR="00A55DD2" w:rsidRDefault="00A55DD2" w:rsidP="007C061E">
      <w:pPr>
        <w:spacing w:line="240" w:lineRule="auto"/>
      </w:pPr>
    </w:p>
    <w:p w:rsidR="007C061E" w:rsidRDefault="007C061E" w:rsidP="007C061E">
      <w:pPr>
        <w:spacing w:line="240" w:lineRule="auto"/>
      </w:pPr>
      <w:r>
        <w:t>Attachments:</w:t>
      </w:r>
    </w:p>
    <w:p w:rsidR="00772EB8" w:rsidRDefault="00772EB8" w:rsidP="007C061E">
      <w:pPr>
        <w:spacing w:line="240" w:lineRule="auto"/>
      </w:pPr>
    </w:p>
    <w:p w:rsidR="007C061E" w:rsidRDefault="007C061E" w:rsidP="007C061E">
      <w:pPr>
        <w:spacing w:line="240" w:lineRule="auto"/>
      </w:pPr>
      <w:r>
        <w:t>Attachment 1:  Revision History Table</w:t>
      </w:r>
    </w:p>
    <w:p w:rsidR="007C061E" w:rsidRPr="00F53DB4" w:rsidRDefault="007C061E" w:rsidP="007C061E">
      <w:pPr>
        <w:spacing w:line="240" w:lineRule="auto"/>
        <w:sectPr w:rsidR="007C061E" w:rsidRPr="00F53DB4" w:rsidSect="00994188">
          <w:pgSz w:w="12240" w:h="15840" w:code="1"/>
          <w:pgMar w:top="1440" w:right="1440" w:bottom="1440" w:left="1440" w:header="1440" w:footer="1440" w:gutter="0"/>
          <w:cols w:space="720"/>
          <w:docGrid w:linePitch="360"/>
        </w:sectPr>
      </w:pPr>
    </w:p>
    <w:p w:rsidR="007829DF" w:rsidRPr="00F53DB4" w:rsidRDefault="00581690" w:rsidP="007829DF">
      <w:pPr>
        <w:pStyle w:val="ListParagraph"/>
        <w:spacing w:line="240" w:lineRule="auto"/>
        <w:jc w:val="center"/>
      </w:pPr>
      <w:r w:rsidRPr="00F53DB4">
        <w:lastRenderedPageBreak/>
        <w:t xml:space="preserve">APPENDIX </w:t>
      </w:r>
      <w:r w:rsidR="00AE2306">
        <w:t>A</w:t>
      </w:r>
      <w:r w:rsidRPr="00F53DB4">
        <w:t xml:space="preserve"> –</w:t>
      </w:r>
      <w:r w:rsidR="007829DF" w:rsidRPr="00F53DB4">
        <w:t xml:space="preserve"> </w:t>
      </w:r>
      <w:r w:rsidRPr="00F53DB4">
        <w:t>MITIGATION S</w:t>
      </w:r>
      <w:r w:rsidR="00B470E4">
        <w:t>TRATEGIES FOR BEYOND-DESIGN BASIS</w:t>
      </w:r>
      <w:r w:rsidRPr="00F53DB4">
        <w:t xml:space="preserve"> EXTERNAL EVENTS</w:t>
      </w:r>
    </w:p>
    <w:p w:rsidR="00A86BAE" w:rsidRPr="00F53DB4" w:rsidRDefault="00A86BAE" w:rsidP="0086705A">
      <w:pPr>
        <w:spacing w:line="240" w:lineRule="auto"/>
      </w:pPr>
    </w:p>
    <w:p w:rsidR="007829DF" w:rsidRPr="00F53DB4" w:rsidRDefault="007829DF" w:rsidP="0086705A">
      <w:pPr>
        <w:spacing w:line="240" w:lineRule="auto"/>
      </w:pPr>
    </w:p>
    <w:p w:rsidR="008172AA" w:rsidRPr="00F046CE" w:rsidRDefault="008172AA" w:rsidP="008172AA">
      <w:pPr>
        <w:spacing w:line="240" w:lineRule="auto"/>
      </w:pPr>
      <w:r w:rsidRPr="00F046CE">
        <w:t>2515/191-</w:t>
      </w:r>
      <w:proofErr w:type="gramStart"/>
      <w:r w:rsidRPr="00F046CE">
        <w:t>03  INSPECTION</w:t>
      </w:r>
      <w:proofErr w:type="gramEnd"/>
      <w:r w:rsidRPr="00F046CE">
        <w:t xml:space="preserve"> REQUIREMENTS:</w:t>
      </w:r>
    </w:p>
    <w:p w:rsidR="008172AA" w:rsidRPr="00F53DB4" w:rsidRDefault="008172AA" w:rsidP="008172AA">
      <w:pPr>
        <w:autoSpaceDE w:val="0"/>
        <w:autoSpaceDN w:val="0"/>
        <w:adjustRightInd w:val="0"/>
        <w:spacing w:line="240" w:lineRule="auto"/>
        <w:ind w:left="1080" w:hanging="1080"/>
        <w:jc w:val="both"/>
        <w:rPr>
          <w:color w:val="000000"/>
        </w:rPr>
      </w:pPr>
    </w:p>
    <w:p w:rsidR="008172AA" w:rsidRPr="00F53DB4" w:rsidRDefault="008172AA" w:rsidP="008172AA">
      <w:pPr>
        <w:autoSpaceDE w:val="0"/>
        <w:autoSpaceDN w:val="0"/>
        <w:adjustRightInd w:val="0"/>
        <w:spacing w:line="240" w:lineRule="auto"/>
        <w:ind w:left="1080" w:hanging="1080"/>
        <w:jc w:val="both"/>
        <w:rPr>
          <w:color w:val="000000"/>
        </w:rPr>
      </w:pPr>
      <w:r w:rsidRPr="00F53DB4">
        <w:rPr>
          <w:color w:val="000000"/>
        </w:rPr>
        <w:t xml:space="preserve">03.01 </w:t>
      </w:r>
      <w:r w:rsidRPr="00F53DB4">
        <w:rPr>
          <w:color w:val="000000"/>
          <w:u w:val="single"/>
        </w:rPr>
        <w:t xml:space="preserve">General </w:t>
      </w:r>
    </w:p>
    <w:p w:rsidR="008172AA" w:rsidRPr="00F53DB4" w:rsidRDefault="008172AA" w:rsidP="008172AA">
      <w:pPr>
        <w:spacing w:line="240" w:lineRule="auto"/>
        <w:rPr>
          <w:color w:val="000000"/>
        </w:rPr>
      </w:pPr>
    </w:p>
    <w:p w:rsidR="00581690" w:rsidRPr="00F53DB4" w:rsidRDefault="00581690" w:rsidP="00B470E4">
      <w:pPr>
        <w:autoSpaceDE w:val="0"/>
        <w:autoSpaceDN w:val="0"/>
        <w:adjustRightInd w:val="0"/>
        <w:spacing w:line="240" w:lineRule="auto"/>
      </w:pPr>
      <w:r w:rsidRPr="00F53DB4">
        <w:t>The consequences of postulated beyond-design-basis external events that are most impactful to reactor safety are loss of power and loss of the ultimate heat sink. NEI 12-06 document titled, “Diverse and Flexible Coping Strategies (FLEX) Implementation Guide,” outlines an approach for adding diverse and</w:t>
      </w:r>
      <w:r w:rsidR="00B470E4">
        <w:t xml:space="preserve"> flexible mi</w:t>
      </w:r>
      <w:r w:rsidR="006A585D">
        <w:t xml:space="preserve">tigation strategies </w:t>
      </w:r>
      <w:r w:rsidRPr="00F53DB4">
        <w:t>that will increase defense-in-depth for beyond-design-basis scenarios to address an extended loss of alternating current (ac) power (ELAP) and loss of normal</w:t>
      </w:r>
      <w:r w:rsidR="00C277AD">
        <w:t xml:space="preserve"> </w:t>
      </w:r>
      <w:r w:rsidRPr="00F53DB4">
        <w:t>access to the ulti</w:t>
      </w:r>
      <w:r w:rsidR="00B470E4">
        <w:t xml:space="preserve">mate heat sink (LUHS) occurring </w:t>
      </w:r>
      <w:r w:rsidRPr="00F53DB4">
        <w:t>simultaneously at all units on a site.</w:t>
      </w:r>
    </w:p>
    <w:p w:rsidR="00581690" w:rsidRPr="00F53DB4" w:rsidRDefault="00581690" w:rsidP="00581690">
      <w:pPr>
        <w:spacing w:line="240" w:lineRule="auto"/>
      </w:pPr>
    </w:p>
    <w:p w:rsidR="006A585D" w:rsidRDefault="00581690" w:rsidP="00581690">
      <w:pPr>
        <w:autoSpaceDE w:val="0"/>
        <w:autoSpaceDN w:val="0"/>
        <w:adjustRightInd w:val="0"/>
        <w:spacing w:line="240" w:lineRule="auto"/>
      </w:pPr>
      <w:r w:rsidRPr="00F53DB4">
        <w:t xml:space="preserve">The objective of FLEX is to establish an indefinite coping capability to prevent damage to the fuel in the reactor and spent fuel pools and to maintain the containment function by using </w:t>
      </w:r>
    </w:p>
    <w:p w:rsidR="00581690" w:rsidRPr="00F53DB4" w:rsidRDefault="00EF2387" w:rsidP="00581690">
      <w:pPr>
        <w:autoSpaceDE w:val="0"/>
        <w:autoSpaceDN w:val="0"/>
        <w:adjustRightInd w:val="0"/>
        <w:spacing w:line="240" w:lineRule="auto"/>
      </w:pPr>
      <w:r w:rsidRPr="00F53DB4">
        <w:t xml:space="preserve">1) </w:t>
      </w:r>
      <w:r w:rsidR="00581690" w:rsidRPr="00F53DB4">
        <w:t>installed equipmen</w:t>
      </w:r>
      <w:r w:rsidR="001C4BEF">
        <w:t>t</w:t>
      </w:r>
      <w:r w:rsidR="00014831">
        <w:t xml:space="preserve">; </w:t>
      </w:r>
      <w:r w:rsidRPr="00F53DB4">
        <w:t>2)</w:t>
      </w:r>
      <w:r w:rsidR="00581690" w:rsidRPr="00F53DB4">
        <w:t xml:space="preserve"> on-site portable equipment</w:t>
      </w:r>
      <w:r w:rsidR="001C4BEF">
        <w:t>,</w:t>
      </w:r>
      <w:r w:rsidRPr="00F53DB4">
        <w:t xml:space="preserve"> and 3) </w:t>
      </w:r>
      <w:r w:rsidR="00581690" w:rsidRPr="00F53DB4">
        <w:t xml:space="preserve">pre-staged off-site resources.  </w:t>
      </w:r>
    </w:p>
    <w:p w:rsidR="00581690" w:rsidRPr="00F53DB4" w:rsidRDefault="00581690" w:rsidP="00581690">
      <w:pPr>
        <w:autoSpaceDE w:val="0"/>
        <w:autoSpaceDN w:val="0"/>
        <w:adjustRightInd w:val="0"/>
        <w:spacing w:line="240" w:lineRule="auto"/>
      </w:pPr>
    </w:p>
    <w:p w:rsidR="00581690" w:rsidRPr="00F53DB4" w:rsidRDefault="00581690" w:rsidP="00581690">
      <w:pPr>
        <w:autoSpaceDE w:val="0"/>
        <w:autoSpaceDN w:val="0"/>
        <w:adjustRightInd w:val="0"/>
        <w:spacing w:line="240" w:lineRule="auto"/>
      </w:pPr>
      <w:r w:rsidRPr="00F53DB4">
        <w:t>The FLEX strategies are focused on maintaining or restoring key plant safety functions and are not tied to any specific damage state or mechanistic assessment of external events. In some cases, additional hazard-specific boundary conditions are applied in order to cause the implementation strategies to be focused on the nature of challenges that are most likely for that hazard. A safety function-based approach is in keeping with the symptom-based approach taken to plant emergency operating procedures (EOPs) and facilitates the utilization of the FLEX strategies in support of the operating and emergency response network of procedures and guidance.</w:t>
      </w:r>
    </w:p>
    <w:p w:rsidR="00581690" w:rsidRPr="00F53DB4" w:rsidRDefault="00581690" w:rsidP="00581690">
      <w:pPr>
        <w:autoSpaceDE w:val="0"/>
        <w:autoSpaceDN w:val="0"/>
        <w:adjustRightInd w:val="0"/>
        <w:spacing w:line="240" w:lineRule="auto"/>
      </w:pPr>
    </w:p>
    <w:p w:rsidR="00581690" w:rsidRPr="00F53DB4" w:rsidRDefault="00581690" w:rsidP="00581690">
      <w:pPr>
        <w:autoSpaceDE w:val="0"/>
        <w:autoSpaceDN w:val="0"/>
        <w:adjustRightInd w:val="0"/>
        <w:spacing w:line="240" w:lineRule="auto"/>
      </w:pPr>
      <w:r w:rsidRPr="00F53DB4">
        <w:t>The underlying strategies for coping with these conditions involve a three-phase approach:</w:t>
      </w:r>
    </w:p>
    <w:p w:rsidR="00581690" w:rsidRPr="00F53DB4" w:rsidRDefault="00581690" w:rsidP="00581690">
      <w:pPr>
        <w:autoSpaceDE w:val="0"/>
        <w:autoSpaceDN w:val="0"/>
        <w:adjustRightInd w:val="0"/>
        <w:spacing w:line="240" w:lineRule="auto"/>
      </w:pPr>
    </w:p>
    <w:p w:rsidR="00581690" w:rsidRPr="00F53DB4" w:rsidRDefault="00581690" w:rsidP="00581690">
      <w:pPr>
        <w:autoSpaceDE w:val="0"/>
        <w:autoSpaceDN w:val="0"/>
        <w:adjustRightInd w:val="0"/>
        <w:spacing w:line="240" w:lineRule="auto"/>
      </w:pPr>
      <w:r w:rsidRPr="00F53DB4">
        <w:t>1) Initially cope by relying on installed plant equipment.</w:t>
      </w:r>
    </w:p>
    <w:p w:rsidR="00581690" w:rsidRPr="00F53DB4" w:rsidRDefault="00581690" w:rsidP="00581690">
      <w:pPr>
        <w:autoSpaceDE w:val="0"/>
        <w:autoSpaceDN w:val="0"/>
        <w:adjustRightInd w:val="0"/>
        <w:spacing w:line="240" w:lineRule="auto"/>
      </w:pPr>
    </w:p>
    <w:p w:rsidR="00581690" w:rsidRPr="00F53DB4" w:rsidRDefault="00581690" w:rsidP="00581690">
      <w:pPr>
        <w:autoSpaceDE w:val="0"/>
        <w:autoSpaceDN w:val="0"/>
        <w:adjustRightInd w:val="0"/>
        <w:spacing w:line="240" w:lineRule="auto"/>
      </w:pPr>
      <w:r w:rsidRPr="00F53DB4">
        <w:t>2) Transition from installed plant equipment to on-site FLEX equipment.</w:t>
      </w:r>
    </w:p>
    <w:p w:rsidR="00581690" w:rsidRPr="00F53DB4" w:rsidRDefault="00581690" w:rsidP="00581690">
      <w:pPr>
        <w:autoSpaceDE w:val="0"/>
        <w:autoSpaceDN w:val="0"/>
        <w:adjustRightInd w:val="0"/>
        <w:spacing w:line="240" w:lineRule="auto"/>
      </w:pPr>
    </w:p>
    <w:p w:rsidR="00581690" w:rsidRPr="00F53DB4" w:rsidRDefault="00581690" w:rsidP="00581690">
      <w:pPr>
        <w:autoSpaceDE w:val="0"/>
        <w:autoSpaceDN w:val="0"/>
        <w:adjustRightInd w:val="0"/>
        <w:spacing w:line="240" w:lineRule="auto"/>
      </w:pPr>
      <w:r w:rsidRPr="00F53DB4">
        <w:t>3) Obtain additional capability and redundancy from off-site equipment until power, water, and coolant injection systems are restored or commissioned.</w:t>
      </w:r>
    </w:p>
    <w:p w:rsidR="00581690" w:rsidRPr="00F53DB4" w:rsidRDefault="00581690" w:rsidP="00581690">
      <w:pPr>
        <w:spacing w:line="240" w:lineRule="auto"/>
      </w:pPr>
    </w:p>
    <w:p w:rsidR="000B26FC" w:rsidRPr="00F53DB4" w:rsidRDefault="00581690" w:rsidP="000B26FC">
      <w:pPr>
        <w:spacing w:line="240" w:lineRule="auto"/>
        <w:rPr>
          <w:rStyle w:val="Hyperlink"/>
          <w:color w:val="auto"/>
          <w:u w:val="none"/>
        </w:rPr>
      </w:pPr>
      <w:r w:rsidRPr="00F53DB4">
        <w:rPr>
          <w:color w:val="000000"/>
        </w:rPr>
        <w:t xml:space="preserve">The purpose of </w:t>
      </w:r>
      <w:r w:rsidR="00D2022E">
        <w:rPr>
          <w:color w:val="000000"/>
        </w:rPr>
        <w:t>A</w:t>
      </w:r>
      <w:r w:rsidRPr="00F53DB4">
        <w:rPr>
          <w:color w:val="000000"/>
        </w:rPr>
        <w:t xml:space="preserve">ppendix </w:t>
      </w:r>
      <w:r w:rsidR="00D2022E">
        <w:rPr>
          <w:color w:val="000000"/>
        </w:rPr>
        <w:t xml:space="preserve">A </w:t>
      </w:r>
      <w:r w:rsidRPr="00F53DB4">
        <w:rPr>
          <w:color w:val="000000"/>
        </w:rPr>
        <w:t>to this TI is to selectively v</w:t>
      </w:r>
      <w:r w:rsidR="008172AA" w:rsidRPr="00F53DB4">
        <w:rPr>
          <w:color w:val="000000"/>
        </w:rPr>
        <w:t>erify th</w:t>
      </w:r>
      <w:r w:rsidR="00EB244F" w:rsidRPr="00F53DB4">
        <w:rPr>
          <w:color w:val="000000"/>
        </w:rPr>
        <w:t xml:space="preserve">rough </w:t>
      </w:r>
      <w:r w:rsidRPr="00F53DB4">
        <w:rPr>
          <w:color w:val="000000"/>
        </w:rPr>
        <w:t xml:space="preserve">a </w:t>
      </w:r>
      <w:r w:rsidR="00EB244F" w:rsidRPr="00F53DB4">
        <w:rPr>
          <w:color w:val="000000"/>
        </w:rPr>
        <w:t>sampling process th</w:t>
      </w:r>
      <w:r w:rsidR="008172AA" w:rsidRPr="00F53DB4">
        <w:rPr>
          <w:color w:val="000000"/>
        </w:rPr>
        <w:t xml:space="preserve">at the </w:t>
      </w:r>
      <w:r w:rsidR="000B26FC">
        <w:rPr>
          <w:color w:val="000000"/>
        </w:rPr>
        <w:t xml:space="preserve">plans </w:t>
      </w:r>
      <w:r w:rsidR="008172AA" w:rsidRPr="00F53DB4">
        <w:rPr>
          <w:color w:val="000000"/>
        </w:rPr>
        <w:t xml:space="preserve">for </w:t>
      </w:r>
      <w:r w:rsidR="00CE3AEE">
        <w:rPr>
          <w:color w:val="000000"/>
        </w:rPr>
        <w:t>complying with</w:t>
      </w:r>
      <w:r w:rsidR="00CE3AEE" w:rsidRPr="00F53DB4">
        <w:rPr>
          <w:color w:val="000000"/>
        </w:rPr>
        <w:t xml:space="preserve"> </w:t>
      </w:r>
      <w:r w:rsidR="008172AA" w:rsidRPr="00F53DB4">
        <w:rPr>
          <w:color w:val="000000"/>
        </w:rPr>
        <w:t>NRC Order EA-12-049 (mitigation strategies</w:t>
      </w:r>
      <w:r w:rsidR="008172AA" w:rsidRPr="00F53DB4">
        <w:t xml:space="preserve"> for </w:t>
      </w:r>
      <w:r w:rsidR="00CE3AEE">
        <w:t>b</w:t>
      </w:r>
      <w:r w:rsidR="008172AA" w:rsidRPr="00F53DB4">
        <w:t>eyond-</w:t>
      </w:r>
      <w:r w:rsidR="00CE3AEE">
        <w:t>d</w:t>
      </w:r>
      <w:r w:rsidR="008172AA" w:rsidRPr="00F53DB4">
        <w:t>esign-</w:t>
      </w:r>
      <w:r w:rsidR="00CE3AEE">
        <w:t>b</w:t>
      </w:r>
      <w:r w:rsidR="008172AA" w:rsidRPr="00F53DB4">
        <w:t>asis external events</w:t>
      </w:r>
      <w:r w:rsidR="00EB244F" w:rsidRPr="00F53DB4">
        <w:t>)</w:t>
      </w:r>
      <w:r w:rsidR="000B26FC">
        <w:t xml:space="preserve">, as described in the </w:t>
      </w:r>
      <w:r w:rsidR="00EC7881">
        <w:t xml:space="preserve">final </w:t>
      </w:r>
      <w:r w:rsidR="000B26FC">
        <w:t>site specific submittals</w:t>
      </w:r>
      <w:r w:rsidR="00EC7881">
        <w:t xml:space="preserve"> (Final Integrated Plan)</w:t>
      </w:r>
      <w:r w:rsidR="000B26FC">
        <w:t>, are in place and are being implemented</w:t>
      </w:r>
      <w:r w:rsidR="008172AA" w:rsidRPr="00F53DB4">
        <w:rPr>
          <w:color w:val="000000"/>
        </w:rPr>
        <w:t xml:space="preserve"> by the licensee.</w:t>
      </w:r>
      <w:r w:rsidR="00D920D3">
        <w:rPr>
          <w:color w:val="000000"/>
        </w:rPr>
        <w:t xml:space="preserve">  </w:t>
      </w:r>
      <w:r w:rsidR="000B26FC" w:rsidRPr="00F53DB4">
        <w:rPr>
          <w:color w:val="000000"/>
        </w:rPr>
        <w:t xml:space="preserve">The NRC </w:t>
      </w:r>
      <w:r w:rsidR="00804C6E">
        <w:rPr>
          <w:color w:val="000000"/>
        </w:rPr>
        <w:t>staff’s understanding of these plans</w:t>
      </w:r>
      <w:r w:rsidR="000B26FC" w:rsidRPr="00F53DB4">
        <w:rPr>
          <w:color w:val="000000"/>
        </w:rPr>
        <w:t xml:space="preserve"> is documented in the NRC’s plant safety </w:t>
      </w:r>
      <w:r w:rsidR="000B26FC">
        <w:rPr>
          <w:color w:val="000000"/>
        </w:rPr>
        <w:t>evaluation</w:t>
      </w:r>
      <w:r w:rsidR="000B26FC" w:rsidRPr="00F53DB4">
        <w:rPr>
          <w:color w:val="000000"/>
        </w:rPr>
        <w:t xml:space="preserve"> (SE).  Additional information on these strategies may be found in NEI 12-06, revision 0 (ADAMS Accession No. </w:t>
      </w:r>
      <w:hyperlink r:id="rId25" w:history="1">
        <w:r w:rsidR="000B26FC" w:rsidRPr="00F53DB4">
          <w:rPr>
            <w:rStyle w:val="Hyperlink"/>
          </w:rPr>
          <w:t>ML12242A378</w:t>
        </w:r>
      </w:hyperlink>
      <w:r w:rsidR="000B26FC">
        <w:rPr>
          <w:rStyle w:val="Hyperlink"/>
        </w:rPr>
        <w:t>).</w:t>
      </w:r>
    </w:p>
    <w:p w:rsidR="00804C6E" w:rsidRDefault="00804C6E" w:rsidP="00581690">
      <w:pPr>
        <w:spacing w:line="240" w:lineRule="auto"/>
        <w:rPr>
          <w:color w:val="000000"/>
        </w:rPr>
      </w:pPr>
    </w:p>
    <w:p w:rsidR="00F046CE" w:rsidRDefault="00D920D3" w:rsidP="00581690">
      <w:pPr>
        <w:spacing w:line="240" w:lineRule="auto"/>
        <w:rPr>
          <w:color w:val="000000"/>
        </w:rPr>
        <w:sectPr w:rsidR="00F046CE" w:rsidSect="00AE2306">
          <w:footerReference w:type="default" r:id="rId26"/>
          <w:pgSz w:w="12240" w:h="15840"/>
          <w:pgMar w:top="1440" w:right="1440" w:bottom="1440" w:left="1440" w:header="1440" w:footer="1440" w:gutter="0"/>
          <w:pgNumType w:start="1" w:chapStyle="1"/>
          <w:cols w:space="720"/>
          <w:docGrid w:linePitch="360"/>
        </w:sectPr>
      </w:pPr>
      <w:r>
        <w:rPr>
          <w:color w:val="000000"/>
        </w:rPr>
        <w:t xml:space="preserve">More specifically, </w:t>
      </w:r>
      <w:r w:rsidR="00D2022E">
        <w:rPr>
          <w:color w:val="000000"/>
        </w:rPr>
        <w:t xml:space="preserve">Appendix A </w:t>
      </w:r>
      <w:r>
        <w:rPr>
          <w:color w:val="000000"/>
        </w:rPr>
        <w:t>is focused on verification of satisfactory implementation of the FLEX strategies</w:t>
      </w:r>
      <w:r w:rsidR="00112EB0">
        <w:rPr>
          <w:color w:val="000000"/>
        </w:rPr>
        <w:t>, verification</w:t>
      </w:r>
      <w:r>
        <w:rPr>
          <w:color w:val="000000"/>
        </w:rPr>
        <w:t xml:space="preserve"> that the FLEX equipment </w:t>
      </w:r>
      <w:r w:rsidR="00EC7881">
        <w:rPr>
          <w:color w:val="000000"/>
        </w:rPr>
        <w:t xml:space="preserve">is </w:t>
      </w:r>
      <w:r>
        <w:rPr>
          <w:color w:val="000000"/>
        </w:rPr>
        <w:t>available when needed</w:t>
      </w:r>
      <w:r w:rsidR="00112EB0">
        <w:rPr>
          <w:color w:val="000000"/>
        </w:rPr>
        <w:t>,</w:t>
      </w:r>
      <w:r>
        <w:rPr>
          <w:color w:val="000000"/>
        </w:rPr>
        <w:t xml:space="preserve"> and </w:t>
      </w:r>
    </w:p>
    <w:p w:rsidR="004A5146" w:rsidRDefault="00112EB0" w:rsidP="00581690">
      <w:pPr>
        <w:spacing w:line="240" w:lineRule="auto"/>
        <w:rPr>
          <w:rStyle w:val="Hyperlink"/>
          <w:color w:val="auto"/>
          <w:u w:val="none"/>
        </w:rPr>
      </w:pPr>
      <w:proofErr w:type="gramStart"/>
      <w:r>
        <w:rPr>
          <w:color w:val="000000"/>
        </w:rPr>
        <w:lastRenderedPageBreak/>
        <w:t>verification</w:t>
      </w:r>
      <w:proofErr w:type="gramEnd"/>
      <w:r>
        <w:rPr>
          <w:color w:val="000000"/>
        </w:rPr>
        <w:t xml:space="preserve"> </w:t>
      </w:r>
      <w:r w:rsidR="00D920D3">
        <w:rPr>
          <w:color w:val="000000"/>
        </w:rPr>
        <w:t xml:space="preserve">that the FLEX equipment can provide </w:t>
      </w:r>
      <w:r w:rsidR="00D920D3" w:rsidRPr="00F53DB4">
        <w:t>indefinite coping capability to prevent damage to the fuel in the reactor and spent fuel pools and maintain the containment</w:t>
      </w:r>
      <w:r w:rsidR="00D920D3">
        <w:t>.</w:t>
      </w:r>
      <w:r w:rsidR="004A5146" w:rsidRPr="00F53DB4" w:rsidDel="004A5146">
        <w:rPr>
          <w:color w:val="000000"/>
        </w:rPr>
        <w:t xml:space="preserve"> </w:t>
      </w:r>
    </w:p>
    <w:p w:rsidR="004A5146" w:rsidRDefault="004A5146" w:rsidP="00581690">
      <w:pPr>
        <w:spacing w:line="240" w:lineRule="auto"/>
        <w:rPr>
          <w:rStyle w:val="Hyperlink"/>
          <w:color w:val="auto"/>
          <w:u w:val="none"/>
        </w:rPr>
      </w:pPr>
    </w:p>
    <w:p w:rsidR="004342E2" w:rsidRPr="00F53DB4" w:rsidRDefault="00B13B81" w:rsidP="00581690">
      <w:pPr>
        <w:spacing w:line="240" w:lineRule="auto"/>
        <w:rPr>
          <w:rStyle w:val="Hyperlink"/>
          <w:color w:val="auto"/>
          <w:u w:val="none"/>
        </w:rPr>
      </w:pPr>
      <w:r>
        <w:rPr>
          <w:rStyle w:val="Hyperlink"/>
          <w:color w:val="auto"/>
          <w:u w:val="none"/>
        </w:rPr>
        <w:t xml:space="preserve">Appendix A </w:t>
      </w:r>
      <w:r w:rsidR="004342E2" w:rsidRPr="00F53DB4">
        <w:rPr>
          <w:rStyle w:val="Hyperlink"/>
          <w:color w:val="auto"/>
          <w:u w:val="none"/>
        </w:rPr>
        <w:t xml:space="preserve">will verify </w:t>
      </w:r>
      <w:r w:rsidR="00FB79FF" w:rsidRPr="00F53DB4">
        <w:rPr>
          <w:rStyle w:val="Hyperlink"/>
          <w:color w:val="auto"/>
          <w:u w:val="none"/>
        </w:rPr>
        <w:t>that the licensee ha</w:t>
      </w:r>
      <w:r w:rsidR="006A585D">
        <w:rPr>
          <w:rStyle w:val="Hyperlink"/>
          <w:color w:val="auto"/>
          <w:u w:val="none"/>
        </w:rPr>
        <w:t>s</w:t>
      </w:r>
      <w:r w:rsidR="00FB79FF" w:rsidRPr="00F53DB4">
        <w:rPr>
          <w:rStyle w:val="Hyperlink"/>
          <w:color w:val="auto"/>
          <w:u w:val="none"/>
        </w:rPr>
        <w:t>:</w:t>
      </w:r>
    </w:p>
    <w:p w:rsidR="004342E2" w:rsidRPr="00F53DB4" w:rsidRDefault="004342E2" w:rsidP="00581690">
      <w:pPr>
        <w:spacing w:line="240" w:lineRule="auto"/>
        <w:rPr>
          <w:rStyle w:val="Hyperlink"/>
          <w:color w:val="auto"/>
          <w:u w:val="none"/>
        </w:rPr>
      </w:pPr>
    </w:p>
    <w:p w:rsidR="004342E2" w:rsidRPr="00F53DB4" w:rsidRDefault="004342E2" w:rsidP="00C97271">
      <w:pPr>
        <w:pStyle w:val="ListParagraph"/>
        <w:numPr>
          <w:ilvl w:val="0"/>
          <w:numId w:val="9"/>
        </w:numPr>
        <w:spacing w:line="240" w:lineRule="auto"/>
        <w:rPr>
          <w:rStyle w:val="Hyperlink"/>
          <w:color w:val="auto"/>
          <w:u w:val="none"/>
        </w:rPr>
      </w:pPr>
      <w:proofErr w:type="gramStart"/>
      <w:r w:rsidRPr="00F53DB4">
        <w:rPr>
          <w:rStyle w:val="Hyperlink"/>
          <w:color w:val="auto"/>
          <w:u w:val="none"/>
        </w:rPr>
        <w:t>developed</w:t>
      </w:r>
      <w:proofErr w:type="gramEnd"/>
      <w:r w:rsidRPr="00F53DB4">
        <w:rPr>
          <w:rStyle w:val="Hyperlink"/>
          <w:color w:val="auto"/>
          <w:u w:val="none"/>
        </w:rPr>
        <w:t xml:space="preserve"> and issued </w:t>
      </w:r>
      <w:r w:rsidR="00FB79FF" w:rsidRPr="00F53DB4">
        <w:rPr>
          <w:rStyle w:val="Hyperlink"/>
          <w:color w:val="auto"/>
          <w:u w:val="none"/>
        </w:rPr>
        <w:t xml:space="preserve">FLEX Support Guidelines (FSG) </w:t>
      </w:r>
      <w:r w:rsidRPr="00F53DB4">
        <w:rPr>
          <w:rStyle w:val="Hyperlink"/>
          <w:color w:val="auto"/>
          <w:u w:val="none"/>
        </w:rPr>
        <w:t>to implement the FLEX strategies for postulated external events</w:t>
      </w:r>
      <w:r w:rsidR="0057729C">
        <w:rPr>
          <w:rStyle w:val="Hyperlink"/>
          <w:color w:val="auto"/>
          <w:u w:val="none"/>
        </w:rPr>
        <w:t>.</w:t>
      </w:r>
    </w:p>
    <w:p w:rsidR="00FB79FF" w:rsidRDefault="00261653" w:rsidP="00324440">
      <w:pPr>
        <w:pStyle w:val="ListParagraph"/>
        <w:numPr>
          <w:ilvl w:val="0"/>
          <w:numId w:val="9"/>
        </w:numPr>
        <w:spacing w:line="240" w:lineRule="auto"/>
        <w:rPr>
          <w:rStyle w:val="Hyperlink"/>
          <w:color w:val="auto"/>
          <w:u w:val="none"/>
        </w:rPr>
      </w:pPr>
      <w:proofErr w:type="gramStart"/>
      <w:r w:rsidRPr="00324440">
        <w:rPr>
          <w:rStyle w:val="Hyperlink"/>
          <w:color w:val="auto"/>
          <w:u w:val="none"/>
        </w:rPr>
        <w:t>i</w:t>
      </w:r>
      <w:r w:rsidR="00FB79FF" w:rsidRPr="00324440">
        <w:rPr>
          <w:rStyle w:val="Hyperlink"/>
          <w:color w:val="auto"/>
          <w:u w:val="none"/>
        </w:rPr>
        <w:t>ntegrated</w:t>
      </w:r>
      <w:proofErr w:type="gramEnd"/>
      <w:r w:rsidR="00FB79FF" w:rsidRPr="00324440">
        <w:rPr>
          <w:rStyle w:val="Hyperlink"/>
          <w:color w:val="auto"/>
          <w:u w:val="none"/>
        </w:rPr>
        <w:t xml:space="preserve"> their FSGs into their existing plant procedures such that entry into and </w:t>
      </w:r>
      <w:r w:rsidR="002E133C">
        <w:rPr>
          <w:rStyle w:val="Hyperlink"/>
          <w:color w:val="auto"/>
          <w:u w:val="none"/>
        </w:rPr>
        <w:t>exiting</w:t>
      </w:r>
      <w:r w:rsidR="002E133C" w:rsidRPr="00324440">
        <w:rPr>
          <w:rStyle w:val="Hyperlink"/>
          <w:color w:val="auto"/>
          <w:u w:val="none"/>
        </w:rPr>
        <w:t xml:space="preserve"> </w:t>
      </w:r>
      <w:r w:rsidR="00FB79FF" w:rsidRPr="00324440">
        <w:rPr>
          <w:rStyle w:val="Hyperlink"/>
          <w:color w:val="auto"/>
          <w:u w:val="none"/>
        </w:rPr>
        <w:t xml:space="preserve">from </w:t>
      </w:r>
      <w:r w:rsidR="006B55F8" w:rsidRPr="00324440">
        <w:rPr>
          <w:rStyle w:val="Hyperlink"/>
          <w:color w:val="auto"/>
          <w:u w:val="none"/>
        </w:rPr>
        <w:t xml:space="preserve">the </w:t>
      </w:r>
      <w:r w:rsidR="00FB79FF" w:rsidRPr="00324440">
        <w:rPr>
          <w:rStyle w:val="Hyperlink"/>
          <w:color w:val="auto"/>
          <w:u w:val="none"/>
        </w:rPr>
        <w:t>FSGs are clear when using existing plant procedures.</w:t>
      </w:r>
    </w:p>
    <w:p w:rsidR="0057729C" w:rsidRPr="00324440" w:rsidRDefault="0057729C" w:rsidP="00324440">
      <w:pPr>
        <w:pStyle w:val="ListParagraph"/>
        <w:numPr>
          <w:ilvl w:val="0"/>
          <w:numId w:val="9"/>
        </w:numPr>
        <w:spacing w:line="240" w:lineRule="auto"/>
        <w:rPr>
          <w:rStyle w:val="Hyperlink"/>
          <w:color w:val="auto"/>
          <w:u w:val="none"/>
        </w:rPr>
      </w:pPr>
      <w:proofErr w:type="gramStart"/>
      <w:r>
        <w:rPr>
          <w:rStyle w:val="Hyperlink"/>
          <w:color w:val="auto"/>
          <w:u w:val="none"/>
        </w:rPr>
        <w:t>protected</w:t>
      </w:r>
      <w:proofErr w:type="gramEnd"/>
      <w:r>
        <w:rPr>
          <w:rStyle w:val="Hyperlink"/>
          <w:color w:val="auto"/>
          <w:u w:val="none"/>
        </w:rPr>
        <w:t xml:space="preserve"> FLEX equipment from site-specific hazards. </w:t>
      </w:r>
    </w:p>
    <w:p w:rsidR="00FB79FF" w:rsidRPr="00F53DB4" w:rsidRDefault="00FB79FF" w:rsidP="00C97271">
      <w:pPr>
        <w:pStyle w:val="ListParagraph"/>
        <w:numPr>
          <w:ilvl w:val="0"/>
          <w:numId w:val="9"/>
        </w:numPr>
        <w:spacing w:line="240" w:lineRule="auto"/>
        <w:rPr>
          <w:rStyle w:val="Hyperlink"/>
          <w:color w:val="auto"/>
          <w:u w:val="none"/>
        </w:rPr>
      </w:pPr>
      <w:proofErr w:type="gramStart"/>
      <w:r w:rsidRPr="00F53DB4">
        <w:rPr>
          <w:rStyle w:val="Hyperlink"/>
          <w:color w:val="auto"/>
          <w:u w:val="none"/>
        </w:rPr>
        <w:t>developed</w:t>
      </w:r>
      <w:proofErr w:type="gramEnd"/>
      <w:r w:rsidRPr="00F53DB4">
        <w:rPr>
          <w:rStyle w:val="Hyperlink"/>
          <w:color w:val="auto"/>
          <w:u w:val="none"/>
        </w:rPr>
        <w:t xml:space="preserve"> and implemented adequate </w:t>
      </w:r>
      <w:r w:rsidR="00804C6E">
        <w:rPr>
          <w:rStyle w:val="Hyperlink"/>
          <w:color w:val="auto"/>
          <w:u w:val="none"/>
        </w:rPr>
        <w:t xml:space="preserve">maintenance and </w:t>
      </w:r>
      <w:r w:rsidRPr="00F53DB4">
        <w:rPr>
          <w:rStyle w:val="Hyperlink"/>
          <w:color w:val="auto"/>
          <w:u w:val="none"/>
        </w:rPr>
        <w:t>testing of FLEX equipment</w:t>
      </w:r>
      <w:r w:rsidR="00324440">
        <w:rPr>
          <w:rStyle w:val="Hyperlink"/>
          <w:color w:val="auto"/>
          <w:u w:val="none"/>
        </w:rPr>
        <w:t xml:space="preserve"> </w:t>
      </w:r>
      <w:r w:rsidRPr="00F53DB4">
        <w:rPr>
          <w:rStyle w:val="Hyperlink"/>
          <w:color w:val="auto"/>
          <w:u w:val="none"/>
        </w:rPr>
        <w:t>to ensure their availability and capability.</w:t>
      </w:r>
    </w:p>
    <w:p w:rsidR="006B55F8" w:rsidRPr="00F53DB4" w:rsidRDefault="006B55F8" w:rsidP="00C97271">
      <w:pPr>
        <w:pStyle w:val="ListParagraph"/>
        <w:numPr>
          <w:ilvl w:val="0"/>
          <w:numId w:val="9"/>
        </w:numPr>
        <w:spacing w:line="240" w:lineRule="auto"/>
        <w:rPr>
          <w:rStyle w:val="Hyperlink"/>
          <w:color w:val="auto"/>
          <w:u w:val="none"/>
        </w:rPr>
      </w:pPr>
      <w:proofErr w:type="gramStart"/>
      <w:r w:rsidRPr="00F53DB4">
        <w:rPr>
          <w:rStyle w:val="Hyperlink"/>
          <w:color w:val="auto"/>
          <w:u w:val="none"/>
        </w:rPr>
        <w:t>trained</w:t>
      </w:r>
      <w:proofErr w:type="gramEnd"/>
      <w:r w:rsidRPr="00F53DB4">
        <w:rPr>
          <w:rStyle w:val="Hyperlink"/>
          <w:color w:val="auto"/>
          <w:u w:val="none"/>
        </w:rPr>
        <w:t xml:space="preserve"> their staff to assure </w:t>
      </w:r>
      <w:r w:rsidR="0085106D">
        <w:rPr>
          <w:rStyle w:val="Hyperlink"/>
          <w:color w:val="auto"/>
          <w:u w:val="none"/>
        </w:rPr>
        <w:t>personnel proficiency in the mitig</w:t>
      </w:r>
      <w:r w:rsidRPr="00F53DB4">
        <w:rPr>
          <w:rStyle w:val="Hyperlink"/>
          <w:color w:val="auto"/>
          <w:u w:val="none"/>
        </w:rPr>
        <w:t>ation of beyond-design–basis events</w:t>
      </w:r>
      <w:r w:rsidR="00693306">
        <w:rPr>
          <w:rStyle w:val="Hyperlink"/>
          <w:color w:val="auto"/>
          <w:u w:val="none"/>
        </w:rPr>
        <w:t>.</w:t>
      </w:r>
    </w:p>
    <w:p w:rsidR="004342E2" w:rsidRDefault="00053218" w:rsidP="00C97271">
      <w:pPr>
        <w:pStyle w:val="ListParagraph"/>
        <w:numPr>
          <w:ilvl w:val="0"/>
          <w:numId w:val="9"/>
        </w:numPr>
        <w:spacing w:line="240" w:lineRule="auto"/>
        <w:rPr>
          <w:rStyle w:val="Hyperlink"/>
          <w:color w:val="auto"/>
          <w:u w:val="none"/>
        </w:rPr>
      </w:pPr>
      <w:proofErr w:type="gramStart"/>
      <w:r w:rsidRPr="00F53DB4">
        <w:rPr>
          <w:rStyle w:val="Hyperlink"/>
          <w:color w:val="auto"/>
          <w:u w:val="none"/>
        </w:rPr>
        <w:t>developed</w:t>
      </w:r>
      <w:proofErr w:type="gramEnd"/>
      <w:r w:rsidRPr="00F53DB4">
        <w:rPr>
          <w:rStyle w:val="Hyperlink"/>
          <w:color w:val="auto"/>
          <w:u w:val="none"/>
        </w:rPr>
        <w:t xml:space="preserve"> means to ensure that the necessary off-site FLEX equipment </w:t>
      </w:r>
      <w:r w:rsidR="00D9735C">
        <w:rPr>
          <w:rStyle w:val="Hyperlink"/>
          <w:color w:val="auto"/>
          <w:u w:val="none"/>
        </w:rPr>
        <w:t xml:space="preserve">and consumables will be available and can be delivered </w:t>
      </w:r>
      <w:r w:rsidRPr="00F53DB4">
        <w:rPr>
          <w:rStyle w:val="Hyperlink"/>
          <w:color w:val="auto"/>
          <w:u w:val="none"/>
        </w:rPr>
        <w:t>from off-site locations</w:t>
      </w:r>
      <w:r w:rsidR="00693306">
        <w:rPr>
          <w:rStyle w:val="Hyperlink"/>
          <w:color w:val="auto"/>
          <w:u w:val="none"/>
        </w:rPr>
        <w:t>.</w:t>
      </w:r>
    </w:p>
    <w:p w:rsidR="005B237E" w:rsidRDefault="005B237E" w:rsidP="005B237E">
      <w:pPr>
        <w:spacing w:line="240" w:lineRule="auto"/>
        <w:rPr>
          <w:rStyle w:val="Hyperlink"/>
          <w:color w:val="auto"/>
          <w:u w:val="none"/>
        </w:rPr>
      </w:pPr>
    </w:p>
    <w:p w:rsidR="005B237E" w:rsidRPr="005B237E" w:rsidRDefault="00B13B81" w:rsidP="005B237E">
      <w:pPr>
        <w:spacing w:line="240" w:lineRule="auto"/>
        <w:rPr>
          <w:rStyle w:val="Hyperlink"/>
          <w:color w:val="auto"/>
          <w:u w:val="none"/>
        </w:rPr>
      </w:pPr>
      <w:r>
        <w:rPr>
          <w:rStyle w:val="Hyperlink"/>
          <w:color w:val="auto"/>
          <w:u w:val="none"/>
        </w:rPr>
        <w:t xml:space="preserve">Appendix A </w:t>
      </w:r>
      <w:r w:rsidR="005B237E">
        <w:rPr>
          <w:rStyle w:val="Hyperlink"/>
          <w:color w:val="auto"/>
          <w:u w:val="none"/>
        </w:rPr>
        <w:t xml:space="preserve">will be </w:t>
      </w:r>
      <w:r w:rsidR="0015510F">
        <w:rPr>
          <w:rStyle w:val="Hyperlink"/>
          <w:color w:val="auto"/>
          <w:u w:val="none"/>
        </w:rPr>
        <w:t xml:space="preserve">performed </w:t>
      </w:r>
      <w:r w:rsidR="005B237E">
        <w:rPr>
          <w:rStyle w:val="Hyperlink"/>
          <w:color w:val="auto"/>
          <w:u w:val="none"/>
        </w:rPr>
        <w:t>once NRC</w:t>
      </w:r>
      <w:r w:rsidR="00CB0402">
        <w:rPr>
          <w:rStyle w:val="Hyperlink"/>
          <w:color w:val="auto"/>
          <w:u w:val="none"/>
        </w:rPr>
        <w:t xml:space="preserve"> staff </w:t>
      </w:r>
      <w:r w:rsidR="005B237E">
        <w:rPr>
          <w:rStyle w:val="Hyperlink"/>
          <w:color w:val="auto"/>
          <w:u w:val="none"/>
        </w:rPr>
        <w:t xml:space="preserve">has </w:t>
      </w:r>
      <w:r w:rsidR="0015510F">
        <w:rPr>
          <w:rStyle w:val="Hyperlink"/>
          <w:color w:val="auto"/>
          <w:u w:val="none"/>
        </w:rPr>
        <w:t xml:space="preserve">issued </w:t>
      </w:r>
      <w:r w:rsidR="005B237E">
        <w:rPr>
          <w:rStyle w:val="Hyperlink"/>
          <w:color w:val="auto"/>
          <w:u w:val="none"/>
        </w:rPr>
        <w:t>the safety evaluation</w:t>
      </w:r>
      <w:r w:rsidR="00CB0402">
        <w:rPr>
          <w:rStyle w:val="Hyperlink"/>
          <w:color w:val="auto"/>
          <w:u w:val="none"/>
        </w:rPr>
        <w:t xml:space="preserve">.  </w:t>
      </w:r>
    </w:p>
    <w:p w:rsidR="00184E17" w:rsidRPr="00F53DB4" w:rsidRDefault="00184E17" w:rsidP="008172AA">
      <w:pPr>
        <w:spacing w:line="240" w:lineRule="auto"/>
        <w:rPr>
          <w:color w:val="000000"/>
        </w:rPr>
      </w:pPr>
    </w:p>
    <w:p w:rsidR="008172AA" w:rsidRPr="00F046CE" w:rsidRDefault="00F046CE" w:rsidP="00F046CE">
      <w:pPr>
        <w:spacing w:line="240" w:lineRule="auto"/>
        <w:rPr>
          <w:color w:val="000000"/>
          <w:u w:val="single"/>
        </w:rPr>
      </w:pPr>
      <w:r w:rsidRPr="00F046CE">
        <w:rPr>
          <w:color w:val="000000"/>
        </w:rPr>
        <w:t xml:space="preserve">03.02 </w:t>
      </w:r>
      <w:r w:rsidR="008172AA" w:rsidRPr="00F046CE">
        <w:rPr>
          <w:color w:val="000000"/>
          <w:u w:val="single"/>
        </w:rPr>
        <w:t xml:space="preserve">Specific </w:t>
      </w:r>
      <w:r w:rsidR="007C7399" w:rsidRPr="00F046CE">
        <w:rPr>
          <w:color w:val="000000"/>
          <w:u w:val="single"/>
        </w:rPr>
        <w:t>Inspection Requirements</w:t>
      </w:r>
    </w:p>
    <w:p w:rsidR="00EF2387" w:rsidRPr="00F53DB4" w:rsidRDefault="00EF2387" w:rsidP="00EF2387">
      <w:pPr>
        <w:spacing w:line="240" w:lineRule="auto"/>
      </w:pPr>
    </w:p>
    <w:p w:rsidR="005F637E" w:rsidRPr="00F53DB4" w:rsidRDefault="005F637E" w:rsidP="00C97271">
      <w:pPr>
        <w:pStyle w:val="ListParagraph"/>
        <w:numPr>
          <w:ilvl w:val="1"/>
          <w:numId w:val="3"/>
        </w:numPr>
        <w:spacing w:line="240" w:lineRule="auto"/>
        <w:ind w:left="720"/>
      </w:pPr>
      <w:r w:rsidRPr="00F53DB4">
        <w:t>FLEX Support Guidelines (FSG)</w:t>
      </w:r>
    </w:p>
    <w:p w:rsidR="005F637E" w:rsidRPr="00F53DB4" w:rsidRDefault="005F637E" w:rsidP="005F637E">
      <w:pPr>
        <w:pStyle w:val="ListParagraph"/>
        <w:spacing w:line="240" w:lineRule="auto"/>
      </w:pPr>
    </w:p>
    <w:p w:rsidR="00EF2387" w:rsidRPr="00F53DB4" w:rsidRDefault="00112EB0" w:rsidP="00953DBB">
      <w:pPr>
        <w:pStyle w:val="ListParagraph"/>
        <w:spacing w:line="240" w:lineRule="auto"/>
      </w:pPr>
      <w:r>
        <w:t xml:space="preserve">1.  </w:t>
      </w:r>
      <w:r w:rsidRPr="00F53DB4">
        <w:t xml:space="preserve">Review the plant SE </w:t>
      </w:r>
      <w:r>
        <w:t xml:space="preserve">to determine </w:t>
      </w:r>
      <w:r w:rsidRPr="00F53DB4">
        <w:t>wh</w:t>
      </w:r>
      <w:r w:rsidR="009D2EF8">
        <w:t>ich</w:t>
      </w:r>
      <w:r w:rsidRPr="00F53DB4">
        <w:t xml:space="preserve"> </w:t>
      </w:r>
      <w:r w:rsidR="009D2EF8" w:rsidRPr="00F53DB4">
        <w:t>specific extreme</w:t>
      </w:r>
      <w:r w:rsidRPr="00F53DB4">
        <w:t xml:space="preserve"> external hazards apply to the site</w:t>
      </w:r>
      <w:r>
        <w:t xml:space="preserve">.  </w:t>
      </w:r>
      <w:r w:rsidR="008172AA" w:rsidRPr="00F53DB4">
        <w:t xml:space="preserve">Verify that </w:t>
      </w:r>
      <w:r w:rsidR="00C277AD">
        <w:t xml:space="preserve">the </w:t>
      </w:r>
      <w:r w:rsidR="008172AA" w:rsidRPr="00F53DB4">
        <w:t xml:space="preserve">licensee has </w:t>
      </w:r>
      <w:r w:rsidR="00EF2387" w:rsidRPr="00F53DB4">
        <w:t>developed procedure</w:t>
      </w:r>
      <w:r>
        <w:t>(</w:t>
      </w:r>
      <w:r w:rsidR="00EF2387" w:rsidRPr="00F53DB4">
        <w:t>s</w:t>
      </w:r>
      <w:r>
        <w:t>)</w:t>
      </w:r>
      <w:r w:rsidR="00EF2387" w:rsidRPr="00F53DB4">
        <w:t xml:space="preserve"> and guidance documents </w:t>
      </w:r>
      <w:r w:rsidR="008172AA" w:rsidRPr="00F53DB4">
        <w:t>t</w:t>
      </w:r>
      <w:r w:rsidR="00953DBB">
        <w:t>hat</w:t>
      </w:r>
      <w:r w:rsidR="008172AA" w:rsidRPr="00F53DB4">
        <w:t xml:space="preserve"> address </w:t>
      </w:r>
      <w:r w:rsidR="009C4510">
        <w:t xml:space="preserve">all </w:t>
      </w:r>
      <w:r w:rsidR="008172AA" w:rsidRPr="00F046CE">
        <w:rPr>
          <w:u w:val="single"/>
        </w:rPr>
        <w:t>applicable</w:t>
      </w:r>
      <w:r w:rsidR="008172AA" w:rsidRPr="00F53DB4">
        <w:t xml:space="preserve"> site-specific extreme external hazards:</w:t>
      </w:r>
      <w:r w:rsidR="00896EC1">
        <w:t xml:space="preserve">  </w:t>
      </w:r>
    </w:p>
    <w:p w:rsidR="00EF2387" w:rsidRPr="00F53DB4" w:rsidRDefault="00EF2387" w:rsidP="00EF2387">
      <w:pPr>
        <w:pStyle w:val="ListParagraph"/>
        <w:spacing w:line="240" w:lineRule="auto"/>
      </w:pPr>
    </w:p>
    <w:p w:rsidR="008172AA" w:rsidRPr="00F53DB4" w:rsidRDefault="008172AA" w:rsidP="00C97271">
      <w:pPr>
        <w:pStyle w:val="ListParagraph"/>
        <w:numPr>
          <w:ilvl w:val="0"/>
          <w:numId w:val="8"/>
        </w:numPr>
        <w:spacing w:line="240" w:lineRule="auto"/>
      </w:pPr>
      <w:r w:rsidRPr="00F53DB4">
        <w:t>Seismic</w:t>
      </w:r>
      <w:r w:rsidR="008E7515">
        <w:t xml:space="preserve"> events</w:t>
      </w:r>
    </w:p>
    <w:p w:rsidR="008172AA" w:rsidRPr="00F53DB4" w:rsidRDefault="008E7515" w:rsidP="00C97271">
      <w:pPr>
        <w:pStyle w:val="ListParagraph"/>
        <w:numPr>
          <w:ilvl w:val="0"/>
          <w:numId w:val="8"/>
        </w:numPr>
        <w:spacing w:line="240" w:lineRule="auto"/>
      </w:pPr>
      <w:r>
        <w:t>External flooding</w:t>
      </w:r>
    </w:p>
    <w:p w:rsidR="008172AA" w:rsidRPr="00F53DB4" w:rsidRDefault="008E7515" w:rsidP="00C97271">
      <w:pPr>
        <w:pStyle w:val="ListParagraph"/>
        <w:numPr>
          <w:ilvl w:val="0"/>
          <w:numId w:val="8"/>
        </w:numPr>
        <w:spacing w:line="240" w:lineRule="auto"/>
      </w:pPr>
      <w:r>
        <w:t>Storms such as hurricanes, high w</w:t>
      </w:r>
      <w:r w:rsidR="008172AA" w:rsidRPr="00F53DB4">
        <w:t>inds</w:t>
      </w:r>
      <w:r>
        <w:t xml:space="preserve"> and tornadoes</w:t>
      </w:r>
    </w:p>
    <w:p w:rsidR="008172AA" w:rsidRPr="00F53DB4" w:rsidRDefault="008E7515" w:rsidP="00C97271">
      <w:pPr>
        <w:pStyle w:val="ListParagraph"/>
        <w:numPr>
          <w:ilvl w:val="0"/>
          <w:numId w:val="8"/>
        </w:numPr>
        <w:spacing w:line="240" w:lineRule="auto"/>
      </w:pPr>
      <w:r>
        <w:t>Extreme snow, ice and c</w:t>
      </w:r>
      <w:r w:rsidR="008172AA" w:rsidRPr="00F53DB4">
        <w:t>old</w:t>
      </w:r>
    </w:p>
    <w:p w:rsidR="008172AA" w:rsidRPr="00F53DB4" w:rsidRDefault="008E7515" w:rsidP="00C97271">
      <w:pPr>
        <w:pStyle w:val="ListParagraph"/>
        <w:numPr>
          <w:ilvl w:val="0"/>
          <w:numId w:val="8"/>
        </w:numPr>
        <w:spacing w:line="240" w:lineRule="auto"/>
      </w:pPr>
      <w:r>
        <w:t>Extreme heat</w:t>
      </w:r>
    </w:p>
    <w:p w:rsidR="00E402F1" w:rsidRPr="00F53DB4" w:rsidRDefault="00E402F1" w:rsidP="00E402F1">
      <w:pPr>
        <w:spacing w:line="240" w:lineRule="auto"/>
      </w:pPr>
    </w:p>
    <w:p w:rsidR="004A5146" w:rsidRDefault="00556AF4" w:rsidP="004A5146">
      <w:pPr>
        <w:tabs>
          <w:tab w:val="left" w:pos="1080"/>
        </w:tabs>
        <w:autoSpaceDE w:val="0"/>
        <w:autoSpaceDN w:val="0"/>
        <w:adjustRightInd w:val="0"/>
        <w:spacing w:line="240" w:lineRule="auto"/>
        <w:ind w:left="720"/>
      </w:pPr>
      <w:r w:rsidRPr="00F53DB4">
        <w:t>2.</w:t>
      </w:r>
      <w:r w:rsidR="003C77D3">
        <w:tab/>
      </w:r>
      <w:r w:rsidR="008172AA" w:rsidRPr="00F53DB4">
        <w:t>Sample selected licensee’s procedure</w:t>
      </w:r>
      <w:r w:rsidR="00953DBB">
        <w:t>(</w:t>
      </w:r>
      <w:r w:rsidR="008172AA" w:rsidRPr="00F53DB4">
        <w:t>s</w:t>
      </w:r>
      <w:r w:rsidR="00953DBB">
        <w:t>)</w:t>
      </w:r>
      <w:r w:rsidR="008172AA" w:rsidRPr="00F53DB4">
        <w:t xml:space="preserve"> </w:t>
      </w:r>
      <w:r w:rsidR="00E402F1" w:rsidRPr="00F53DB4">
        <w:t xml:space="preserve">to </w:t>
      </w:r>
      <w:r w:rsidR="008172AA" w:rsidRPr="00F53DB4">
        <w:t>verify that the</w:t>
      </w:r>
      <w:r w:rsidR="00091D8D">
        <w:t xml:space="preserve">y </w:t>
      </w:r>
      <w:r w:rsidR="008172AA" w:rsidRPr="00F53DB4">
        <w:t>address or contain the following</w:t>
      </w:r>
      <w:r w:rsidR="00E402F1" w:rsidRPr="00F53DB4">
        <w:t xml:space="preserve"> </w:t>
      </w:r>
      <w:r w:rsidRPr="00F53DB4">
        <w:t>attributes</w:t>
      </w:r>
      <w:r w:rsidR="001330A2">
        <w:t xml:space="preserve"> (s</w:t>
      </w:r>
      <w:r w:rsidR="00BF2542">
        <w:t>ample size 6-12)</w:t>
      </w:r>
      <w:r w:rsidR="00953DBB">
        <w:t>:</w:t>
      </w:r>
      <w:r w:rsidRPr="00F53DB4">
        <w:t xml:space="preserve"> </w:t>
      </w:r>
    </w:p>
    <w:p w:rsidR="004A5146" w:rsidRDefault="004A5146" w:rsidP="004A5146">
      <w:pPr>
        <w:tabs>
          <w:tab w:val="left" w:pos="1080"/>
        </w:tabs>
        <w:autoSpaceDE w:val="0"/>
        <w:autoSpaceDN w:val="0"/>
        <w:adjustRightInd w:val="0"/>
        <w:spacing w:line="240" w:lineRule="auto"/>
        <w:ind w:left="720"/>
      </w:pPr>
    </w:p>
    <w:p w:rsidR="00F046CE" w:rsidRDefault="00556AF4" w:rsidP="00CB4264">
      <w:pPr>
        <w:autoSpaceDE w:val="0"/>
        <w:autoSpaceDN w:val="0"/>
        <w:adjustRightInd w:val="0"/>
        <w:spacing w:line="240" w:lineRule="auto"/>
        <w:ind w:left="1800" w:hanging="720"/>
        <w:sectPr w:rsidR="00F046CE" w:rsidSect="00994188">
          <w:pgSz w:w="12240" w:h="15840"/>
          <w:pgMar w:top="1440" w:right="1440" w:bottom="1440" w:left="1440" w:header="1440" w:footer="1440" w:gutter="0"/>
          <w:pgNumType w:chapStyle="1"/>
          <w:cols w:space="720"/>
          <w:docGrid w:linePitch="360"/>
        </w:sectPr>
      </w:pPr>
      <w:r w:rsidRPr="00F53DB4">
        <w:rPr>
          <w:iCs/>
        </w:rPr>
        <w:t>(a)</w:t>
      </w:r>
      <w:r w:rsidRPr="00F53DB4">
        <w:rPr>
          <w:iCs/>
        </w:rPr>
        <w:tab/>
      </w:r>
      <w:r w:rsidR="008172AA" w:rsidRPr="00F53DB4">
        <w:rPr>
          <w:iCs/>
        </w:rPr>
        <w:t>P</w:t>
      </w:r>
      <w:r w:rsidR="00291853" w:rsidRPr="00F53DB4">
        <w:rPr>
          <w:iCs/>
        </w:rPr>
        <w:t xml:space="preserve">lant procedures/guidance </w:t>
      </w:r>
      <w:r w:rsidR="0072273D" w:rsidRPr="00F53DB4">
        <w:rPr>
          <w:iCs/>
        </w:rPr>
        <w:t>identif</w:t>
      </w:r>
      <w:r w:rsidR="0072273D">
        <w:rPr>
          <w:iCs/>
        </w:rPr>
        <w:t>ies</w:t>
      </w:r>
      <w:r w:rsidR="008172AA" w:rsidRPr="00F53DB4">
        <w:rPr>
          <w:iCs/>
        </w:rPr>
        <w:t xml:space="preserve"> site-specific actions necessary to restore ac power to essential loads.  </w:t>
      </w:r>
      <w:r w:rsidR="00291853" w:rsidRPr="00F53DB4">
        <w:rPr>
          <w:iCs/>
        </w:rPr>
        <w:t>Plan</w:t>
      </w:r>
      <w:r w:rsidR="007930B0">
        <w:rPr>
          <w:iCs/>
        </w:rPr>
        <w:t>t procedure require</w:t>
      </w:r>
      <w:r w:rsidR="00CF4ED8">
        <w:rPr>
          <w:iCs/>
        </w:rPr>
        <w:t>s</w:t>
      </w:r>
      <w:r w:rsidR="007930B0">
        <w:rPr>
          <w:iCs/>
        </w:rPr>
        <w:t xml:space="preserve"> </w:t>
      </w:r>
      <w:r w:rsidR="008172AA" w:rsidRPr="00F53DB4">
        <w:rPr>
          <w:iCs/>
        </w:rPr>
        <w:t xml:space="preserve">an </w:t>
      </w:r>
      <w:r w:rsidR="001C4BEF">
        <w:rPr>
          <w:iCs/>
        </w:rPr>
        <w:t>a</w:t>
      </w:r>
      <w:r w:rsidR="008172AA" w:rsidRPr="00F53DB4">
        <w:rPr>
          <w:iCs/>
        </w:rPr>
        <w:t xml:space="preserve">lternate ac (AAC) power source </w:t>
      </w:r>
      <w:r w:rsidR="00606AD9">
        <w:rPr>
          <w:iCs/>
        </w:rPr>
        <w:t>to</w:t>
      </w:r>
      <w:r w:rsidR="00606AD9" w:rsidRPr="00F53DB4">
        <w:rPr>
          <w:iCs/>
        </w:rPr>
        <w:t xml:space="preserve"> </w:t>
      </w:r>
      <w:r w:rsidR="008172AA" w:rsidRPr="00F53DB4">
        <w:rPr>
          <w:iCs/>
        </w:rPr>
        <w:t>be started</w:t>
      </w:r>
      <w:r w:rsidR="00291853" w:rsidRPr="00F53DB4">
        <w:rPr>
          <w:iCs/>
        </w:rPr>
        <w:t xml:space="preserve">, if available, </w:t>
      </w:r>
      <w:r w:rsidR="008172AA" w:rsidRPr="00F53DB4">
        <w:rPr>
          <w:iCs/>
        </w:rPr>
        <w:t xml:space="preserve">as soon as possible.  If </w:t>
      </w:r>
      <w:r w:rsidR="00291853" w:rsidRPr="00F53DB4">
        <w:rPr>
          <w:iCs/>
        </w:rPr>
        <w:t>no AAC is available, the plant procedure</w:t>
      </w:r>
      <w:r w:rsidR="009C4510">
        <w:rPr>
          <w:iCs/>
        </w:rPr>
        <w:t xml:space="preserve"> </w:t>
      </w:r>
      <w:r w:rsidR="00091D8D">
        <w:rPr>
          <w:iCs/>
        </w:rPr>
        <w:t>require</w:t>
      </w:r>
      <w:r w:rsidR="00CF4ED8">
        <w:rPr>
          <w:iCs/>
        </w:rPr>
        <w:t>s</w:t>
      </w:r>
      <w:r w:rsidR="00091D8D">
        <w:rPr>
          <w:iCs/>
        </w:rPr>
        <w:t xml:space="preserve"> </w:t>
      </w:r>
      <w:r w:rsidR="008172AA" w:rsidRPr="00F53DB4">
        <w:rPr>
          <w:iCs/>
        </w:rPr>
        <w:t>actions to secure existing equipment alignments and provide an alternate power source as soon as possible based on relative plant priorities</w:t>
      </w:r>
      <w:r w:rsidR="00091D8D">
        <w:rPr>
          <w:iCs/>
        </w:rPr>
        <w:t xml:space="preserve">.  </w:t>
      </w:r>
      <w:r w:rsidR="00C277AD">
        <w:t xml:space="preserve">NOTE:  Although it is the preferred method of powering equipment and instrumentation, alignment of </w:t>
      </w:r>
      <w:r w:rsidR="00091D8D">
        <w:t xml:space="preserve">ac </w:t>
      </w:r>
      <w:r w:rsidR="00C277AD">
        <w:t>sources is not necessary for compliance with EA-12-049.  Backup FLEX pumps and portable instrumentation are sufficient.</w:t>
      </w:r>
    </w:p>
    <w:p w:rsidR="008172AA" w:rsidRPr="00F53DB4" w:rsidRDefault="00556AF4" w:rsidP="00556AF4">
      <w:pPr>
        <w:pStyle w:val="ListParagraph"/>
        <w:autoSpaceDE w:val="0"/>
        <w:autoSpaceDN w:val="0"/>
        <w:adjustRightInd w:val="0"/>
        <w:spacing w:line="240" w:lineRule="auto"/>
        <w:ind w:left="1800" w:hanging="720"/>
        <w:rPr>
          <w:iCs/>
        </w:rPr>
      </w:pPr>
      <w:r w:rsidRPr="00F53DB4">
        <w:rPr>
          <w:iCs/>
        </w:rPr>
        <w:lastRenderedPageBreak/>
        <w:t>(b)</w:t>
      </w:r>
      <w:r w:rsidRPr="00F53DB4">
        <w:rPr>
          <w:iCs/>
        </w:rPr>
        <w:tab/>
      </w:r>
      <w:r w:rsidR="008172AA" w:rsidRPr="00F53DB4">
        <w:rPr>
          <w:iCs/>
        </w:rPr>
        <w:t xml:space="preserve">Plant procedures/guidance </w:t>
      </w:r>
      <w:r w:rsidR="0072273D" w:rsidRPr="00F53DB4">
        <w:rPr>
          <w:iCs/>
        </w:rPr>
        <w:t>identifies</w:t>
      </w:r>
      <w:r w:rsidR="008172AA" w:rsidRPr="00F53DB4">
        <w:rPr>
          <w:iCs/>
        </w:rPr>
        <w:t xml:space="preserve"> the sources of potential reactor inventory loss and </w:t>
      </w:r>
      <w:r w:rsidR="0072273D" w:rsidRPr="00F53DB4">
        <w:rPr>
          <w:iCs/>
        </w:rPr>
        <w:t>specifies</w:t>
      </w:r>
      <w:r w:rsidR="008172AA" w:rsidRPr="00F53DB4">
        <w:rPr>
          <w:iCs/>
        </w:rPr>
        <w:t xml:space="preserve"> actions to prevent or limit significant loss.</w:t>
      </w:r>
      <w:r w:rsidR="00C277AD">
        <w:rPr>
          <w:iCs/>
        </w:rPr>
        <w:t xml:space="preserve">  Examples include actions that would isolate letdown or isolate </w:t>
      </w:r>
      <w:r w:rsidR="00211B07">
        <w:rPr>
          <w:iCs/>
        </w:rPr>
        <w:t>reactor coolant pump (</w:t>
      </w:r>
      <w:r w:rsidR="00C277AD">
        <w:rPr>
          <w:iCs/>
        </w:rPr>
        <w:t>RCP</w:t>
      </w:r>
      <w:r w:rsidR="00211B07">
        <w:rPr>
          <w:iCs/>
        </w:rPr>
        <w:t>)</w:t>
      </w:r>
      <w:r w:rsidR="00C277AD">
        <w:rPr>
          <w:iCs/>
        </w:rPr>
        <w:t xml:space="preserve"> seal leakage paths to maintain </w:t>
      </w:r>
      <w:r w:rsidR="00211B07">
        <w:rPr>
          <w:iCs/>
        </w:rPr>
        <w:t>reactor coolant system (</w:t>
      </w:r>
      <w:r w:rsidR="00C277AD">
        <w:rPr>
          <w:iCs/>
        </w:rPr>
        <w:t>RCS</w:t>
      </w:r>
      <w:r w:rsidR="00211B07">
        <w:rPr>
          <w:iCs/>
        </w:rPr>
        <w:t>)</w:t>
      </w:r>
      <w:r w:rsidR="00C277AD">
        <w:rPr>
          <w:iCs/>
        </w:rPr>
        <w:t xml:space="preserve"> inventory.</w:t>
      </w:r>
    </w:p>
    <w:p w:rsidR="00556AF4" w:rsidRPr="00F53DB4" w:rsidRDefault="00556AF4" w:rsidP="00556AF4">
      <w:pPr>
        <w:pStyle w:val="ListParagraph"/>
        <w:autoSpaceDE w:val="0"/>
        <w:autoSpaceDN w:val="0"/>
        <w:adjustRightInd w:val="0"/>
        <w:spacing w:line="240" w:lineRule="auto"/>
        <w:ind w:left="1800" w:hanging="720"/>
        <w:rPr>
          <w:iCs/>
        </w:rPr>
      </w:pPr>
    </w:p>
    <w:p w:rsidR="008172AA" w:rsidRPr="00F53DB4" w:rsidRDefault="00556AF4" w:rsidP="00556AF4">
      <w:pPr>
        <w:pStyle w:val="ListParagraph"/>
        <w:autoSpaceDE w:val="0"/>
        <w:autoSpaceDN w:val="0"/>
        <w:adjustRightInd w:val="0"/>
        <w:spacing w:line="240" w:lineRule="auto"/>
        <w:ind w:left="1800" w:hanging="720"/>
        <w:rPr>
          <w:iCs/>
        </w:rPr>
      </w:pPr>
      <w:r w:rsidRPr="00F53DB4">
        <w:rPr>
          <w:iCs/>
        </w:rPr>
        <w:t>(c)</w:t>
      </w:r>
      <w:r w:rsidRPr="00F53DB4">
        <w:rPr>
          <w:iCs/>
        </w:rPr>
        <w:tab/>
      </w:r>
      <w:r w:rsidR="008172AA" w:rsidRPr="00F53DB4">
        <w:rPr>
          <w:iCs/>
        </w:rPr>
        <w:t xml:space="preserve">Plant procedures/guidance </w:t>
      </w:r>
      <w:r w:rsidR="0072273D" w:rsidRPr="00F53DB4">
        <w:rPr>
          <w:iCs/>
        </w:rPr>
        <w:t>ensures</w:t>
      </w:r>
      <w:r w:rsidR="008172AA" w:rsidRPr="00F53DB4">
        <w:rPr>
          <w:iCs/>
        </w:rPr>
        <w:t xml:space="preserve"> that </w:t>
      </w:r>
      <w:r w:rsidR="0072273D" w:rsidRPr="00F53DB4">
        <w:rPr>
          <w:iCs/>
        </w:rPr>
        <w:t>a flow path is promptly established for makeup flow to the steam generator/nuclear boiler and identifies</w:t>
      </w:r>
      <w:r w:rsidR="008172AA" w:rsidRPr="00F53DB4">
        <w:rPr>
          <w:iCs/>
        </w:rPr>
        <w:t xml:space="preserve"> backup water sources in order of intended use. </w:t>
      </w:r>
      <w:r w:rsidR="009E37EC">
        <w:rPr>
          <w:iCs/>
        </w:rPr>
        <w:t xml:space="preserve"> Additionally, plant procedures</w:t>
      </w:r>
      <w:r w:rsidR="008172AA" w:rsidRPr="00F53DB4">
        <w:rPr>
          <w:iCs/>
        </w:rPr>
        <w:t xml:space="preserve">/guidance </w:t>
      </w:r>
      <w:r w:rsidR="0072273D" w:rsidRPr="00F53DB4">
        <w:rPr>
          <w:iCs/>
        </w:rPr>
        <w:t>specifies</w:t>
      </w:r>
      <w:r w:rsidR="008172AA" w:rsidRPr="00F53DB4">
        <w:rPr>
          <w:iCs/>
        </w:rPr>
        <w:t xml:space="preserve"> clear criteria for transferring to the next preferred source of water.</w:t>
      </w:r>
    </w:p>
    <w:p w:rsidR="00556AF4" w:rsidRPr="00F53DB4" w:rsidRDefault="00556AF4" w:rsidP="00556AF4">
      <w:pPr>
        <w:pStyle w:val="ListParagraph"/>
        <w:autoSpaceDE w:val="0"/>
        <w:autoSpaceDN w:val="0"/>
        <w:adjustRightInd w:val="0"/>
        <w:spacing w:line="240" w:lineRule="auto"/>
        <w:ind w:left="1800" w:hanging="720"/>
        <w:rPr>
          <w:iCs/>
        </w:rPr>
      </w:pPr>
    </w:p>
    <w:p w:rsidR="00064CD3" w:rsidRPr="00F53DB4" w:rsidRDefault="00556AF4" w:rsidP="00064CD3">
      <w:pPr>
        <w:pStyle w:val="ListParagraph"/>
        <w:autoSpaceDE w:val="0"/>
        <w:autoSpaceDN w:val="0"/>
        <w:adjustRightInd w:val="0"/>
        <w:spacing w:line="240" w:lineRule="auto"/>
        <w:ind w:left="1800" w:hanging="720"/>
        <w:rPr>
          <w:iCs/>
        </w:rPr>
      </w:pPr>
      <w:r w:rsidRPr="00F53DB4">
        <w:rPr>
          <w:iCs/>
        </w:rPr>
        <w:t>(d)</w:t>
      </w:r>
      <w:r w:rsidRPr="00F53DB4">
        <w:rPr>
          <w:iCs/>
        </w:rPr>
        <w:tab/>
      </w:r>
      <w:r w:rsidR="008172AA" w:rsidRPr="00F53DB4">
        <w:rPr>
          <w:iCs/>
        </w:rPr>
        <w:t>P</w:t>
      </w:r>
      <w:r w:rsidR="008172AA" w:rsidRPr="00F53DB4">
        <w:rPr>
          <w:iCs/>
          <w:spacing w:val="1"/>
        </w:rPr>
        <w:t>l</w:t>
      </w:r>
      <w:r w:rsidR="008172AA" w:rsidRPr="00F53DB4">
        <w:rPr>
          <w:iCs/>
        </w:rPr>
        <w:t>ant</w:t>
      </w:r>
      <w:r w:rsidR="008172AA" w:rsidRPr="00F53DB4">
        <w:rPr>
          <w:iCs/>
          <w:spacing w:val="-5"/>
        </w:rPr>
        <w:t xml:space="preserve"> </w:t>
      </w:r>
      <w:r w:rsidR="008172AA" w:rsidRPr="00F53DB4">
        <w:rPr>
          <w:iCs/>
        </w:rPr>
        <w:t>pro</w:t>
      </w:r>
      <w:r w:rsidR="008172AA" w:rsidRPr="00F53DB4">
        <w:rPr>
          <w:iCs/>
          <w:spacing w:val="-1"/>
        </w:rPr>
        <w:t>ce</w:t>
      </w:r>
      <w:r w:rsidR="008172AA" w:rsidRPr="00F53DB4">
        <w:rPr>
          <w:iCs/>
        </w:rPr>
        <w:t>dur</w:t>
      </w:r>
      <w:r w:rsidR="008172AA" w:rsidRPr="00F53DB4">
        <w:rPr>
          <w:iCs/>
          <w:spacing w:val="-1"/>
        </w:rPr>
        <w:t>e</w:t>
      </w:r>
      <w:r w:rsidR="008172AA" w:rsidRPr="00F53DB4">
        <w:rPr>
          <w:iCs/>
        </w:rPr>
        <w:t>s</w:t>
      </w:r>
      <w:r w:rsidR="008172AA" w:rsidRPr="00F53DB4">
        <w:rPr>
          <w:iCs/>
          <w:spacing w:val="1"/>
        </w:rPr>
        <w:t>/</w:t>
      </w:r>
      <w:r w:rsidR="008172AA" w:rsidRPr="00F53DB4">
        <w:rPr>
          <w:iCs/>
        </w:rPr>
        <w:t>gu</w:t>
      </w:r>
      <w:r w:rsidR="008172AA" w:rsidRPr="00F53DB4">
        <w:rPr>
          <w:iCs/>
          <w:spacing w:val="1"/>
        </w:rPr>
        <w:t>i</w:t>
      </w:r>
      <w:r w:rsidR="008172AA" w:rsidRPr="00F53DB4">
        <w:rPr>
          <w:iCs/>
        </w:rPr>
        <w:t>dan</w:t>
      </w:r>
      <w:r w:rsidR="008172AA" w:rsidRPr="00F53DB4">
        <w:rPr>
          <w:iCs/>
          <w:spacing w:val="-1"/>
        </w:rPr>
        <w:t>c</w:t>
      </w:r>
      <w:r w:rsidR="008172AA" w:rsidRPr="00F53DB4">
        <w:rPr>
          <w:iCs/>
        </w:rPr>
        <w:t>e</w:t>
      </w:r>
      <w:r w:rsidR="008172AA" w:rsidRPr="00F53DB4">
        <w:rPr>
          <w:iCs/>
          <w:spacing w:val="-15"/>
        </w:rPr>
        <w:t xml:space="preserve"> </w:t>
      </w:r>
      <w:r w:rsidR="0072273D" w:rsidRPr="00F53DB4">
        <w:rPr>
          <w:iCs/>
          <w:spacing w:val="1"/>
        </w:rPr>
        <w:t>i</w:t>
      </w:r>
      <w:r w:rsidR="0072273D" w:rsidRPr="00F53DB4">
        <w:rPr>
          <w:iCs/>
        </w:rPr>
        <w:t>d</w:t>
      </w:r>
      <w:r w:rsidR="0072273D" w:rsidRPr="00F53DB4">
        <w:rPr>
          <w:iCs/>
          <w:spacing w:val="-1"/>
        </w:rPr>
        <w:t>e</w:t>
      </w:r>
      <w:r w:rsidR="0072273D" w:rsidRPr="00F53DB4">
        <w:rPr>
          <w:iCs/>
        </w:rPr>
        <w:t>n</w:t>
      </w:r>
      <w:r w:rsidR="0072273D" w:rsidRPr="00F53DB4">
        <w:rPr>
          <w:iCs/>
          <w:spacing w:val="1"/>
        </w:rPr>
        <w:t>tif</w:t>
      </w:r>
      <w:r w:rsidR="0072273D" w:rsidRPr="00F53DB4">
        <w:rPr>
          <w:iCs/>
        </w:rPr>
        <w:t>ies</w:t>
      </w:r>
      <w:r w:rsidR="008172AA" w:rsidRPr="00F53DB4">
        <w:rPr>
          <w:iCs/>
          <w:spacing w:val="-8"/>
        </w:rPr>
        <w:t xml:space="preserve"> </w:t>
      </w:r>
      <w:r w:rsidR="008172AA" w:rsidRPr="00F53DB4">
        <w:rPr>
          <w:iCs/>
          <w:spacing w:val="1"/>
        </w:rPr>
        <w:t>l</w:t>
      </w:r>
      <w:r w:rsidR="008172AA" w:rsidRPr="00F53DB4">
        <w:rPr>
          <w:iCs/>
        </w:rPr>
        <w:t>oads</w:t>
      </w:r>
      <w:r w:rsidR="008172AA" w:rsidRPr="00F53DB4">
        <w:rPr>
          <w:iCs/>
          <w:spacing w:val="-1"/>
        </w:rPr>
        <w:t xml:space="preserve"> </w:t>
      </w:r>
      <w:r w:rsidR="008172AA" w:rsidRPr="00F53DB4">
        <w:rPr>
          <w:iCs/>
          <w:spacing w:val="1"/>
        </w:rPr>
        <w:t>t</w:t>
      </w:r>
      <w:r w:rsidR="008172AA" w:rsidRPr="00F53DB4">
        <w:rPr>
          <w:iCs/>
        </w:rPr>
        <w:t>hat</w:t>
      </w:r>
      <w:r w:rsidR="008172AA" w:rsidRPr="00F53DB4">
        <w:rPr>
          <w:iCs/>
          <w:spacing w:val="-4"/>
        </w:rPr>
        <w:t xml:space="preserve"> </w:t>
      </w:r>
      <w:r w:rsidR="008172AA" w:rsidRPr="00F53DB4">
        <w:rPr>
          <w:iCs/>
        </w:rPr>
        <w:t>n</w:t>
      </w:r>
      <w:r w:rsidR="008172AA" w:rsidRPr="00F53DB4">
        <w:rPr>
          <w:iCs/>
          <w:spacing w:val="-1"/>
        </w:rPr>
        <w:t>ee</w:t>
      </w:r>
      <w:r w:rsidR="008172AA" w:rsidRPr="00F53DB4">
        <w:rPr>
          <w:iCs/>
        </w:rPr>
        <w:t>d</w:t>
      </w:r>
      <w:r w:rsidR="008172AA" w:rsidRPr="00F53DB4">
        <w:rPr>
          <w:iCs/>
          <w:spacing w:val="-3"/>
        </w:rPr>
        <w:t xml:space="preserve"> </w:t>
      </w:r>
      <w:r w:rsidR="008172AA" w:rsidRPr="00F53DB4">
        <w:rPr>
          <w:iCs/>
          <w:spacing w:val="1"/>
        </w:rPr>
        <w:t>t</w:t>
      </w:r>
      <w:r w:rsidR="008172AA" w:rsidRPr="00F53DB4">
        <w:rPr>
          <w:iCs/>
        </w:rPr>
        <w:t>o</w:t>
      </w:r>
      <w:r w:rsidR="008172AA" w:rsidRPr="00F53DB4">
        <w:rPr>
          <w:iCs/>
          <w:spacing w:val="-1"/>
        </w:rPr>
        <w:t xml:space="preserve"> </w:t>
      </w:r>
      <w:r w:rsidR="008172AA" w:rsidRPr="00F53DB4">
        <w:rPr>
          <w:iCs/>
        </w:rPr>
        <w:t>be</w:t>
      </w:r>
      <w:r w:rsidR="008172AA" w:rsidRPr="00F53DB4">
        <w:rPr>
          <w:iCs/>
          <w:spacing w:val="-3"/>
        </w:rPr>
        <w:t xml:space="preserve"> </w:t>
      </w:r>
      <w:r w:rsidR="008172AA" w:rsidRPr="00F53DB4">
        <w:rPr>
          <w:iCs/>
        </w:rPr>
        <w:t>s</w:t>
      </w:r>
      <w:r w:rsidR="008172AA" w:rsidRPr="00F53DB4">
        <w:rPr>
          <w:iCs/>
          <w:spacing w:val="1"/>
        </w:rPr>
        <w:t>t</w:t>
      </w:r>
      <w:r w:rsidR="008172AA" w:rsidRPr="00F53DB4">
        <w:rPr>
          <w:iCs/>
        </w:rPr>
        <w:t>r</w:t>
      </w:r>
      <w:r w:rsidR="008172AA" w:rsidRPr="00F53DB4">
        <w:rPr>
          <w:iCs/>
          <w:spacing w:val="1"/>
        </w:rPr>
        <w:t>i</w:t>
      </w:r>
      <w:r w:rsidR="008172AA" w:rsidRPr="00F53DB4">
        <w:rPr>
          <w:iCs/>
        </w:rPr>
        <w:t>pp</w:t>
      </w:r>
      <w:r w:rsidR="008172AA" w:rsidRPr="00F53DB4">
        <w:rPr>
          <w:iCs/>
          <w:spacing w:val="-1"/>
        </w:rPr>
        <w:t>e</w:t>
      </w:r>
      <w:r w:rsidR="008172AA" w:rsidRPr="00F53DB4">
        <w:rPr>
          <w:iCs/>
        </w:rPr>
        <w:t>d</w:t>
      </w:r>
      <w:r w:rsidR="008172AA" w:rsidRPr="00F53DB4">
        <w:rPr>
          <w:iCs/>
          <w:spacing w:val="-5"/>
        </w:rPr>
        <w:t xml:space="preserve"> </w:t>
      </w:r>
      <w:r w:rsidR="008172AA" w:rsidRPr="00F53DB4">
        <w:rPr>
          <w:iCs/>
          <w:spacing w:val="1"/>
        </w:rPr>
        <w:t>f</w:t>
      </w:r>
      <w:r w:rsidR="008172AA" w:rsidRPr="00F53DB4">
        <w:rPr>
          <w:iCs/>
        </w:rPr>
        <w:t>rom</w:t>
      </w:r>
      <w:r w:rsidR="008172AA" w:rsidRPr="00F53DB4">
        <w:rPr>
          <w:iCs/>
          <w:spacing w:val="-1"/>
        </w:rPr>
        <w:t xml:space="preserve"> </w:t>
      </w:r>
      <w:r w:rsidR="008172AA" w:rsidRPr="00F53DB4">
        <w:rPr>
          <w:iCs/>
          <w:spacing w:val="1"/>
        </w:rPr>
        <w:t>t</w:t>
      </w:r>
      <w:r w:rsidR="008172AA" w:rsidRPr="00F53DB4">
        <w:rPr>
          <w:iCs/>
        </w:rPr>
        <w:t>he</w:t>
      </w:r>
      <w:r w:rsidR="008172AA" w:rsidRPr="00F53DB4">
        <w:rPr>
          <w:iCs/>
          <w:spacing w:val="-4"/>
        </w:rPr>
        <w:t xml:space="preserve"> </w:t>
      </w:r>
      <w:r w:rsidR="008172AA" w:rsidRPr="00F53DB4">
        <w:rPr>
          <w:iCs/>
        </w:rPr>
        <w:t>p</w:t>
      </w:r>
      <w:r w:rsidR="008172AA" w:rsidRPr="00F53DB4">
        <w:rPr>
          <w:iCs/>
          <w:spacing w:val="1"/>
        </w:rPr>
        <w:t>l</w:t>
      </w:r>
      <w:r w:rsidR="008172AA" w:rsidRPr="00F53DB4">
        <w:rPr>
          <w:iCs/>
        </w:rPr>
        <w:t xml:space="preserve">ant </w:t>
      </w:r>
      <w:r w:rsidR="00C803C7">
        <w:rPr>
          <w:iCs/>
        </w:rPr>
        <w:t>direct current (</w:t>
      </w:r>
      <w:r w:rsidR="008172AA" w:rsidRPr="00F53DB4">
        <w:rPr>
          <w:iCs/>
        </w:rPr>
        <w:t>dc</w:t>
      </w:r>
      <w:r w:rsidR="00C803C7">
        <w:rPr>
          <w:iCs/>
        </w:rPr>
        <w:t>)</w:t>
      </w:r>
      <w:r w:rsidR="008172AA" w:rsidRPr="00F53DB4">
        <w:rPr>
          <w:iCs/>
          <w:spacing w:val="-3"/>
        </w:rPr>
        <w:t xml:space="preserve"> </w:t>
      </w:r>
      <w:r w:rsidR="008172AA" w:rsidRPr="00F53DB4">
        <w:rPr>
          <w:iCs/>
        </w:rPr>
        <w:t>bus</w:t>
      </w:r>
      <w:r w:rsidR="008172AA" w:rsidRPr="00F53DB4">
        <w:rPr>
          <w:iCs/>
          <w:spacing w:val="-1"/>
        </w:rPr>
        <w:t>e</w:t>
      </w:r>
      <w:r w:rsidR="008172AA" w:rsidRPr="00F53DB4">
        <w:rPr>
          <w:iCs/>
        </w:rPr>
        <w:t>s</w:t>
      </w:r>
      <w:r w:rsidR="008172AA" w:rsidRPr="00F53DB4">
        <w:rPr>
          <w:iCs/>
          <w:spacing w:val="2"/>
        </w:rPr>
        <w:t xml:space="preserve"> </w:t>
      </w:r>
      <w:r w:rsidR="008172AA" w:rsidRPr="00F53DB4">
        <w:rPr>
          <w:iCs/>
          <w:spacing w:val="-3"/>
        </w:rPr>
        <w:t>(</w:t>
      </w:r>
      <w:r w:rsidR="008172AA" w:rsidRPr="00F53DB4">
        <w:rPr>
          <w:iCs/>
        </w:rPr>
        <w:t>bo</w:t>
      </w:r>
      <w:r w:rsidR="008172AA" w:rsidRPr="00F53DB4">
        <w:rPr>
          <w:iCs/>
          <w:spacing w:val="1"/>
        </w:rPr>
        <w:t>t</w:t>
      </w:r>
      <w:r w:rsidR="008172AA" w:rsidRPr="00F53DB4">
        <w:rPr>
          <w:iCs/>
        </w:rPr>
        <w:t>h</w:t>
      </w:r>
      <w:r w:rsidR="008172AA" w:rsidRPr="00F53DB4">
        <w:rPr>
          <w:iCs/>
          <w:spacing w:val="-3"/>
        </w:rPr>
        <w:t xml:space="preserve"> </w:t>
      </w:r>
      <w:r w:rsidR="008172AA" w:rsidRPr="00F53DB4">
        <w:rPr>
          <w:iCs/>
          <w:spacing w:val="1"/>
        </w:rPr>
        <w:t>Cl</w:t>
      </w:r>
      <w:r w:rsidR="008172AA" w:rsidRPr="00F53DB4">
        <w:rPr>
          <w:iCs/>
        </w:rPr>
        <w:t>ass</w:t>
      </w:r>
      <w:r w:rsidR="008172AA" w:rsidRPr="00F53DB4">
        <w:rPr>
          <w:iCs/>
          <w:spacing w:val="-2"/>
        </w:rPr>
        <w:t xml:space="preserve"> </w:t>
      </w:r>
      <w:r w:rsidR="008172AA" w:rsidRPr="00F53DB4">
        <w:rPr>
          <w:iCs/>
        </w:rPr>
        <w:t>1E</w:t>
      </w:r>
      <w:r w:rsidR="008172AA" w:rsidRPr="00F53DB4">
        <w:rPr>
          <w:iCs/>
          <w:spacing w:val="-3"/>
        </w:rPr>
        <w:t xml:space="preserve"> </w:t>
      </w:r>
      <w:r w:rsidR="008172AA" w:rsidRPr="00F53DB4">
        <w:rPr>
          <w:iCs/>
        </w:rPr>
        <w:t>and non</w:t>
      </w:r>
      <w:r w:rsidR="008172AA" w:rsidRPr="00F53DB4">
        <w:rPr>
          <w:iCs/>
          <w:spacing w:val="-1"/>
        </w:rPr>
        <w:t>-</w:t>
      </w:r>
      <w:r w:rsidR="008172AA" w:rsidRPr="00F53DB4">
        <w:rPr>
          <w:iCs/>
          <w:spacing w:val="1"/>
        </w:rPr>
        <w:t>Cl</w:t>
      </w:r>
      <w:r w:rsidR="008172AA" w:rsidRPr="00F53DB4">
        <w:rPr>
          <w:iCs/>
        </w:rPr>
        <w:t>ass</w:t>
      </w:r>
      <w:r w:rsidR="008172AA" w:rsidRPr="00F53DB4">
        <w:rPr>
          <w:iCs/>
          <w:spacing w:val="-2"/>
        </w:rPr>
        <w:t xml:space="preserve"> </w:t>
      </w:r>
      <w:r w:rsidR="008172AA" w:rsidRPr="00F53DB4">
        <w:rPr>
          <w:iCs/>
        </w:rPr>
        <w:t>1E)</w:t>
      </w:r>
      <w:r w:rsidR="008172AA" w:rsidRPr="00F53DB4">
        <w:rPr>
          <w:iCs/>
          <w:spacing w:val="-6"/>
        </w:rPr>
        <w:t xml:space="preserve"> </w:t>
      </w:r>
      <w:r w:rsidR="008172AA" w:rsidRPr="00F53DB4">
        <w:rPr>
          <w:iCs/>
          <w:spacing w:val="1"/>
        </w:rPr>
        <w:t>f</w:t>
      </w:r>
      <w:r w:rsidR="008172AA" w:rsidRPr="00F53DB4">
        <w:rPr>
          <w:iCs/>
        </w:rPr>
        <w:t>or</w:t>
      </w:r>
      <w:r w:rsidR="008172AA" w:rsidRPr="00F53DB4">
        <w:rPr>
          <w:iCs/>
          <w:spacing w:val="-1"/>
        </w:rPr>
        <w:t xml:space="preserve"> </w:t>
      </w:r>
      <w:r w:rsidR="008172AA" w:rsidRPr="00F53DB4">
        <w:rPr>
          <w:iCs/>
          <w:spacing w:val="1"/>
        </w:rPr>
        <w:t>t</w:t>
      </w:r>
      <w:r w:rsidR="008172AA" w:rsidRPr="00F53DB4">
        <w:rPr>
          <w:iCs/>
          <w:spacing w:val="2"/>
        </w:rPr>
        <w:t>h</w:t>
      </w:r>
      <w:r w:rsidR="008172AA" w:rsidRPr="00F53DB4">
        <w:rPr>
          <w:iCs/>
        </w:rPr>
        <w:t>e</w:t>
      </w:r>
      <w:r w:rsidR="008172AA" w:rsidRPr="00F53DB4">
        <w:rPr>
          <w:iCs/>
          <w:spacing w:val="-3"/>
        </w:rPr>
        <w:t xml:space="preserve"> </w:t>
      </w:r>
      <w:r w:rsidR="008172AA" w:rsidRPr="00F53DB4">
        <w:rPr>
          <w:iCs/>
        </w:rPr>
        <w:t>purpose</w:t>
      </w:r>
      <w:r w:rsidR="008172AA" w:rsidRPr="00F53DB4">
        <w:rPr>
          <w:iCs/>
          <w:spacing w:val="-2"/>
        </w:rPr>
        <w:t xml:space="preserve"> </w:t>
      </w:r>
      <w:r w:rsidR="008172AA" w:rsidRPr="00F53DB4">
        <w:rPr>
          <w:iCs/>
        </w:rPr>
        <w:t>of</w:t>
      </w:r>
      <w:r w:rsidR="008172AA" w:rsidRPr="00F53DB4">
        <w:rPr>
          <w:iCs/>
          <w:spacing w:val="-2"/>
        </w:rPr>
        <w:t xml:space="preserve"> </w:t>
      </w:r>
      <w:r w:rsidR="008172AA" w:rsidRPr="00F53DB4">
        <w:rPr>
          <w:iCs/>
          <w:spacing w:val="-1"/>
        </w:rPr>
        <w:t>c</w:t>
      </w:r>
      <w:r w:rsidR="008172AA" w:rsidRPr="00F53DB4">
        <w:rPr>
          <w:iCs/>
        </w:rPr>
        <w:t>ons</w:t>
      </w:r>
      <w:r w:rsidR="008172AA" w:rsidRPr="00F53DB4">
        <w:rPr>
          <w:iCs/>
          <w:spacing w:val="-1"/>
        </w:rPr>
        <w:t>e</w:t>
      </w:r>
      <w:r w:rsidR="008172AA" w:rsidRPr="00F53DB4">
        <w:rPr>
          <w:iCs/>
        </w:rPr>
        <w:t>r</w:t>
      </w:r>
      <w:r w:rsidR="008172AA" w:rsidRPr="00F53DB4">
        <w:rPr>
          <w:iCs/>
          <w:spacing w:val="-1"/>
        </w:rPr>
        <w:t>v</w:t>
      </w:r>
      <w:r w:rsidR="008172AA" w:rsidRPr="00F53DB4">
        <w:rPr>
          <w:iCs/>
          <w:spacing w:val="1"/>
        </w:rPr>
        <w:t>i</w:t>
      </w:r>
      <w:r w:rsidR="008172AA" w:rsidRPr="00F53DB4">
        <w:rPr>
          <w:iCs/>
        </w:rPr>
        <w:t>ng</w:t>
      </w:r>
      <w:r w:rsidR="008172AA" w:rsidRPr="00F53DB4">
        <w:rPr>
          <w:iCs/>
          <w:spacing w:val="-2"/>
        </w:rPr>
        <w:t xml:space="preserve"> </w:t>
      </w:r>
      <w:r w:rsidR="008172AA" w:rsidRPr="00F53DB4">
        <w:rPr>
          <w:iCs/>
        </w:rPr>
        <w:t>dc</w:t>
      </w:r>
      <w:r w:rsidR="008172AA" w:rsidRPr="00F53DB4">
        <w:rPr>
          <w:iCs/>
          <w:spacing w:val="-3"/>
        </w:rPr>
        <w:t xml:space="preserve"> </w:t>
      </w:r>
      <w:r w:rsidR="008172AA" w:rsidRPr="00F53DB4">
        <w:rPr>
          <w:iCs/>
        </w:rPr>
        <w:t>po</w:t>
      </w:r>
      <w:r w:rsidR="008172AA" w:rsidRPr="00F53DB4">
        <w:rPr>
          <w:iCs/>
          <w:spacing w:val="1"/>
        </w:rPr>
        <w:t>w</w:t>
      </w:r>
      <w:r w:rsidR="008172AA" w:rsidRPr="00F53DB4">
        <w:rPr>
          <w:iCs/>
          <w:spacing w:val="-1"/>
        </w:rPr>
        <w:t>e</w:t>
      </w:r>
      <w:r w:rsidR="008172AA" w:rsidRPr="00F53DB4">
        <w:rPr>
          <w:iCs/>
        </w:rPr>
        <w:t>r.</w:t>
      </w:r>
      <w:r w:rsidR="00064CD3">
        <w:rPr>
          <w:iCs/>
        </w:rPr>
        <w:t xml:space="preserve">  Licensee documents confirm that the licensee can perform these actions within the timeframe credited in the battery life analysis</w:t>
      </w:r>
      <w:r w:rsidR="00130C96">
        <w:rPr>
          <w:iCs/>
        </w:rPr>
        <w:t>.</w:t>
      </w:r>
    </w:p>
    <w:p w:rsidR="00590C64" w:rsidRPr="00F53DB4" w:rsidRDefault="00590C64" w:rsidP="00556AF4">
      <w:pPr>
        <w:pStyle w:val="ListParagraph"/>
        <w:autoSpaceDE w:val="0"/>
        <w:autoSpaceDN w:val="0"/>
        <w:adjustRightInd w:val="0"/>
        <w:spacing w:line="240" w:lineRule="auto"/>
        <w:ind w:left="1800" w:hanging="720"/>
        <w:rPr>
          <w:iCs/>
        </w:rPr>
      </w:pPr>
    </w:p>
    <w:p w:rsidR="008172AA" w:rsidRPr="00F53DB4" w:rsidRDefault="00590C64" w:rsidP="00590C64">
      <w:pPr>
        <w:pStyle w:val="ListParagraph"/>
        <w:autoSpaceDE w:val="0"/>
        <w:autoSpaceDN w:val="0"/>
        <w:adjustRightInd w:val="0"/>
        <w:spacing w:line="240" w:lineRule="auto"/>
        <w:ind w:left="1800" w:hanging="720"/>
        <w:rPr>
          <w:iCs/>
        </w:rPr>
      </w:pPr>
      <w:r w:rsidRPr="00F53DB4">
        <w:rPr>
          <w:iCs/>
        </w:rPr>
        <w:t>(e)</w:t>
      </w:r>
      <w:r w:rsidRPr="00F53DB4">
        <w:rPr>
          <w:iCs/>
        </w:rPr>
        <w:tab/>
      </w:r>
      <w:r w:rsidR="008172AA" w:rsidRPr="00F53DB4">
        <w:rPr>
          <w:iCs/>
        </w:rPr>
        <w:t xml:space="preserve">Plant procedures/guidance </w:t>
      </w:r>
      <w:r w:rsidR="0072273D" w:rsidRPr="00F53DB4">
        <w:rPr>
          <w:iCs/>
        </w:rPr>
        <w:t>specifies</w:t>
      </w:r>
      <w:r w:rsidR="008172AA" w:rsidRPr="00F53DB4">
        <w:rPr>
          <w:iCs/>
        </w:rPr>
        <w:t xml:space="preserve"> actions to permit appropriate containment isolation and safe shutdown valve operations while ac power is unavailable.</w:t>
      </w:r>
    </w:p>
    <w:p w:rsidR="00590C64" w:rsidRPr="00F53DB4" w:rsidRDefault="00590C64" w:rsidP="00590C64">
      <w:pPr>
        <w:pStyle w:val="ListParagraph"/>
        <w:autoSpaceDE w:val="0"/>
        <w:autoSpaceDN w:val="0"/>
        <w:adjustRightInd w:val="0"/>
        <w:spacing w:line="240" w:lineRule="auto"/>
        <w:ind w:left="1800" w:hanging="720"/>
        <w:rPr>
          <w:iCs/>
        </w:rPr>
      </w:pPr>
    </w:p>
    <w:p w:rsidR="00590C64" w:rsidRPr="00F53DB4" w:rsidRDefault="00590C64" w:rsidP="00590C64">
      <w:pPr>
        <w:pStyle w:val="ListParagraph"/>
        <w:autoSpaceDE w:val="0"/>
        <w:autoSpaceDN w:val="0"/>
        <w:adjustRightInd w:val="0"/>
        <w:spacing w:line="240" w:lineRule="auto"/>
        <w:ind w:left="1800" w:hanging="720"/>
        <w:rPr>
          <w:iCs/>
        </w:rPr>
      </w:pPr>
      <w:r w:rsidRPr="00F53DB4">
        <w:rPr>
          <w:iCs/>
        </w:rPr>
        <w:t>(f)</w:t>
      </w:r>
      <w:r w:rsidRPr="00F53DB4">
        <w:rPr>
          <w:iCs/>
        </w:rPr>
        <w:tab/>
      </w:r>
      <w:r w:rsidR="008172AA" w:rsidRPr="00F53DB4">
        <w:rPr>
          <w:iCs/>
        </w:rPr>
        <w:t>Plant procedures/guidance identify the portable lighting (e.g., flashlights or headlamps) and communications systems necessary for ingress and egress to plant areas required for deployment of FLEX strategies.</w:t>
      </w:r>
    </w:p>
    <w:p w:rsidR="00590C64" w:rsidRPr="00F53DB4" w:rsidRDefault="00590C64" w:rsidP="00590C64">
      <w:pPr>
        <w:pStyle w:val="ListParagraph"/>
        <w:autoSpaceDE w:val="0"/>
        <w:autoSpaceDN w:val="0"/>
        <w:adjustRightInd w:val="0"/>
        <w:spacing w:line="240" w:lineRule="auto"/>
        <w:ind w:left="1800" w:hanging="720"/>
        <w:rPr>
          <w:iCs/>
        </w:rPr>
      </w:pPr>
    </w:p>
    <w:p w:rsidR="00014899" w:rsidRPr="00F53DB4" w:rsidRDefault="008172AA" w:rsidP="00C97271">
      <w:pPr>
        <w:pStyle w:val="ListParagraph"/>
        <w:numPr>
          <w:ilvl w:val="2"/>
          <w:numId w:val="3"/>
        </w:numPr>
        <w:autoSpaceDE w:val="0"/>
        <w:autoSpaceDN w:val="0"/>
        <w:adjustRightInd w:val="0"/>
        <w:spacing w:line="240" w:lineRule="auto"/>
        <w:ind w:left="1800" w:hanging="720"/>
        <w:rPr>
          <w:iCs/>
        </w:rPr>
      </w:pPr>
      <w:r w:rsidRPr="00F53DB4">
        <w:rPr>
          <w:iCs/>
        </w:rPr>
        <w:t xml:space="preserve">Plant procedures/guidance </w:t>
      </w:r>
      <w:r w:rsidR="0072273D">
        <w:rPr>
          <w:iCs/>
        </w:rPr>
        <w:t>identifies</w:t>
      </w:r>
      <w:r w:rsidR="00ED545F">
        <w:rPr>
          <w:iCs/>
        </w:rPr>
        <w:t xml:space="preserve"> actions for achieving area access during a </w:t>
      </w:r>
      <w:r w:rsidR="00701438">
        <w:rPr>
          <w:iCs/>
        </w:rPr>
        <w:t xml:space="preserve">loss of </w:t>
      </w:r>
      <w:r w:rsidRPr="00F53DB4">
        <w:rPr>
          <w:iCs/>
        </w:rPr>
        <w:t xml:space="preserve">ac power, </w:t>
      </w:r>
      <w:r w:rsidR="00ED545F">
        <w:rPr>
          <w:iCs/>
        </w:rPr>
        <w:t>including</w:t>
      </w:r>
      <w:r w:rsidRPr="00F53DB4">
        <w:rPr>
          <w:iCs/>
        </w:rPr>
        <w:t xml:space="preserve"> the Protected Area and internal locked areas where remote equipment operation is necessary.</w:t>
      </w:r>
    </w:p>
    <w:p w:rsidR="00014899" w:rsidRPr="00F53DB4" w:rsidRDefault="00014899" w:rsidP="00014899">
      <w:pPr>
        <w:pStyle w:val="ListParagraph"/>
        <w:autoSpaceDE w:val="0"/>
        <w:autoSpaceDN w:val="0"/>
        <w:adjustRightInd w:val="0"/>
        <w:spacing w:line="240" w:lineRule="auto"/>
        <w:ind w:left="1800"/>
        <w:rPr>
          <w:iCs/>
        </w:rPr>
      </w:pPr>
    </w:p>
    <w:p w:rsidR="00361B45" w:rsidRDefault="008172AA" w:rsidP="00C97271">
      <w:pPr>
        <w:pStyle w:val="ListParagraph"/>
        <w:numPr>
          <w:ilvl w:val="2"/>
          <w:numId w:val="3"/>
        </w:numPr>
        <w:autoSpaceDE w:val="0"/>
        <w:autoSpaceDN w:val="0"/>
        <w:adjustRightInd w:val="0"/>
        <w:spacing w:line="240" w:lineRule="auto"/>
        <w:ind w:left="1800" w:hanging="720"/>
        <w:rPr>
          <w:iCs/>
        </w:rPr>
      </w:pPr>
      <w:r w:rsidRPr="00361B45">
        <w:rPr>
          <w:iCs/>
        </w:rPr>
        <w:t xml:space="preserve">Plant procedures/guidance </w:t>
      </w:r>
      <w:r w:rsidR="0072273D" w:rsidRPr="00EB20B9">
        <w:rPr>
          <w:iCs/>
        </w:rPr>
        <w:t>identifies</w:t>
      </w:r>
      <w:r w:rsidR="00EB20B9" w:rsidRPr="00EB20B9">
        <w:rPr>
          <w:iCs/>
        </w:rPr>
        <w:t xml:space="preserve"> actions to be taken to ensure that e</w:t>
      </w:r>
      <w:r w:rsidR="00EB20B9" w:rsidRPr="00EF5634">
        <w:rPr>
          <w:iCs/>
        </w:rPr>
        <w:t>quipment failure does not occur as a result of a loss of forced ventilation/cooling.  Areas requiring additional air flow are likely to be locations containing shutdown instrumentation and power supplies, turbine-driven decay heat removal equipment, and in the vicinity of the inverters.</w:t>
      </w:r>
      <w:r w:rsidR="00064CD3" w:rsidRPr="00361B45">
        <w:rPr>
          <w:iCs/>
        </w:rPr>
        <w:t xml:space="preserve">   </w:t>
      </w:r>
    </w:p>
    <w:p w:rsidR="00361B45" w:rsidRPr="00361B45" w:rsidRDefault="00361B45" w:rsidP="00361B45">
      <w:pPr>
        <w:pStyle w:val="ListParagraph"/>
        <w:rPr>
          <w:iCs/>
        </w:rPr>
      </w:pPr>
    </w:p>
    <w:p w:rsidR="0071031C" w:rsidRPr="00CB4264" w:rsidRDefault="008172AA" w:rsidP="00CB4264">
      <w:pPr>
        <w:pStyle w:val="ListParagraph"/>
        <w:numPr>
          <w:ilvl w:val="2"/>
          <w:numId w:val="3"/>
        </w:numPr>
        <w:autoSpaceDE w:val="0"/>
        <w:autoSpaceDN w:val="0"/>
        <w:adjustRightInd w:val="0"/>
        <w:spacing w:line="240" w:lineRule="auto"/>
        <w:ind w:left="1800" w:hanging="720"/>
        <w:rPr>
          <w:iCs/>
        </w:rPr>
      </w:pPr>
      <w:r w:rsidRPr="00CB4264">
        <w:rPr>
          <w:iCs/>
        </w:rPr>
        <w:t>Plant procedures</w:t>
      </w:r>
      <w:r w:rsidR="00863788">
        <w:rPr>
          <w:iCs/>
        </w:rPr>
        <w:t xml:space="preserve"> provide </w:t>
      </w:r>
      <w:r w:rsidRPr="00CB4264">
        <w:rPr>
          <w:iCs/>
        </w:rPr>
        <w:t xml:space="preserve">guidance </w:t>
      </w:r>
      <w:r w:rsidR="00863788">
        <w:rPr>
          <w:iCs/>
        </w:rPr>
        <w:t xml:space="preserve">for </w:t>
      </w:r>
      <w:r w:rsidRPr="00CB4264">
        <w:rPr>
          <w:iCs/>
        </w:rPr>
        <w:t xml:space="preserve">access </w:t>
      </w:r>
      <w:r w:rsidR="000C1051" w:rsidRPr="00CB4264">
        <w:rPr>
          <w:iCs/>
        </w:rPr>
        <w:t xml:space="preserve">and pathways to </w:t>
      </w:r>
      <w:r w:rsidRPr="00CB4264">
        <w:rPr>
          <w:iCs/>
        </w:rPr>
        <w:t>locations where operators will be required to perform local manual operations.</w:t>
      </w:r>
      <w:r w:rsidR="00361B45" w:rsidRPr="00CB4264">
        <w:rPr>
          <w:iCs/>
        </w:rPr>
        <w:t xml:space="preserve">  </w:t>
      </w:r>
    </w:p>
    <w:p w:rsidR="0071031C" w:rsidRPr="0071031C" w:rsidRDefault="0071031C" w:rsidP="0071031C">
      <w:pPr>
        <w:autoSpaceDE w:val="0"/>
        <w:autoSpaceDN w:val="0"/>
        <w:adjustRightInd w:val="0"/>
        <w:spacing w:line="240" w:lineRule="auto"/>
        <w:ind w:left="1080" w:firstLine="720"/>
        <w:rPr>
          <w:iCs/>
        </w:rPr>
      </w:pPr>
    </w:p>
    <w:p w:rsidR="0071031C" w:rsidRDefault="0071031C" w:rsidP="00CB4264">
      <w:pPr>
        <w:pStyle w:val="ListParagraph"/>
        <w:numPr>
          <w:ilvl w:val="2"/>
          <w:numId w:val="3"/>
        </w:numPr>
        <w:autoSpaceDE w:val="0"/>
        <w:autoSpaceDN w:val="0"/>
        <w:adjustRightInd w:val="0"/>
        <w:spacing w:line="240" w:lineRule="auto"/>
        <w:ind w:left="1800" w:hanging="720"/>
        <w:rPr>
          <w:iCs/>
        </w:rPr>
      </w:pPr>
      <w:r>
        <w:rPr>
          <w:iCs/>
        </w:rPr>
        <w:t xml:space="preserve">For strategies with time constraints, verify that the licensee has established a </w:t>
      </w:r>
      <w:r w:rsidR="00B839C4">
        <w:rPr>
          <w:iCs/>
        </w:rPr>
        <w:t xml:space="preserve">valid technical </w:t>
      </w:r>
      <w:r>
        <w:rPr>
          <w:iCs/>
        </w:rPr>
        <w:t>basis for the determination that the capability could be implemented within the allotted time.</w:t>
      </w:r>
    </w:p>
    <w:p w:rsidR="0071031C" w:rsidRDefault="0071031C" w:rsidP="0071031C">
      <w:pPr>
        <w:pStyle w:val="ListParagraph"/>
        <w:autoSpaceDE w:val="0"/>
        <w:autoSpaceDN w:val="0"/>
        <w:adjustRightInd w:val="0"/>
        <w:spacing w:line="240" w:lineRule="auto"/>
        <w:ind w:left="1800"/>
        <w:rPr>
          <w:iCs/>
        </w:rPr>
      </w:pPr>
    </w:p>
    <w:p w:rsidR="00112EB0" w:rsidRDefault="008172AA" w:rsidP="0071031C">
      <w:pPr>
        <w:pStyle w:val="ListParagraph"/>
        <w:numPr>
          <w:ilvl w:val="2"/>
          <w:numId w:val="3"/>
        </w:numPr>
        <w:autoSpaceDE w:val="0"/>
        <w:autoSpaceDN w:val="0"/>
        <w:adjustRightInd w:val="0"/>
        <w:spacing w:line="240" w:lineRule="auto"/>
        <w:ind w:left="1800" w:hanging="720"/>
        <w:rPr>
          <w:iCs/>
        </w:rPr>
      </w:pPr>
      <w:r w:rsidRPr="00361B45">
        <w:rPr>
          <w:iCs/>
        </w:rPr>
        <w:t xml:space="preserve">Plant procedures/guidance </w:t>
      </w:r>
      <w:r w:rsidR="0072273D">
        <w:rPr>
          <w:iCs/>
        </w:rPr>
        <w:t>identifies</w:t>
      </w:r>
      <w:r w:rsidR="00863788">
        <w:rPr>
          <w:iCs/>
        </w:rPr>
        <w:t xml:space="preserve"> actions to be taken to ensure equipment failure does not occur as a result of </w:t>
      </w:r>
      <w:r w:rsidR="00C803C7" w:rsidRPr="00361B45">
        <w:rPr>
          <w:iCs/>
        </w:rPr>
        <w:t xml:space="preserve">loss of </w:t>
      </w:r>
      <w:r w:rsidRPr="00361B45">
        <w:rPr>
          <w:iCs/>
        </w:rPr>
        <w:t>hea</w:t>
      </w:r>
      <w:r w:rsidR="00C803C7" w:rsidRPr="00361B45">
        <w:rPr>
          <w:iCs/>
        </w:rPr>
        <w:t>t tracing during ELAP.</w:t>
      </w:r>
    </w:p>
    <w:p w:rsidR="00112EB0" w:rsidRDefault="00112EB0" w:rsidP="00112EB0">
      <w:pPr>
        <w:pStyle w:val="ListParagraph"/>
        <w:autoSpaceDE w:val="0"/>
        <w:autoSpaceDN w:val="0"/>
        <w:adjustRightInd w:val="0"/>
        <w:spacing w:line="240" w:lineRule="auto"/>
        <w:ind w:left="1800"/>
        <w:rPr>
          <w:iCs/>
        </w:rPr>
      </w:pPr>
    </w:p>
    <w:p w:rsidR="00F046CE" w:rsidRDefault="00112EB0" w:rsidP="00112EB0">
      <w:pPr>
        <w:pStyle w:val="ListParagraph"/>
        <w:numPr>
          <w:ilvl w:val="2"/>
          <w:numId w:val="3"/>
        </w:numPr>
        <w:autoSpaceDE w:val="0"/>
        <w:autoSpaceDN w:val="0"/>
        <w:adjustRightInd w:val="0"/>
        <w:spacing w:line="240" w:lineRule="auto"/>
        <w:ind w:left="1800" w:hanging="720"/>
        <w:rPr>
          <w:iCs/>
        </w:rPr>
        <w:sectPr w:rsidR="00F046CE" w:rsidSect="00994188">
          <w:footerReference w:type="default" r:id="rId27"/>
          <w:pgSz w:w="12240" w:h="15840"/>
          <w:pgMar w:top="1440" w:right="1440" w:bottom="1440" w:left="1440" w:header="1440" w:footer="1440" w:gutter="0"/>
          <w:pgNumType w:chapStyle="1"/>
          <w:cols w:space="720"/>
          <w:docGrid w:linePitch="360"/>
        </w:sectPr>
      </w:pPr>
      <w:r>
        <w:rPr>
          <w:iCs/>
        </w:rPr>
        <w:t xml:space="preserve">Plant procedures/guidance </w:t>
      </w:r>
      <w:r w:rsidR="0072273D">
        <w:rPr>
          <w:iCs/>
        </w:rPr>
        <w:t>specifies</w:t>
      </w:r>
      <w:r>
        <w:rPr>
          <w:iCs/>
        </w:rPr>
        <w:t xml:space="preserve"> actions necessary to replenish fuel to diesel/gas powered equipment (e.g., FLEX diesel generators, pumps, etc.)</w:t>
      </w:r>
    </w:p>
    <w:p w:rsidR="00014899" w:rsidRPr="00F53DB4" w:rsidRDefault="008172AA" w:rsidP="00C97271">
      <w:pPr>
        <w:pStyle w:val="ListParagraph"/>
        <w:numPr>
          <w:ilvl w:val="2"/>
          <w:numId w:val="3"/>
        </w:numPr>
        <w:autoSpaceDE w:val="0"/>
        <w:autoSpaceDN w:val="0"/>
        <w:adjustRightInd w:val="0"/>
        <w:spacing w:line="240" w:lineRule="auto"/>
        <w:ind w:left="1800" w:hanging="720"/>
        <w:rPr>
          <w:iCs/>
        </w:rPr>
      </w:pPr>
      <w:r w:rsidRPr="00F53DB4">
        <w:rPr>
          <w:iCs/>
        </w:rPr>
        <w:lastRenderedPageBreak/>
        <w:t xml:space="preserve">Use of portable equipment </w:t>
      </w:r>
      <w:r w:rsidR="00CB4264">
        <w:rPr>
          <w:iCs/>
        </w:rPr>
        <w:t>(</w:t>
      </w:r>
      <w:r w:rsidRPr="00F53DB4">
        <w:rPr>
          <w:iCs/>
        </w:rPr>
        <w:t>e.g., portable power supplies, portable pumps, etc.</w:t>
      </w:r>
      <w:r w:rsidR="00CB4264">
        <w:rPr>
          <w:iCs/>
        </w:rPr>
        <w:t>)</w:t>
      </w:r>
      <w:r w:rsidRPr="00F53DB4">
        <w:rPr>
          <w:iCs/>
        </w:rPr>
        <w:t xml:space="preserve"> can extend plant coping capability.  </w:t>
      </w:r>
      <w:r w:rsidR="00CF4ED8">
        <w:rPr>
          <w:iCs/>
        </w:rPr>
        <w:t>Verify t</w:t>
      </w:r>
      <w:r w:rsidRPr="00F53DB4">
        <w:rPr>
          <w:iCs/>
        </w:rPr>
        <w:t xml:space="preserve">he procedures/guidance for </w:t>
      </w:r>
      <w:r w:rsidR="0072273D" w:rsidRPr="00F53DB4">
        <w:rPr>
          <w:iCs/>
        </w:rPr>
        <w:t xml:space="preserve">implementation of these portable systems </w:t>
      </w:r>
      <w:r w:rsidR="0072273D">
        <w:rPr>
          <w:iCs/>
        </w:rPr>
        <w:t>includes</w:t>
      </w:r>
      <w:r w:rsidR="00CF4ED8">
        <w:rPr>
          <w:iCs/>
        </w:rPr>
        <w:t xml:space="preserve"> </w:t>
      </w:r>
      <w:r w:rsidRPr="00F53DB4">
        <w:rPr>
          <w:iCs/>
        </w:rPr>
        <w:t>the transitions from installed sources to portable sources.</w:t>
      </w:r>
    </w:p>
    <w:p w:rsidR="00014899" w:rsidRPr="00F53DB4" w:rsidRDefault="00014899" w:rsidP="00014899">
      <w:pPr>
        <w:pStyle w:val="ListParagraph"/>
        <w:autoSpaceDE w:val="0"/>
        <w:autoSpaceDN w:val="0"/>
        <w:adjustRightInd w:val="0"/>
        <w:spacing w:line="240" w:lineRule="auto"/>
        <w:ind w:left="1800"/>
        <w:rPr>
          <w:iCs/>
        </w:rPr>
      </w:pPr>
    </w:p>
    <w:p w:rsidR="00014899" w:rsidRPr="00F53DB4" w:rsidRDefault="000F6864" w:rsidP="00C97271">
      <w:pPr>
        <w:pStyle w:val="ListParagraph"/>
        <w:numPr>
          <w:ilvl w:val="2"/>
          <w:numId w:val="3"/>
        </w:numPr>
        <w:autoSpaceDE w:val="0"/>
        <w:autoSpaceDN w:val="0"/>
        <w:adjustRightInd w:val="0"/>
        <w:spacing w:line="240" w:lineRule="auto"/>
        <w:ind w:left="1800" w:hanging="720"/>
        <w:rPr>
          <w:iCs/>
        </w:rPr>
      </w:pPr>
      <w:r>
        <w:rPr>
          <w:iCs/>
        </w:rPr>
        <w:t>Plant p</w:t>
      </w:r>
      <w:r w:rsidR="008172AA" w:rsidRPr="00F53DB4">
        <w:rPr>
          <w:iCs/>
        </w:rPr>
        <w:t xml:space="preserve">rocedures/guidance </w:t>
      </w:r>
      <w:r w:rsidR="0072273D">
        <w:rPr>
          <w:iCs/>
        </w:rPr>
        <w:t>includes</w:t>
      </w:r>
      <w:r w:rsidR="008172AA" w:rsidRPr="00F53DB4">
        <w:rPr>
          <w:iCs/>
        </w:rPr>
        <w:t xml:space="preserve"> monitoring and makeup options to the SFP.</w:t>
      </w:r>
    </w:p>
    <w:p w:rsidR="00014899" w:rsidRPr="00F53DB4" w:rsidRDefault="00014899" w:rsidP="00014899">
      <w:pPr>
        <w:pStyle w:val="ListParagraph"/>
        <w:autoSpaceDE w:val="0"/>
        <w:autoSpaceDN w:val="0"/>
        <w:adjustRightInd w:val="0"/>
        <w:spacing w:line="240" w:lineRule="auto"/>
        <w:ind w:left="1800"/>
        <w:rPr>
          <w:iCs/>
        </w:rPr>
      </w:pPr>
    </w:p>
    <w:p w:rsidR="008172AA" w:rsidRDefault="000F6864" w:rsidP="00C97271">
      <w:pPr>
        <w:pStyle w:val="ListParagraph"/>
        <w:numPr>
          <w:ilvl w:val="2"/>
          <w:numId w:val="3"/>
        </w:numPr>
        <w:autoSpaceDE w:val="0"/>
        <w:autoSpaceDN w:val="0"/>
        <w:adjustRightInd w:val="0"/>
        <w:spacing w:line="240" w:lineRule="auto"/>
        <w:ind w:left="1800" w:hanging="720"/>
        <w:rPr>
          <w:iCs/>
        </w:rPr>
      </w:pPr>
      <w:r>
        <w:rPr>
          <w:iCs/>
        </w:rPr>
        <w:t>Plant p</w:t>
      </w:r>
      <w:r w:rsidR="008172AA" w:rsidRPr="00F53DB4">
        <w:rPr>
          <w:iCs/>
        </w:rPr>
        <w:t xml:space="preserve">rocedures/guidance for units with BWR Mark III and PWR Ice Condenser containments </w:t>
      </w:r>
      <w:r w:rsidR="00CF4ED8">
        <w:rPr>
          <w:iCs/>
        </w:rPr>
        <w:t>include</w:t>
      </w:r>
      <w:r w:rsidR="008172AA" w:rsidRPr="00F53DB4">
        <w:rPr>
          <w:iCs/>
        </w:rPr>
        <w:t xml:space="preserve"> the deployment of portable power supplies for providing backup power to the containment hydrogen igniters.</w:t>
      </w:r>
    </w:p>
    <w:p w:rsidR="006D3E3A" w:rsidRPr="006D3E3A" w:rsidRDefault="006D3E3A" w:rsidP="006D3E3A">
      <w:pPr>
        <w:pStyle w:val="ListParagraph"/>
        <w:rPr>
          <w:iCs/>
        </w:rPr>
      </w:pPr>
    </w:p>
    <w:p w:rsidR="006D3E3A" w:rsidRDefault="000F6864" w:rsidP="006D3E3A">
      <w:pPr>
        <w:pStyle w:val="ListParagraph"/>
        <w:numPr>
          <w:ilvl w:val="2"/>
          <w:numId w:val="3"/>
        </w:numPr>
        <w:autoSpaceDE w:val="0"/>
        <w:autoSpaceDN w:val="0"/>
        <w:adjustRightInd w:val="0"/>
        <w:spacing w:line="240" w:lineRule="auto"/>
        <w:ind w:left="1800" w:hanging="720"/>
        <w:rPr>
          <w:iCs/>
        </w:rPr>
      </w:pPr>
      <w:r>
        <w:rPr>
          <w:iCs/>
        </w:rPr>
        <w:t>Plant p</w:t>
      </w:r>
      <w:r w:rsidR="006D3E3A">
        <w:rPr>
          <w:iCs/>
        </w:rPr>
        <w:t xml:space="preserve">rocedures/guidance </w:t>
      </w:r>
      <w:r w:rsidR="0072273D">
        <w:rPr>
          <w:iCs/>
        </w:rPr>
        <w:t>specifies</w:t>
      </w:r>
      <w:r w:rsidR="006D3E3A">
        <w:rPr>
          <w:iCs/>
        </w:rPr>
        <w:t xml:space="preserve"> the deployment routes and locations for FLEX portable equipment and </w:t>
      </w:r>
      <w:r w:rsidR="0072273D">
        <w:rPr>
          <w:iCs/>
        </w:rPr>
        <w:t>prevents</w:t>
      </w:r>
      <w:r w:rsidR="00AA730C">
        <w:rPr>
          <w:iCs/>
        </w:rPr>
        <w:t xml:space="preserve"> </w:t>
      </w:r>
      <w:r w:rsidR="006D3E3A">
        <w:rPr>
          <w:iCs/>
        </w:rPr>
        <w:t>staging of material that would interfere with the FLEX equipment.</w:t>
      </w:r>
    </w:p>
    <w:p w:rsidR="00D9175F" w:rsidRPr="00D9175F" w:rsidRDefault="00D9175F" w:rsidP="00D9175F">
      <w:pPr>
        <w:pStyle w:val="ListParagraph"/>
        <w:rPr>
          <w:iCs/>
        </w:rPr>
      </w:pPr>
    </w:p>
    <w:p w:rsidR="00D9175F" w:rsidRDefault="00D9175F" w:rsidP="006D3E3A">
      <w:pPr>
        <w:pStyle w:val="ListParagraph"/>
        <w:numPr>
          <w:ilvl w:val="2"/>
          <w:numId w:val="3"/>
        </w:numPr>
        <w:autoSpaceDE w:val="0"/>
        <w:autoSpaceDN w:val="0"/>
        <w:adjustRightInd w:val="0"/>
        <w:spacing w:line="240" w:lineRule="auto"/>
        <w:ind w:left="1800" w:hanging="720"/>
        <w:rPr>
          <w:iCs/>
        </w:rPr>
      </w:pPr>
      <w:r>
        <w:rPr>
          <w:iCs/>
        </w:rPr>
        <w:t xml:space="preserve">For plants relying on containment venting for heat removal (primarily BWR Mark I and Mark II containments), plant procedures/guidance </w:t>
      </w:r>
      <w:r w:rsidR="00E7309B">
        <w:rPr>
          <w:iCs/>
        </w:rPr>
        <w:t>include</w:t>
      </w:r>
      <w:r>
        <w:rPr>
          <w:iCs/>
        </w:rPr>
        <w:t xml:space="preserve"> the timing, trigger points, and actions required to support the strategies.</w:t>
      </w:r>
    </w:p>
    <w:p w:rsidR="000E4F3C" w:rsidRPr="000E4F3C" w:rsidRDefault="000E4F3C" w:rsidP="006A786D">
      <w:pPr>
        <w:pStyle w:val="ListParagraph"/>
        <w:rPr>
          <w:iCs/>
        </w:rPr>
      </w:pPr>
    </w:p>
    <w:p w:rsidR="000E4F3C" w:rsidRPr="00F53DB4" w:rsidRDefault="000E4F3C" w:rsidP="006D3E3A">
      <w:pPr>
        <w:pStyle w:val="ListParagraph"/>
        <w:numPr>
          <w:ilvl w:val="2"/>
          <w:numId w:val="3"/>
        </w:numPr>
        <w:autoSpaceDE w:val="0"/>
        <w:autoSpaceDN w:val="0"/>
        <w:adjustRightInd w:val="0"/>
        <w:spacing w:line="240" w:lineRule="auto"/>
        <w:ind w:left="1800" w:hanging="720"/>
        <w:rPr>
          <w:iCs/>
        </w:rPr>
      </w:pPr>
      <w:r>
        <w:rPr>
          <w:iCs/>
        </w:rPr>
        <w:t>Plant processes</w:t>
      </w:r>
      <w:r w:rsidR="00CB4264">
        <w:rPr>
          <w:iCs/>
        </w:rPr>
        <w:t>/</w:t>
      </w:r>
      <w:r>
        <w:rPr>
          <w:iCs/>
        </w:rPr>
        <w:t xml:space="preserve">procedures for shutdown </w:t>
      </w:r>
      <w:r w:rsidR="009D2EF8">
        <w:rPr>
          <w:iCs/>
        </w:rPr>
        <w:t xml:space="preserve">risk have </w:t>
      </w:r>
      <w:r w:rsidR="00953DBB">
        <w:rPr>
          <w:iCs/>
        </w:rPr>
        <w:t>incorporat</w:t>
      </w:r>
      <w:r w:rsidR="00CB4264">
        <w:rPr>
          <w:iCs/>
        </w:rPr>
        <w:t>ed</w:t>
      </w:r>
      <w:r>
        <w:rPr>
          <w:iCs/>
        </w:rPr>
        <w:t xml:space="preserve"> FLEX equipment</w:t>
      </w:r>
      <w:r w:rsidR="001B72FE">
        <w:rPr>
          <w:iCs/>
        </w:rPr>
        <w:t xml:space="preserve"> by identifying actions to</w:t>
      </w:r>
      <w:r w:rsidR="001871B7">
        <w:rPr>
          <w:iCs/>
        </w:rPr>
        <w:t xml:space="preserve"> </w:t>
      </w:r>
      <w:r w:rsidR="006A786D">
        <w:rPr>
          <w:iCs/>
        </w:rPr>
        <w:t>maintain</w:t>
      </w:r>
      <w:r w:rsidR="001B72FE">
        <w:rPr>
          <w:iCs/>
        </w:rPr>
        <w:t xml:space="preserve"> </w:t>
      </w:r>
      <w:r w:rsidR="00953DBB">
        <w:rPr>
          <w:iCs/>
        </w:rPr>
        <w:t xml:space="preserve">the </w:t>
      </w:r>
      <w:r w:rsidR="006A786D">
        <w:rPr>
          <w:iCs/>
        </w:rPr>
        <w:t>FLEX equipment necessary to support shutdown risk processes</w:t>
      </w:r>
      <w:r w:rsidR="00CB4264">
        <w:rPr>
          <w:iCs/>
        </w:rPr>
        <w:t>/</w:t>
      </w:r>
      <w:r w:rsidR="006A786D">
        <w:rPr>
          <w:iCs/>
        </w:rPr>
        <w:t xml:space="preserve">procedures readily available and </w:t>
      </w:r>
      <w:r w:rsidR="001B72FE">
        <w:rPr>
          <w:iCs/>
        </w:rPr>
        <w:t>specifying</w:t>
      </w:r>
      <w:r w:rsidR="006A786D">
        <w:rPr>
          <w:iCs/>
        </w:rPr>
        <w:t xml:space="preserve"> how FLEX equipment could be deployed or pre-deployed/pre-staged to support maintaining </w:t>
      </w:r>
      <w:r w:rsidR="00953DBB">
        <w:rPr>
          <w:iCs/>
        </w:rPr>
        <w:t xml:space="preserve">or restoring </w:t>
      </w:r>
      <w:r w:rsidR="006A786D">
        <w:rPr>
          <w:iCs/>
        </w:rPr>
        <w:t>key safety functions in the event of a loss of shutdown cooling.</w:t>
      </w:r>
    </w:p>
    <w:p w:rsidR="006D3E3A" w:rsidRPr="00F53DB4" w:rsidRDefault="006D3E3A" w:rsidP="006D3E3A">
      <w:pPr>
        <w:pStyle w:val="ListParagraph"/>
        <w:autoSpaceDE w:val="0"/>
        <w:autoSpaceDN w:val="0"/>
        <w:adjustRightInd w:val="0"/>
        <w:spacing w:line="240" w:lineRule="auto"/>
        <w:ind w:left="1800"/>
        <w:rPr>
          <w:iCs/>
        </w:rPr>
      </w:pPr>
    </w:p>
    <w:p w:rsidR="00615A3F" w:rsidRPr="00F53DB4" w:rsidRDefault="00615A3F" w:rsidP="00C97271">
      <w:pPr>
        <w:pStyle w:val="ListParagraph"/>
        <w:numPr>
          <w:ilvl w:val="1"/>
          <w:numId w:val="3"/>
        </w:numPr>
        <w:autoSpaceDE w:val="0"/>
        <w:autoSpaceDN w:val="0"/>
        <w:adjustRightInd w:val="0"/>
        <w:spacing w:line="240" w:lineRule="auto"/>
        <w:ind w:left="720"/>
        <w:rPr>
          <w:iCs/>
        </w:rPr>
      </w:pPr>
      <w:r w:rsidRPr="00F53DB4">
        <w:rPr>
          <w:iCs/>
        </w:rPr>
        <w:t>Site Specific Hazard Evaluation</w:t>
      </w:r>
    </w:p>
    <w:p w:rsidR="00615A3F" w:rsidRPr="00F53DB4" w:rsidRDefault="00615A3F" w:rsidP="00615A3F">
      <w:pPr>
        <w:autoSpaceDE w:val="0"/>
        <w:autoSpaceDN w:val="0"/>
        <w:adjustRightInd w:val="0"/>
        <w:spacing w:line="240" w:lineRule="auto"/>
        <w:rPr>
          <w:iCs/>
        </w:rPr>
      </w:pPr>
    </w:p>
    <w:p w:rsidR="00615A3F" w:rsidRPr="00F53DB4" w:rsidRDefault="00400A42" w:rsidP="00615A3F">
      <w:pPr>
        <w:autoSpaceDE w:val="0"/>
        <w:autoSpaceDN w:val="0"/>
        <w:adjustRightInd w:val="0"/>
        <w:spacing w:line="240" w:lineRule="auto"/>
        <w:ind w:left="720"/>
        <w:rPr>
          <w:iCs/>
        </w:rPr>
      </w:pPr>
      <w:r>
        <w:rPr>
          <w:iCs/>
        </w:rPr>
        <w:t>Review</w:t>
      </w:r>
      <w:r w:rsidRPr="00F53DB4">
        <w:rPr>
          <w:iCs/>
        </w:rPr>
        <w:t xml:space="preserve"> </w:t>
      </w:r>
      <w:r w:rsidR="00AA00EB">
        <w:rPr>
          <w:iCs/>
        </w:rPr>
        <w:t xml:space="preserve">all applicable </w:t>
      </w:r>
      <w:r w:rsidR="00615A3F" w:rsidRPr="00F53DB4">
        <w:rPr>
          <w:iCs/>
        </w:rPr>
        <w:t xml:space="preserve">site specific hazards evaluated by the licensee </w:t>
      </w:r>
      <w:r w:rsidR="008631CC" w:rsidRPr="00F53DB4">
        <w:rPr>
          <w:iCs/>
        </w:rPr>
        <w:t>to verify that the FLEX equipment is protected from the hazard and can be deployed as planned.</w:t>
      </w:r>
      <w:r w:rsidR="00AA00EB">
        <w:rPr>
          <w:iCs/>
        </w:rPr>
        <w:t xml:space="preserve">  Verify the inspection attribute below, as applicable.  </w:t>
      </w:r>
    </w:p>
    <w:p w:rsidR="007829DF" w:rsidRPr="00F53DB4" w:rsidRDefault="007829DF" w:rsidP="0086705A">
      <w:pPr>
        <w:spacing w:line="240" w:lineRule="auto"/>
      </w:pPr>
    </w:p>
    <w:p w:rsidR="00615A3F" w:rsidRPr="00F53DB4" w:rsidRDefault="008631CC" w:rsidP="00C97271">
      <w:pPr>
        <w:pStyle w:val="ListParagraph"/>
        <w:numPr>
          <w:ilvl w:val="0"/>
          <w:numId w:val="10"/>
        </w:numPr>
        <w:tabs>
          <w:tab w:val="left" w:pos="1080"/>
        </w:tabs>
        <w:spacing w:line="240" w:lineRule="auto"/>
      </w:pPr>
      <w:r w:rsidRPr="00F53DB4">
        <w:t>Seismic Hazard</w:t>
      </w:r>
    </w:p>
    <w:p w:rsidR="009A442C" w:rsidRPr="00F53DB4" w:rsidRDefault="009A442C" w:rsidP="009A442C">
      <w:pPr>
        <w:tabs>
          <w:tab w:val="left" w:pos="1080"/>
        </w:tabs>
        <w:spacing w:line="240" w:lineRule="auto"/>
      </w:pPr>
    </w:p>
    <w:p w:rsidR="00D418FC" w:rsidRPr="00F53DB4" w:rsidRDefault="00D418FC" w:rsidP="00AE2306">
      <w:pPr>
        <w:pStyle w:val="ListParagraph"/>
        <w:numPr>
          <w:ilvl w:val="0"/>
          <w:numId w:val="11"/>
        </w:numPr>
        <w:tabs>
          <w:tab w:val="left" w:pos="1080"/>
          <w:tab w:val="left" w:pos="1800"/>
        </w:tabs>
        <w:spacing w:line="240" w:lineRule="auto"/>
      </w:pPr>
      <w:r w:rsidRPr="00F53DB4">
        <w:t xml:space="preserve">FLEX equipment is stored in one or more of </w:t>
      </w:r>
      <w:r w:rsidR="001871B7">
        <w:t xml:space="preserve">the </w:t>
      </w:r>
      <w:r w:rsidRPr="00F53DB4">
        <w:t>following three configurations:</w:t>
      </w:r>
    </w:p>
    <w:p w:rsidR="00D418FC" w:rsidRPr="00F53DB4" w:rsidRDefault="00D418FC" w:rsidP="00AE2306">
      <w:pPr>
        <w:tabs>
          <w:tab w:val="left" w:pos="1080"/>
          <w:tab w:val="left" w:pos="1800"/>
        </w:tabs>
        <w:spacing w:line="240" w:lineRule="auto"/>
      </w:pPr>
      <w:r w:rsidRPr="00F53DB4">
        <w:tab/>
      </w:r>
    </w:p>
    <w:p w:rsidR="00D418FC" w:rsidRDefault="00D418FC" w:rsidP="00AE2306">
      <w:pPr>
        <w:pStyle w:val="ListParagraph"/>
        <w:numPr>
          <w:ilvl w:val="3"/>
          <w:numId w:val="3"/>
        </w:numPr>
        <w:tabs>
          <w:tab w:val="left" w:pos="1080"/>
          <w:tab w:val="left" w:pos="1800"/>
        </w:tabs>
        <w:spacing w:line="240" w:lineRule="auto"/>
        <w:ind w:left="1800"/>
      </w:pPr>
      <w:r w:rsidRPr="00F53DB4">
        <w:t>In a structure that meets the plant’s design basis for the Safe Shutdown Earthquake (e.g., existing safety-related structure)</w:t>
      </w:r>
    </w:p>
    <w:p w:rsidR="00184E17" w:rsidRPr="00F53DB4" w:rsidRDefault="00184E17" w:rsidP="00184E17">
      <w:pPr>
        <w:pStyle w:val="ListParagraph"/>
        <w:tabs>
          <w:tab w:val="left" w:pos="1080"/>
          <w:tab w:val="left" w:pos="1800"/>
        </w:tabs>
        <w:spacing w:line="240" w:lineRule="auto"/>
        <w:ind w:left="1800"/>
      </w:pPr>
    </w:p>
    <w:p w:rsidR="00D418FC" w:rsidRPr="00184E17" w:rsidRDefault="00D418FC" w:rsidP="002A7204">
      <w:pPr>
        <w:pStyle w:val="ListParagraph"/>
        <w:numPr>
          <w:ilvl w:val="3"/>
          <w:numId w:val="3"/>
        </w:numPr>
        <w:tabs>
          <w:tab w:val="left" w:pos="1080"/>
          <w:tab w:val="left" w:pos="1800"/>
        </w:tabs>
        <w:spacing w:line="240" w:lineRule="auto"/>
        <w:ind w:left="1800"/>
      </w:pPr>
      <w:r w:rsidRPr="00F53DB4">
        <w:t xml:space="preserve">In a structure designed to or evaluated equivalent to ASCE 7-10, </w:t>
      </w:r>
      <w:r w:rsidRPr="00F53DB4">
        <w:rPr>
          <w:i/>
          <w:iCs/>
        </w:rPr>
        <w:t>Minimum</w:t>
      </w:r>
      <w:r w:rsidRPr="00F53DB4">
        <w:t xml:space="preserve"> </w:t>
      </w:r>
      <w:r w:rsidRPr="00F53DB4">
        <w:rPr>
          <w:i/>
          <w:iCs/>
        </w:rPr>
        <w:t>Design Loads for Buildings and Other Structures</w:t>
      </w:r>
    </w:p>
    <w:p w:rsidR="00184E17" w:rsidRPr="00F53DB4" w:rsidRDefault="00184E17" w:rsidP="00184E17">
      <w:pPr>
        <w:pStyle w:val="ListParagraph"/>
        <w:tabs>
          <w:tab w:val="left" w:pos="1080"/>
          <w:tab w:val="left" w:pos="1800"/>
        </w:tabs>
        <w:spacing w:line="240" w:lineRule="auto"/>
        <w:ind w:left="1800"/>
      </w:pPr>
    </w:p>
    <w:p w:rsidR="00F046CE" w:rsidRDefault="00D418FC" w:rsidP="00AE2306">
      <w:pPr>
        <w:pStyle w:val="ListParagraph"/>
        <w:numPr>
          <w:ilvl w:val="3"/>
          <w:numId w:val="3"/>
        </w:numPr>
        <w:tabs>
          <w:tab w:val="left" w:pos="1080"/>
          <w:tab w:val="left" w:pos="1800"/>
        </w:tabs>
        <w:spacing w:line="240" w:lineRule="auto"/>
        <w:ind w:left="1800"/>
        <w:sectPr w:rsidR="00F046CE" w:rsidSect="00994188">
          <w:pgSz w:w="12240" w:h="15840"/>
          <w:pgMar w:top="1440" w:right="1440" w:bottom="1440" w:left="1440" w:header="1440" w:footer="1440" w:gutter="0"/>
          <w:pgNumType w:chapStyle="1"/>
          <w:cols w:space="720"/>
          <w:docGrid w:linePitch="360"/>
        </w:sectPr>
      </w:pPr>
      <w:r w:rsidRPr="00F53DB4">
        <w:t>Outside a structure and evaluated for seismic interactions to ensure equipment is not damaged by non-seismically robust components or structures</w:t>
      </w:r>
    </w:p>
    <w:p w:rsidR="00D418FC" w:rsidRPr="00F53DB4" w:rsidRDefault="00D418FC" w:rsidP="008510B1">
      <w:pPr>
        <w:tabs>
          <w:tab w:val="left" w:pos="1440"/>
          <w:tab w:val="left" w:pos="1800"/>
        </w:tabs>
      </w:pPr>
    </w:p>
    <w:p w:rsidR="00C830D6" w:rsidRPr="00992994" w:rsidRDefault="008510B1" w:rsidP="00C97271">
      <w:pPr>
        <w:pStyle w:val="ListParagraph"/>
        <w:numPr>
          <w:ilvl w:val="0"/>
          <w:numId w:val="11"/>
        </w:numPr>
        <w:tabs>
          <w:tab w:val="left" w:pos="1440"/>
          <w:tab w:val="left" w:pos="1800"/>
        </w:tabs>
        <w:autoSpaceDE w:val="0"/>
        <w:autoSpaceDN w:val="0"/>
        <w:adjustRightInd w:val="0"/>
        <w:spacing w:line="240" w:lineRule="auto"/>
      </w:pPr>
      <w:r w:rsidRPr="00F53DB4">
        <w:t xml:space="preserve">Large portable FLEX equipment such as pumps and power supplies </w:t>
      </w:r>
      <w:r w:rsidR="00E7309B">
        <w:t>are</w:t>
      </w:r>
      <w:r w:rsidRPr="00F53DB4">
        <w:t xml:space="preserve"> secured to protect them during a seismic </w:t>
      </w:r>
      <w:r w:rsidRPr="00992994">
        <w:t>event</w:t>
      </w:r>
      <w:r w:rsidR="00400A42" w:rsidRPr="00992994">
        <w:t xml:space="preserve"> (i.e., Safe Shutdown Earthquake (SSE) level). </w:t>
      </w:r>
    </w:p>
    <w:p w:rsidR="00C830D6" w:rsidRPr="00F53DB4" w:rsidRDefault="00C830D6" w:rsidP="00C830D6">
      <w:pPr>
        <w:pStyle w:val="ListParagraph"/>
        <w:tabs>
          <w:tab w:val="left" w:pos="1440"/>
          <w:tab w:val="left" w:pos="1800"/>
        </w:tabs>
        <w:autoSpaceDE w:val="0"/>
        <w:autoSpaceDN w:val="0"/>
        <w:adjustRightInd w:val="0"/>
        <w:spacing w:line="240" w:lineRule="auto"/>
        <w:ind w:left="1440"/>
      </w:pPr>
    </w:p>
    <w:p w:rsidR="004A5146" w:rsidRDefault="00C830D6" w:rsidP="004A5146">
      <w:pPr>
        <w:pStyle w:val="ListParagraph"/>
        <w:numPr>
          <w:ilvl w:val="0"/>
          <w:numId w:val="11"/>
        </w:numPr>
        <w:tabs>
          <w:tab w:val="left" w:pos="1440"/>
          <w:tab w:val="left" w:pos="1800"/>
        </w:tabs>
        <w:autoSpaceDE w:val="0"/>
        <w:autoSpaceDN w:val="0"/>
        <w:adjustRightInd w:val="0"/>
        <w:spacing w:line="240" w:lineRule="auto"/>
      </w:pPr>
      <w:r w:rsidRPr="00F53DB4">
        <w:t xml:space="preserve">Stored equipment and structures </w:t>
      </w:r>
      <w:r w:rsidR="00E7309B">
        <w:t>are</w:t>
      </w:r>
      <w:r w:rsidRPr="00F53DB4">
        <w:t xml:space="preserve"> evaluated and protected from seismic interactions to ensure that unsecured and/or non-seismic components do not damage the equipment</w:t>
      </w:r>
      <w:r w:rsidR="00992994">
        <w:t>.</w:t>
      </w:r>
      <w:r w:rsidR="004A5146" w:rsidDel="004A5146">
        <w:t xml:space="preserve"> </w:t>
      </w:r>
    </w:p>
    <w:p w:rsidR="004A5146" w:rsidRDefault="004A5146" w:rsidP="004A5146">
      <w:pPr>
        <w:pStyle w:val="ListParagraph"/>
      </w:pPr>
    </w:p>
    <w:p w:rsidR="000C1051" w:rsidRDefault="00C830D6" w:rsidP="004A5146">
      <w:pPr>
        <w:pStyle w:val="ListParagraph"/>
        <w:numPr>
          <w:ilvl w:val="0"/>
          <w:numId w:val="11"/>
        </w:numPr>
        <w:tabs>
          <w:tab w:val="left" w:pos="1440"/>
          <w:tab w:val="left" w:pos="1800"/>
        </w:tabs>
        <w:autoSpaceDE w:val="0"/>
        <w:autoSpaceDN w:val="0"/>
        <w:adjustRightInd w:val="0"/>
        <w:spacing w:line="240" w:lineRule="auto"/>
      </w:pPr>
      <w:r w:rsidRPr="00F53DB4">
        <w:t>Licensee has reviewed the travel route for potential soil liquefaction concern if the equipment needs to be moved from a storage location</w:t>
      </w:r>
      <w:r w:rsidR="000C1051">
        <w:t xml:space="preserve"> to a different point for use.</w:t>
      </w:r>
    </w:p>
    <w:p w:rsidR="000C1051" w:rsidRDefault="000C1051" w:rsidP="000C1051">
      <w:pPr>
        <w:pStyle w:val="ListParagraph"/>
      </w:pPr>
    </w:p>
    <w:p w:rsidR="00C830D6" w:rsidRPr="00F53DB4" w:rsidRDefault="002A66E2" w:rsidP="00AE2306">
      <w:pPr>
        <w:pStyle w:val="ListParagraph"/>
        <w:numPr>
          <w:ilvl w:val="0"/>
          <w:numId w:val="11"/>
        </w:numPr>
        <w:tabs>
          <w:tab w:val="left" w:pos="1440"/>
          <w:tab w:val="left" w:pos="1800"/>
        </w:tabs>
        <w:autoSpaceDE w:val="0"/>
        <w:autoSpaceDN w:val="0"/>
        <w:adjustRightInd w:val="0"/>
        <w:spacing w:line="240" w:lineRule="auto"/>
      </w:pPr>
      <w:r w:rsidRPr="00F53DB4">
        <w:t>Licensees have</w:t>
      </w:r>
      <w:r w:rsidR="00C830D6" w:rsidRPr="00F53DB4">
        <w:t xml:space="preserve"> evaluated the availability of water source</w:t>
      </w:r>
      <w:r w:rsidR="000F6864">
        <w:t>(s)</w:t>
      </w:r>
      <w:r w:rsidR="00C830D6" w:rsidRPr="00F53DB4">
        <w:t xml:space="preserve"> if the FLEX strategy relies on a water source that is not seismically robust.</w:t>
      </w:r>
    </w:p>
    <w:p w:rsidR="00C830D6" w:rsidRPr="00F53DB4" w:rsidRDefault="00C830D6" w:rsidP="00AE2306">
      <w:pPr>
        <w:pStyle w:val="ListParagraph"/>
        <w:spacing w:line="240" w:lineRule="auto"/>
      </w:pPr>
    </w:p>
    <w:p w:rsidR="00C830D6" w:rsidRPr="00F53DB4" w:rsidRDefault="002A66E2" w:rsidP="00AE2306">
      <w:pPr>
        <w:pStyle w:val="ListParagraph"/>
        <w:numPr>
          <w:ilvl w:val="0"/>
          <w:numId w:val="11"/>
        </w:numPr>
        <w:tabs>
          <w:tab w:val="left" w:pos="1440"/>
          <w:tab w:val="left" w:pos="1800"/>
        </w:tabs>
        <w:autoSpaceDE w:val="0"/>
        <w:autoSpaceDN w:val="0"/>
        <w:adjustRightInd w:val="0"/>
        <w:spacing w:line="240" w:lineRule="auto"/>
      </w:pPr>
      <w:r w:rsidRPr="00F53DB4">
        <w:t>Power supplies are</w:t>
      </w:r>
      <w:r w:rsidR="00C830D6" w:rsidRPr="00F53DB4">
        <w:t xml:space="preserve"> provided as part of the FLEX deployment if the power is required to move or deploy the FLEX equipment.</w:t>
      </w:r>
    </w:p>
    <w:p w:rsidR="00C830D6" w:rsidRPr="00F53DB4" w:rsidRDefault="00C830D6" w:rsidP="00AE2306">
      <w:pPr>
        <w:pStyle w:val="ListParagraph"/>
        <w:spacing w:line="240" w:lineRule="auto"/>
      </w:pPr>
    </w:p>
    <w:p w:rsidR="000C1051" w:rsidRDefault="00C830D6" w:rsidP="00AE2306">
      <w:pPr>
        <w:pStyle w:val="ListParagraph"/>
        <w:numPr>
          <w:ilvl w:val="0"/>
          <w:numId w:val="11"/>
        </w:numPr>
        <w:tabs>
          <w:tab w:val="left" w:pos="1440"/>
          <w:tab w:val="left" w:pos="1800"/>
        </w:tabs>
        <w:autoSpaceDE w:val="0"/>
        <w:autoSpaceDN w:val="0"/>
        <w:adjustRightInd w:val="0"/>
        <w:spacing w:line="240" w:lineRule="auto"/>
      </w:pPr>
      <w:r w:rsidRPr="00F53DB4">
        <w:t xml:space="preserve">Equipment needed to move the FLEX equipment </w:t>
      </w:r>
      <w:r w:rsidR="00E7309B">
        <w:t>is</w:t>
      </w:r>
      <w:r w:rsidRPr="00F53DB4">
        <w:t xml:space="preserve"> protected from the seismic event.</w:t>
      </w:r>
    </w:p>
    <w:p w:rsidR="000C1051" w:rsidRDefault="000C1051" w:rsidP="000C1051">
      <w:pPr>
        <w:pStyle w:val="ListParagraph"/>
      </w:pPr>
    </w:p>
    <w:p w:rsidR="002F2EE8" w:rsidRPr="00F53DB4" w:rsidRDefault="000C1051" w:rsidP="002F2EE8">
      <w:pPr>
        <w:pStyle w:val="ListParagraph"/>
        <w:numPr>
          <w:ilvl w:val="0"/>
          <w:numId w:val="11"/>
        </w:numPr>
        <w:tabs>
          <w:tab w:val="left" w:pos="1440"/>
          <w:tab w:val="left" w:pos="1800"/>
        </w:tabs>
        <w:autoSpaceDE w:val="0"/>
        <w:autoSpaceDN w:val="0"/>
        <w:adjustRightInd w:val="0"/>
        <w:spacing w:line="240" w:lineRule="auto"/>
      </w:pPr>
      <w:r>
        <w:t>Licensee has verified that the FLEX equipment connection points to permanently installed plant system are seismically qualified</w:t>
      </w:r>
      <w:r w:rsidR="00A653D4">
        <w:t xml:space="preserve"> to the same extent as the permanently installed equipment</w:t>
      </w:r>
      <w:r>
        <w:t>.</w:t>
      </w:r>
      <w:r w:rsidR="00C830D6" w:rsidRPr="00F53DB4">
        <w:t xml:space="preserve"> </w:t>
      </w:r>
      <w:r w:rsidR="003A6F50">
        <w:t xml:space="preserve"> </w:t>
      </w:r>
      <w:r w:rsidR="00A653D4" w:rsidRPr="00116CBA">
        <w:t>Both the primary and alternate connection points do not need to be available for all applicable hazards</w:t>
      </w:r>
      <w:r w:rsidR="00A653D4">
        <w:t>.</w:t>
      </w:r>
      <w:r w:rsidR="002F2EE8">
        <w:t xml:space="preserve">  Additionally, licensee has verified that staged tools used to connect FLEX equipment are </w:t>
      </w:r>
      <w:proofErr w:type="gramStart"/>
      <w:r w:rsidR="002F2EE8">
        <w:t>acceptable/compatible</w:t>
      </w:r>
      <w:proofErr w:type="gramEnd"/>
      <w:r w:rsidR="002F2EE8">
        <w:t xml:space="preserve"> with the connections used.</w:t>
      </w:r>
    </w:p>
    <w:p w:rsidR="002F65F6" w:rsidRPr="00F53DB4" w:rsidRDefault="002F65F6" w:rsidP="002F2EE8">
      <w:pPr>
        <w:spacing w:line="240" w:lineRule="auto"/>
      </w:pPr>
    </w:p>
    <w:p w:rsidR="002F65F6" w:rsidRPr="00F53DB4" w:rsidRDefault="002D3F69" w:rsidP="00AE2306">
      <w:pPr>
        <w:pStyle w:val="ListParagraph"/>
        <w:numPr>
          <w:ilvl w:val="0"/>
          <w:numId w:val="10"/>
        </w:numPr>
        <w:tabs>
          <w:tab w:val="left" w:pos="1080"/>
          <w:tab w:val="left" w:pos="1800"/>
        </w:tabs>
        <w:autoSpaceDE w:val="0"/>
        <w:autoSpaceDN w:val="0"/>
        <w:adjustRightInd w:val="0"/>
        <w:spacing w:line="240" w:lineRule="auto"/>
      </w:pPr>
      <w:r w:rsidRPr="00F53DB4">
        <w:t>Flooding Hazard</w:t>
      </w:r>
      <w:r w:rsidR="00093F58">
        <w:t xml:space="preserve"> </w:t>
      </w:r>
    </w:p>
    <w:p w:rsidR="002D3F69" w:rsidRPr="00F53DB4" w:rsidRDefault="002D3F69" w:rsidP="00AE2306">
      <w:pPr>
        <w:tabs>
          <w:tab w:val="left" w:pos="720"/>
          <w:tab w:val="left" w:pos="1800"/>
        </w:tabs>
        <w:autoSpaceDE w:val="0"/>
        <w:autoSpaceDN w:val="0"/>
        <w:adjustRightInd w:val="0"/>
        <w:spacing w:line="240" w:lineRule="auto"/>
      </w:pPr>
    </w:p>
    <w:p w:rsidR="002D3F69" w:rsidRPr="00F53DB4" w:rsidRDefault="00502500" w:rsidP="00AE2306">
      <w:pPr>
        <w:pStyle w:val="ListParagraph"/>
        <w:numPr>
          <w:ilvl w:val="0"/>
          <w:numId w:val="12"/>
        </w:numPr>
        <w:tabs>
          <w:tab w:val="left" w:pos="1440"/>
          <w:tab w:val="left" w:pos="1800"/>
        </w:tabs>
        <w:autoSpaceDE w:val="0"/>
        <w:autoSpaceDN w:val="0"/>
        <w:adjustRightInd w:val="0"/>
        <w:spacing w:line="240" w:lineRule="auto"/>
        <w:ind w:left="1440"/>
      </w:pPr>
      <w:r w:rsidRPr="00F53DB4">
        <w:t xml:space="preserve">Flex equipment is stored in one or more </w:t>
      </w:r>
      <w:r w:rsidR="001044DF">
        <w:t>of the following configurations:</w:t>
      </w:r>
    </w:p>
    <w:p w:rsidR="00502500" w:rsidRPr="00F53DB4" w:rsidRDefault="00502500" w:rsidP="00AE2306">
      <w:pPr>
        <w:pStyle w:val="ListParagraph"/>
        <w:tabs>
          <w:tab w:val="left" w:pos="1440"/>
          <w:tab w:val="left" w:pos="1800"/>
        </w:tabs>
        <w:autoSpaceDE w:val="0"/>
        <w:autoSpaceDN w:val="0"/>
        <w:adjustRightInd w:val="0"/>
        <w:spacing w:line="240" w:lineRule="auto"/>
        <w:ind w:left="1800"/>
      </w:pPr>
    </w:p>
    <w:p w:rsidR="00502500" w:rsidRDefault="0010273F" w:rsidP="00AE2306">
      <w:pPr>
        <w:pStyle w:val="ListParagraph"/>
        <w:numPr>
          <w:ilvl w:val="0"/>
          <w:numId w:val="13"/>
        </w:numPr>
        <w:tabs>
          <w:tab w:val="left" w:pos="1440"/>
          <w:tab w:val="left" w:pos="1800"/>
        </w:tabs>
        <w:autoSpaceDE w:val="0"/>
        <w:autoSpaceDN w:val="0"/>
        <w:adjustRightInd w:val="0"/>
        <w:spacing w:line="240" w:lineRule="auto"/>
      </w:pPr>
      <w:r>
        <w:t>A</w:t>
      </w:r>
      <w:r w:rsidR="00502500" w:rsidRPr="00F53DB4">
        <w:t>bove the flood elevation from the most recent site flood analysis</w:t>
      </w:r>
      <w:r w:rsidR="000F0270">
        <w:t xml:space="preserve"> (at the time of submittal of the original integrated plan)</w:t>
      </w:r>
      <w:r w:rsidR="00502500" w:rsidRPr="00F53DB4">
        <w:t>.</w:t>
      </w:r>
    </w:p>
    <w:p w:rsidR="002A7204" w:rsidRPr="00F53DB4" w:rsidRDefault="002A7204" w:rsidP="002A7204">
      <w:pPr>
        <w:pStyle w:val="ListParagraph"/>
        <w:tabs>
          <w:tab w:val="left" w:pos="1440"/>
          <w:tab w:val="left" w:pos="1800"/>
        </w:tabs>
        <w:autoSpaceDE w:val="0"/>
        <w:autoSpaceDN w:val="0"/>
        <w:adjustRightInd w:val="0"/>
        <w:spacing w:line="240" w:lineRule="auto"/>
        <w:ind w:left="1800"/>
      </w:pPr>
    </w:p>
    <w:p w:rsidR="00502500" w:rsidRDefault="0010273F" w:rsidP="002A7204">
      <w:pPr>
        <w:pStyle w:val="ListParagraph"/>
        <w:numPr>
          <w:ilvl w:val="0"/>
          <w:numId w:val="13"/>
        </w:numPr>
        <w:tabs>
          <w:tab w:val="left" w:pos="1440"/>
          <w:tab w:val="left" w:pos="1800"/>
        </w:tabs>
        <w:autoSpaceDE w:val="0"/>
        <w:autoSpaceDN w:val="0"/>
        <w:adjustRightInd w:val="0"/>
        <w:spacing w:line="240" w:lineRule="auto"/>
      </w:pPr>
      <w:r>
        <w:t>I</w:t>
      </w:r>
      <w:r w:rsidR="00502500" w:rsidRPr="00F53DB4">
        <w:t>n a structure designed to protect the equipment from the flood.</w:t>
      </w:r>
    </w:p>
    <w:p w:rsidR="002A7204" w:rsidRPr="00F53DB4" w:rsidRDefault="002A7204" w:rsidP="002A7204">
      <w:pPr>
        <w:tabs>
          <w:tab w:val="left" w:pos="1440"/>
          <w:tab w:val="left" w:pos="1800"/>
        </w:tabs>
        <w:autoSpaceDE w:val="0"/>
        <w:autoSpaceDN w:val="0"/>
        <w:adjustRightInd w:val="0"/>
        <w:spacing w:line="240" w:lineRule="auto"/>
      </w:pPr>
    </w:p>
    <w:p w:rsidR="00502500" w:rsidRPr="00F53DB4" w:rsidRDefault="0010273F" w:rsidP="00AE2306">
      <w:pPr>
        <w:pStyle w:val="ListParagraph"/>
        <w:numPr>
          <w:ilvl w:val="0"/>
          <w:numId w:val="13"/>
        </w:numPr>
        <w:tabs>
          <w:tab w:val="left" w:pos="1440"/>
          <w:tab w:val="left" w:pos="1800"/>
        </w:tabs>
        <w:autoSpaceDE w:val="0"/>
        <w:autoSpaceDN w:val="0"/>
        <w:adjustRightInd w:val="0"/>
        <w:spacing w:line="240" w:lineRule="auto"/>
      </w:pPr>
      <w:r>
        <w:t>B</w:t>
      </w:r>
      <w:r w:rsidR="00502500" w:rsidRPr="00F53DB4">
        <w:t>elow flood level</w:t>
      </w:r>
      <w:r w:rsidR="00806E90">
        <w:t>, provided</w:t>
      </w:r>
      <w:r w:rsidR="00502500" w:rsidRPr="00F53DB4">
        <w:t xml:space="preserve"> time is available and plant procedures/guidance </w:t>
      </w:r>
      <w:r w:rsidR="007647F7">
        <w:t>address</w:t>
      </w:r>
      <w:r w:rsidR="00502500" w:rsidRPr="00F53DB4">
        <w:t xml:space="preserve"> the needed actions to relocate the equipment. </w:t>
      </w:r>
    </w:p>
    <w:p w:rsidR="00502500" w:rsidRPr="00F53DB4" w:rsidRDefault="00502500" w:rsidP="00AE2306">
      <w:pPr>
        <w:autoSpaceDE w:val="0"/>
        <w:autoSpaceDN w:val="0"/>
        <w:adjustRightInd w:val="0"/>
        <w:spacing w:line="240" w:lineRule="auto"/>
        <w:ind w:left="1800"/>
      </w:pPr>
    </w:p>
    <w:p w:rsidR="00231E6E" w:rsidRPr="00F53DB4" w:rsidRDefault="007647F7" w:rsidP="00AE2306">
      <w:pPr>
        <w:pStyle w:val="ListParagraph"/>
        <w:numPr>
          <w:ilvl w:val="0"/>
          <w:numId w:val="12"/>
        </w:numPr>
        <w:tabs>
          <w:tab w:val="left" w:pos="1440"/>
        </w:tabs>
        <w:autoSpaceDE w:val="0"/>
        <w:autoSpaceDN w:val="0"/>
        <w:adjustRightInd w:val="0"/>
        <w:spacing w:line="240" w:lineRule="auto"/>
        <w:ind w:left="1440"/>
      </w:pPr>
      <w:r>
        <w:t>Licensee</w:t>
      </w:r>
      <w:r w:rsidR="00231E6E" w:rsidRPr="00F53DB4">
        <w:t xml:space="preserve"> ha</w:t>
      </w:r>
      <w:r>
        <w:t xml:space="preserve">s </w:t>
      </w:r>
      <w:r w:rsidR="00231E6E" w:rsidRPr="00F53DB4">
        <w:t>plan</w:t>
      </w:r>
      <w:r>
        <w:t>s</w:t>
      </w:r>
      <w:r w:rsidR="00231E6E" w:rsidRPr="00F53DB4">
        <w:t xml:space="preserve"> to support </w:t>
      </w:r>
      <w:r w:rsidR="00F24FD2" w:rsidRPr="00F53DB4">
        <w:t xml:space="preserve">successful </w:t>
      </w:r>
      <w:r w:rsidR="00231E6E" w:rsidRPr="00F53DB4">
        <w:t>FLEX equipment deployment for floods which persist over a long time period</w:t>
      </w:r>
      <w:r w:rsidR="00BB7F07">
        <w:t>, as described in the safety evaluation</w:t>
      </w:r>
      <w:r w:rsidR="00231E6E" w:rsidRPr="00F53DB4">
        <w:t xml:space="preserve">. </w:t>
      </w:r>
    </w:p>
    <w:p w:rsidR="00613131" w:rsidRPr="00F53DB4" w:rsidRDefault="00613131" w:rsidP="00AE2306">
      <w:pPr>
        <w:pStyle w:val="ListParagraph"/>
        <w:tabs>
          <w:tab w:val="left" w:pos="1440"/>
        </w:tabs>
        <w:autoSpaceDE w:val="0"/>
        <w:autoSpaceDN w:val="0"/>
        <w:adjustRightInd w:val="0"/>
        <w:spacing w:line="240" w:lineRule="auto"/>
        <w:ind w:left="1440"/>
      </w:pPr>
    </w:p>
    <w:p w:rsidR="00F046CE" w:rsidRDefault="007647F7" w:rsidP="00AE2306">
      <w:pPr>
        <w:pStyle w:val="ListParagraph"/>
        <w:numPr>
          <w:ilvl w:val="0"/>
          <w:numId w:val="12"/>
        </w:numPr>
        <w:tabs>
          <w:tab w:val="left" w:pos="1440"/>
        </w:tabs>
        <w:autoSpaceDE w:val="0"/>
        <w:autoSpaceDN w:val="0"/>
        <w:adjustRightInd w:val="0"/>
        <w:spacing w:line="240" w:lineRule="auto"/>
        <w:ind w:left="1440"/>
        <w:sectPr w:rsidR="00F046CE" w:rsidSect="00994188">
          <w:pgSz w:w="12240" w:h="15840"/>
          <w:pgMar w:top="1440" w:right="1440" w:bottom="1440" w:left="1440" w:header="1440" w:footer="1440" w:gutter="0"/>
          <w:pgNumType w:chapStyle="1"/>
          <w:cols w:space="720"/>
          <w:docGrid w:linePitch="360"/>
        </w:sectPr>
      </w:pPr>
      <w:r>
        <w:t>Licensee</w:t>
      </w:r>
      <w:r w:rsidR="00F24FD2" w:rsidRPr="00F53DB4">
        <w:t xml:space="preserve"> ha</w:t>
      </w:r>
      <w:r>
        <w:t xml:space="preserve">s </w:t>
      </w:r>
      <w:r w:rsidR="00F24FD2" w:rsidRPr="00F53DB4">
        <w:t xml:space="preserve">plans to protect installed fuel oil storage tanks </w:t>
      </w:r>
      <w:r w:rsidR="00A653D4">
        <w:t xml:space="preserve">credited for FLEX </w:t>
      </w:r>
      <w:r w:rsidR="00F24FD2" w:rsidRPr="00F53DB4">
        <w:t>which could be inundated by the flood or above ground tanks that could be damaged by the flood or provide an alternate source of fuel to the FLEX equipment during flood conditions.</w:t>
      </w:r>
    </w:p>
    <w:p w:rsidR="00613131" w:rsidRPr="00F53DB4" w:rsidRDefault="00613131" w:rsidP="00AE2306">
      <w:pPr>
        <w:pStyle w:val="ListParagraph"/>
        <w:tabs>
          <w:tab w:val="left" w:pos="1440"/>
        </w:tabs>
        <w:autoSpaceDE w:val="0"/>
        <w:autoSpaceDN w:val="0"/>
        <w:adjustRightInd w:val="0"/>
        <w:spacing w:line="240" w:lineRule="auto"/>
        <w:ind w:left="1440"/>
      </w:pPr>
    </w:p>
    <w:p w:rsidR="00502500" w:rsidRPr="00F53DB4" w:rsidRDefault="00F24FD2" w:rsidP="00AE2306">
      <w:pPr>
        <w:pStyle w:val="ListParagraph"/>
        <w:numPr>
          <w:ilvl w:val="0"/>
          <w:numId w:val="12"/>
        </w:numPr>
        <w:tabs>
          <w:tab w:val="left" w:pos="1440"/>
        </w:tabs>
        <w:autoSpaceDE w:val="0"/>
        <w:autoSpaceDN w:val="0"/>
        <w:adjustRightInd w:val="0"/>
        <w:spacing w:line="240" w:lineRule="auto"/>
        <w:ind w:left="1440"/>
      </w:pPr>
      <w:r w:rsidRPr="00F53DB4">
        <w:t>Licensee has verified that the FLEX equipment connection points to permanently installed plant system</w:t>
      </w:r>
      <w:r w:rsidR="000F6864">
        <w:t>(s)</w:t>
      </w:r>
      <w:r w:rsidRPr="00F53DB4">
        <w:t xml:space="preserve"> can be used during the flood</w:t>
      </w:r>
      <w:r w:rsidR="003A6F50">
        <w:t xml:space="preserve">.  </w:t>
      </w:r>
      <w:r w:rsidR="00093F58">
        <w:t xml:space="preserve"> </w:t>
      </w:r>
      <w:r w:rsidR="00A653D4" w:rsidRPr="008B3333">
        <w:t>Both the primary and alternate connection points do not need to be available for all applicable hazards</w:t>
      </w:r>
      <w:r w:rsidRPr="00F53DB4">
        <w:t>.</w:t>
      </w:r>
      <w:r w:rsidR="000C1051">
        <w:t xml:space="preserve">  Additionally, licensee has verified that staged tools used to connect FLEX equipment are </w:t>
      </w:r>
      <w:proofErr w:type="gramStart"/>
      <w:r w:rsidR="000C1051">
        <w:t>acceptable/compatible</w:t>
      </w:r>
      <w:proofErr w:type="gramEnd"/>
      <w:r w:rsidR="000C1051">
        <w:t xml:space="preserve"> with the connections used.</w:t>
      </w:r>
    </w:p>
    <w:p w:rsidR="00613131" w:rsidRPr="00F53DB4" w:rsidRDefault="00613131" w:rsidP="00AE2306">
      <w:pPr>
        <w:pStyle w:val="ListParagraph"/>
        <w:tabs>
          <w:tab w:val="left" w:pos="1440"/>
        </w:tabs>
        <w:autoSpaceDE w:val="0"/>
        <w:autoSpaceDN w:val="0"/>
        <w:adjustRightInd w:val="0"/>
        <w:spacing w:line="240" w:lineRule="auto"/>
        <w:ind w:left="1440"/>
      </w:pPr>
    </w:p>
    <w:p w:rsidR="00E31C85" w:rsidRPr="00F53DB4" w:rsidRDefault="002A66E2" w:rsidP="00AE2306">
      <w:pPr>
        <w:pStyle w:val="ListParagraph"/>
        <w:numPr>
          <w:ilvl w:val="0"/>
          <w:numId w:val="12"/>
        </w:numPr>
        <w:tabs>
          <w:tab w:val="left" w:pos="1440"/>
        </w:tabs>
        <w:autoSpaceDE w:val="0"/>
        <w:autoSpaceDN w:val="0"/>
        <w:adjustRightInd w:val="0"/>
        <w:spacing w:line="240" w:lineRule="auto"/>
        <w:ind w:left="1440"/>
      </w:pPr>
      <w:r w:rsidRPr="00F53DB4">
        <w:t>Water extraction pumps capable of operating during an ELAP are</w:t>
      </w:r>
      <w:r w:rsidR="00E31C85" w:rsidRPr="00F53DB4">
        <w:t xml:space="preserve"> available</w:t>
      </w:r>
      <w:r w:rsidR="00093F58">
        <w:t xml:space="preserve">, if </w:t>
      </w:r>
      <w:r w:rsidR="000E4F3C">
        <w:t>credited</w:t>
      </w:r>
      <w:r w:rsidR="00E31C85" w:rsidRPr="00F53DB4">
        <w:t>.</w:t>
      </w:r>
    </w:p>
    <w:p w:rsidR="00613131" w:rsidRPr="00F53DB4" w:rsidRDefault="00613131" w:rsidP="00AE2306">
      <w:pPr>
        <w:pStyle w:val="ListParagraph"/>
        <w:tabs>
          <w:tab w:val="left" w:pos="1440"/>
        </w:tabs>
        <w:autoSpaceDE w:val="0"/>
        <w:autoSpaceDN w:val="0"/>
        <w:adjustRightInd w:val="0"/>
        <w:spacing w:line="240" w:lineRule="auto"/>
        <w:ind w:left="1440"/>
      </w:pPr>
    </w:p>
    <w:p w:rsidR="00F24FD2" w:rsidRPr="00F53DB4" w:rsidRDefault="00D8499C" w:rsidP="00AE2306">
      <w:pPr>
        <w:pStyle w:val="ListParagraph"/>
        <w:numPr>
          <w:ilvl w:val="0"/>
          <w:numId w:val="12"/>
        </w:numPr>
        <w:tabs>
          <w:tab w:val="left" w:pos="1440"/>
        </w:tabs>
        <w:autoSpaceDE w:val="0"/>
        <w:autoSpaceDN w:val="0"/>
        <w:adjustRightInd w:val="0"/>
        <w:spacing w:line="240" w:lineRule="auto"/>
        <w:ind w:left="1440"/>
      </w:pPr>
      <w:r>
        <w:t xml:space="preserve">Temporary </w:t>
      </w:r>
      <w:r w:rsidR="00500F47" w:rsidRPr="00F53DB4">
        <w:t>flood barriers</w:t>
      </w:r>
      <w:r w:rsidR="00093F58">
        <w:t xml:space="preserve">, if </w:t>
      </w:r>
      <w:r w:rsidR="000E4F3C">
        <w:t>credited</w:t>
      </w:r>
      <w:r w:rsidR="00093F58">
        <w:t>,</w:t>
      </w:r>
      <w:r w:rsidR="00500F47" w:rsidRPr="00F53DB4">
        <w:t xml:space="preserve"> are stored in a location protected from the flood</w:t>
      </w:r>
      <w:r w:rsidR="00806E90">
        <w:t xml:space="preserve"> and can be deployed within the time available</w:t>
      </w:r>
      <w:r w:rsidR="00500F47" w:rsidRPr="00F53DB4">
        <w:t>.</w:t>
      </w:r>
    </w:p>
    <w:p w:rsidR="00304815" w:rsidRPr="00F53DB4" w:rsidRDefault="00304815" w:rsidP="00BB53BB">
      <w:pPr>
        <w:pStyle w:val="ListParagraph"/>
        <w:spacing w:line="240" w:lineRule="auto"/>
      </w:pPr>
    </w:p>
    <w:p w:rsidR="00504FA6" w:rsidRDefault="00504FA6" w:rsidP="00504FA6">
      <w:pPr>
        <w:pStyle w:val="ListParagraph"/>
        <w:numPr>
          <w:ilvl w:val="0"/>
          <w:numId w:val="10"/>
        </w:numPr>
        <w:tabs>
          <w:tab w:val="left" w:pos="1440"/>
        </w:tabs>
        <w:autoSpaceDE w:val="0"/>
        <w:autoSpaceDN w:val="0"/>
        <w:adjustRightInd w:val="0"/>
        <w:spacing w:line="240" w:lineRule="auto"/>
      </w:pPr>
      <w:r w:rsidRPr="00F53DB4">
        <w:t>Severe Storms with High Winds</w:t>
      </w:r>
    </w:p>
    <w:p w:rsidR="00504FA6" w:rsidRDefault="00504FA6" w:rsidP="00504FA6">
      <w:pPr>
        <w:pStyle w:val="ListParagraph"/>
        <w:tabs>
          <w:tab w:val="left" w:pos="1440"/>
        </w:tabs>
        <w:autoSpaceDE w:val="0"/>
        <w:autoSpaceDN w:val="0"/>
        <w:adjustRightInd w:val="0"/>
        <w:spacing w:line="240" w:lineRule="auto"/>
        <w:ind w:left="1080"/>
      </w:pPr>
    </w:p>
    <w:p w:rsidR="00504FA6" w:rsidRPr="00F53DB4" w:rsidRDefault="00504FA6" w:rsidP="00504FA6">
      <w:pPr>
        <w:pStyle w:val="ListParagraph"/>
        <w:tabs>
          <w:tab w:val="left" w:pos="1440"/>
        </w:tabs>
        <w:autoSpaceDE w:val="0"/>
        <w:autoSpaceDN w:val="0"/>
        <w:adjustRightInd w:val="0"/>
        <w:spacing w:line="240" w:lineRule="auto"/>
        <w:ind w:left="1080"/>
      </w:pPr>
      <w:r w:rsidRPr="00F53DB4">
        <w:t>FLEX equipment is stored in either:</w:t>
      </w:r>
    </w:p>
    <w:p w:rsidR="00504FA6" w:rsidRPr="00F53DB4" w:rsidRDefault="00504FA6" w:rsidP="00504FA6">
      <w:pPr>
        <w:pStyle w:val="ListParagraph"/>
        <w:autoSpaceDE w:val="0"/>
        <w:autoSpaceDN w:val="0"/>
        <w:adjustRightInd w:val="0"/>
        <w:spacing w:line="240" w:lineRule="auto"/>
        <w:ind w:left="1440"/>
      </w:pPr>
    </w:p>
    <w:p w:rsidR="00B83E85" w:rsidRDefault="00357428" w:rsidP="00B64A27">
      <w:pPr>
        <w:pStyle w:val="ListParagraph"/>
        <w:numPr>
          <w:ilvl w:val="0"/>
          <w:numId w:val="27"/>
        </w:numPr>
        <w:tabs>
          <w:tab w:val="left" w:pos="1800"/>
        </w:tabs>
        <w:autoSpaceDE w:val="0"/>
        <w:autoSpaceDN w:val="0"/>
        <w:adjustRightInd w:val="0"/>
        <w:spacing w:line="240" w:lineRule="auto"/>
      </w:pPr>
      <w:r>
        <w:t>A</w:t>
      </w:r>
      <w:r w:rsidR="00504FA6" w:rsidRPr="00F53DB4">
        <w:t xml:space="preserve"> structure that meets the plant’s design basis for high wind hazards (e.g., existing safety-related structure)</w:t>
      </w:r>
    </w:p>
    <w:p w:rsidR="00EB742C" w:rsidRDefault="00EB742C" w:rsidP="00EB742C">
      <w:pPr>
        <w:tabs>
          <w:tab w:val="left" w:pos="1800"/>
        </w:tabs>
        <w:autoSpaceDE w:val="0"/>
        <w:autoSpaceDN w:val="0"/>
        <w:adjustRightInd w:val="0"/>
        <w:spacing w:line="240" w:lineRule="auto"/>
        <w:ind w:left="1080"/>
      </w:pPr>
    </w:p>
    <w:p w:rsidR="00B64A27" w:rsidRDefault="00357428" w:rsidP="00EB742C">
      <w:pPr>
        <w:pStyle w:val="ListParagraph"/>
        <w:numPr>
          <w:ilvl w:val="0"/>
          <w:numId w:val="27"/>
        </w:numPr>
        <w:tabs>
          <w:tab w:val="left" w:pos="1800"/>
        </w:tabs>
        <w:autoSpaceDE w:val="0"/>
        <w:autoSpaceDN w:val="0"/>
        <w:adjustRightInd w:val="0"/>
        <w:spacing w:line="240" w:lineRule="auto"/>
      </w:pPr>
      <w:r>
        <w:t>S</w:t>
      </w:r>
      <w:r w:rsidR="00504FA6" w:rsidRPr="00F53DB4">
        <w:t xml:space="preserve">torage locations designed to or evaluated equivalent to ASCE 7-10, </w:t>
      </w:r>
      <w:r w:rsidR="00504FA6" w:rsidRPr="00B83E85">
        <w:rPr>
          <w:i/>
          <w:iCs/>
        </w:rPr>
        <w:t xml:space="preserve">Minimum Design Loads for Buildings and Other Structures </w:t>
      </w:r>
      <w:r w:rsidR="00504FA6">
        <w:t xml:space="preserve">given the </w:t>
      </w:r>
      <w:r w:rsidR="00504FA6" w:rsidRPr="00F53DB4">
        <w:t>limiting tornado wind speeds from Regulatory Guide 1.76 or design basis hurricane wind speeds for the site</w:t>
      </w:r>
      <w:r w:rsidR="00B64A27">
        <w:t>.</w:t>
      </w:r>
    </w:p>
    <w:p w:rsidR="00C26DD5" w:rsidRDefault="00C26DD5" w:rsidP="00C26DD5">
      <w:pPr>
        <w:pStyle w:val="ListParagraph"/>
      </w:pPr>
    </w:p>
    <w:p w:rsidR="002F2EE8" w:rsidRDefault="00C26DD5" w:rsidP="002F2EE8">
      <w:pPr>
        <w:pStyle w:val="ListParagraph"/>
        <w:numPr>
          <w:ilvl w:val="0"/>
          <w:numId w:val="27"/>
        </w:numPr>
        <w:tabs>
          <w:tab w:val="left" w:pos="1800"/>
        </w:tabs>
        <w:autoSpaceDE w:val="0"/>
        <w:autoSpaceDN w:val="0"/>
        <w:adjustRightInd w:val="0"/>
        <w:spacing w:line="240" w:lineRule="auto"/>
      </w:pPr>
      <w:r>
        <w:t xml:space="preserve">Pathways </w:t>
      </w:r>
      <w:r w:rsidR="00146DB5">
        <w:t xml:space="preserve">(i.e., from onsite storage areas to final deployment locations) </w:t>
      </w:r>
      <w:r>
        <w:t>are designated and evaluated for post storm accessibility for staging and connecting FLEX equipment.</w:t>
      </w:r>
      <w:r w:rsidR="002F2EE8">
        <w:t xml:space="preserve">  Additionally, licensee has verified that staged tools used to connect FLEX equipment are </w:t>
      </w:r>
      <w:proofErr w:type="gramStart"/>
      <w:r w:rsidR="002F2EE8">
        <w:t>acceptable/compatible</w:t>
      </w:r>
      <w:proofErr w:type="gramEnd"/>
      <w:r w:rsidR="002F2EE8">
        <w:t xml:space="preserve"> with the connections used</w:t>
      </w:r>
      <w:r w:rsidR="004D6862">
        <w:t>.</w:t>
      </w:r>
    </w:p>
    <w:p w:rsidR="00B64A27" w:rsidRPr="002F2EE8" w:rsidRDefault="00B64A27" w:rsidP="002F2EE8">
      <w:pPr>
        <w:rPr>
          <w:rFonts w:ascii="TimesNewRomanPSMT" w:hAnsi="TimesNewRomanPSMT" w:cs="TimesNewRomanPSMT"/>
          <w:sz w:val="24"/>
          <w:szCs w:val="24"/>
        </w:rPr>
      </w:pPr>
    </w:p>
    <w:p w:rsidR="00B64A27" w:rsidRPr="00B64A27" w:rsidRDefault="00357428" w:rsidP="00B64A27">
      <w:pPr>
        <w:pStyle w:val="ListParagraph"/>
        <w:numPr>
          <w:ilvl w:val="0"/>
          <w:numId w:val="27"/>
        </w:numPr>
        <w:tabs>
          <w:tab w:val="left" w:pos="1800"/>
        </w:tabs>
        <w:autoSpaceDE w:val="0"/>
        <w:autoSpaceDN w:val="0"/>
        <w:adjustRightInd w:val="0"/>
        <w:spacing w:line="240" w:lineRule="auto"/>
      </w:pPr>
      <w:r>
        <w:t>E</w:t>
      </w:r>
      <w:r w:rsidR="00B64A27" w:rsidRPr="00B64A27">
        <w:t xml:space="preserve">valuated storage locations </w:t>
      </w:r>
      <w:r w:rsidR="00CB4264">
        <w:t xml:space="preserve">are </w:t>
      </w:r>
      <w:r w:rsidR="00B64A27" w:rsidRPr="00B64A27">
        <w:t>separated by a sufficient distance</w:t>
      </w:r>
      <w:r w:rsidR="00093F58">
        <w:t xml:space="preserve"> (specified in the SE or the licensee</w:t>
      </w:r>
      <w:r w:rsidR="00CB4264">
        <w:t>’</w:t>
      </w:r>
      <w:r w:rsidR="00093F58">
        <w:t>s Final Integrated Plan)</w:t>
      </w:r>
      <w:r w:rsidR="00B64A27" w:rsidRPr="00B64A27">
        <w:t xml:space="preserve"> that minimizes</w:t>
      </w:r>
      <w:r w:rsidR="00B64A27">
        <w:t xml:space="preserve"> </w:t>
      </w:r>
      <w:r w:rsidR="00B64A27" w:rsidRPr="00B64A27">
        <w:t>the probability that a single event would damage all FLEX mitigation equipment</w:t>
      </w:r>
      <w:r w:rsidR="00B64A27">
        <w:t xml:space="preserve"> </w:t>
      </w:r>
      <w:r w:rsidR="00B64A27" w:rsidRPr="00B64A27">
        <w:t xml:space="preserve">such that at least N sets of FLEX equipment </w:t>
      </w:r>
      <w:r w:rsidR="00252E49">
        <w:t xml:space="preserve">(see paragraph 10.1 of NEI 12-06 guidance document for additional discussion on N+1 and N sets of portable on-site equipment) </w:t>
      </w:r>
      <w:r w:rsidR="00B64A27" w:rsidRPr="00B64A27">
        <w:t>would remain deployable following</w:t>
      </w:r>
      <w:r w:rsidR="00B64A27">
        <w:t xml:space="preserve"> </w:t>
      </w:r>
      <w:r w:rsidR="00B64A27" w:rsidRPr="00B64A27">
        <w:t xml:space="preserve">the high wind event. </w:t>
      </w:r>
      <w:r w:rsidR="00804C6E">
        <w:t xml:space="preserve"> </w:t>
      </w:r>
      <w:r w:rsidR="00B64A27" w:rsidRPr="00B64A27">
        <w:t>(This option is not applicable for hurricane conditions).</w:t>
      </w:r>
    </w:p>
    <w:p w:rsidR="00B64A27" w:rsidRDefault="00B64A27" w:rsidP="00B64A27">
      <w:pPr>
        <w:pStyle w:val="ListParagraph"/>
        <w:spacing w:line="240" w:lineRule="auto"/>
        <w:ind w:left="1080"/>
      </w:pPr>
    </w:p>
    <w:p w:rsidR="007647F7" w:rsidRPr="001044DF" w:rsidRDefault="007647F7" w:rsidP="00B64A27">
      <w:pPr>
        <w:pStyle w:val="ListParagraph"/>
        <w:numPr>
          <w:ilvl w:val="0"/>
          <w:numId w:val="10"/>
        </w:numPr>
        <w:tabs>
          <w:tab w:val="left" w:pos="720"/>
        </w:tabs>
        <w:spacing w:line="240" w:lineRule="auto"/>
      </w:pPr>
      <w:r w:rsidRPr="001044DF">
        <w:t xml:space="preserve">Snow, Ice and </w:t>
      </w:r>
      <w:r w:rsidR="007E1FBF">
        <w:t xml:space="preserve">Extreme </w:t>
      </w:r>
      <w:r w:rsidRPr="001044DF">
        <w:t>Cold</w:t>
      </w:r>
    </w:p>
    <w:p w:rsidR="007647F7" w:rsidRPr="001044DF" w:rsidRDefault="007647F7" w:rsidP="007647F7">
      <w:pPr>
        <w:spacing w:line="240" w:lineRule="auto"/>
      </w:pPr>
    </w:p>
    <w:p w:rsidR="001044DF" w:rsidRPr="00337692" w:rsidRDefault="001044DF" w:rsidP="001044DF">
      <w:pPr>
        <w:pStyle w:val="ListParagraph"/>
        <w:numPr>
          <w:ilvl w:val="0"/>
          <w:numId w:val="23"/>
        </w:numPr>
        <w:autoSpaceDE w:val="0"/>
        <w:autoSpaceDN w:val="0"/>
        <w:adjustRightInd w:val="0"/>
        <w:spacing w:line="240" w:lineRule="auto"/>
      </w:pPr>
      <w:r w:rsidRPr="00337692">
        <w:t>FLEX equipment is stored in one of two configurations:</w:t>
      </w:r>
    </w:p>
    <w:p w:rsidR="001044DF" w:rsidRPr="00337692" w:rsidRDefault="001044DF" w:rsidP="001044DF">
      <w:pPr>
        <w:pStyle w:val="ListParagraph"/>
        <w:autoSpaceDE w:val="0"/>
        <w:autoSpaceDN w:val="0"/>
        <w:adjustRightInd w:val="0"/>
        <w:spacing w:line="240" w:lineRule="auto"/>
        <w:ind w:left="1440"/>
      </w:pPr>
    </w:p>
    <w:p w:rsidR="007647F7" w:rsidRPr="00337692" w:rsidRDefault="001044DF" w:rsidP="001044DF">
      <w:pPr>
        <w:pStyle w:val="ListParagraph"/>
        <w:numPr>
          <w:ilvl w:val="0"/>
          <w:numId w:val="25"/>
        </w:numPr>
        <w:autoSpaceDE w:val="0"/>
        <w:autoSpaceDN w:val="0"/>
        <w:adjustRightInd w:val="0"/>
        <w:spacing w:line="240" w:lineRule="auto"/>
        <w:ind w:left="1800"/>
      </w:pPr>
      <w:r w:rsidRPr="00337692">
        <w:t>In a structure that meets the plant’s design basis for the snow, ice and cold conditions (e.g., existing safety-related structure).</w:t>
      </w:r>
    </w:p>
    <w:p w:rsidR="00792887" w:rsidRPr="00337692" w:rsidRDefault="00792887" w:rsidP="00792887">
      <w:pPr>
        <w:pStyle w:val="ListParagraph"/>
        <w:autoSpaceDE w:val="0"/>
        <w:autoSpaceDN w:val="0"/>
        <w:adjustRightInd w:val="0"/>
        <w:spacing w:line="240" w:lineRule="auto"/>
        <w:ind w:left="1800"/>
      </w:pPr>
    </w:p>
    <w:p w:rsidR="006F10DF" w:rsidRDefault="00792887" w:rsidP="00792887">
      <w:pPr>
        <w:pStyle w:val="ListParagraph"/>
        <w:numPr>
          <w:ilvl w:val="0"/>
          <w:numId w:val="25"/>
        </w:numPr>
        <w:autoSpaceDE w:val="0"/>
        <w:autoSpaceDN w:val="0"/>
        <w:adjustRightInd w:val="0"/>
        <w:spacing w:line="240" w:lineRule="auto"/>
        <w:ind w:left="1800"/>
        <w:sectPr w:rsidR="006F10DF" w:rsidSect="00994188">
          <w:pgSz w:w="12240" w:h="15840"/>
          <w:pgMar w:top="1440" w:right="1440" w:bottom="1440" w:left="1440" w:header="1440" w:footer="1440" w:gutter="0"/>
          <w:pgNumType w:chapStyle="1"/>
          <w:cols w:space="720"/>
          <w:docGrid w:linePitch="360"/>
        </w:sectPr>
      </w:pPr>
      <w:r w:rsidRPr="00337692">
        <w:t xml:space="preserve">In a structure designed to or evaluated equivalent to ASCE 7-10, </w:t>
      </w:r>
      <w:r w:rsidRPr="0010273F">
        <w:rPr>
          <w:i/>
        </w:rPr>
        <w:t>Minimum Design Loads for Buildings and Other Structures</w:t>
      </w:r>
      <w:r w:rsidRPr="00337692">
        <w:t xml:space="preserve"> for the snow, ice, and cold conditions from the site’s design basis.</w:t>
      </w:r>
    </w:p>
    <w:p w:rsidR="007E1FBF" w:rsidRDefault="00337692" w:rsidP="007E1FBF">
      <w:pPr>
        <w:pStyle w:val="ListParagraph"/>
        <w:numPr>
          <w:ilvl w:val="0"/>
          <w:numId w:val="23"/>
        </w:numPr>
        <w:autoSpaceDE w:val="0"/>
        <w:autoSpaceDN w:val="0"/>
        <w:adjustRightInd w:val="0"/>
        <w:spacing w:line="240" w:lineRule="auto"/>
      </w:pPr>
      <w:r w:rsidRPr="00337692">
        <w:lastRenderedPageBreak/>
        <w:t xml:space="preserve">FLEX equipment is maintained at a temperature within a range to ensure </w:t>
      </w:r>
      <w:r>
        <w:t xml:space="preserve">that it will </w:t>
      </w:r>
      <w:r w:rsidRPr="00337692">
        <w:t xml:space="preserve">function when called upon. </w:t>
      </w:r>
      <w:r w:rsidR="00804C6E">
        <w:t xml:space="preserve"> </w:t>
      </w:r>
      <w:r w:rsidRPr="00337692">
        <w:t xml:space="preserve">For example, </w:t>
      </w:r>
      <w:r w:rsidR="001871B7">
        <w:t xml:space="preserve">the equipment is protected </w:t>
      </w:r>
      <w:r w:rsidRPr="00337692">
        <w:t>by storage in a heated enclosure or by direct heating</w:t>
      </w:r>
      <w:r>
        <w:t>.</w:t>
      </w:r>
    </w:p>
    <w:p w:rsidR="007E1FBF" w:rsidRDefault="007E1FBF" w:rsidP="007E1FBF">
      <w:pPr>
        <w:pStyle w:val="ListParagraph"/>
        <w:autoSpaceDE w:val="0"/>
        <w:autoSpaceDN w:val="0"/>
        <w:adjustRightInd w:val="0"/>
        <w:spacing w:line="240" w:lineRule="auto"/>
        <w:ind w:left="1440"/>
      </w:pPr>
    </w:p>
    <w:p w:rsidR="007E1FBF" w:rsidRDefault="007B6D28" w:rsidP="007E1FBF">
      <w:pPr>
        <w:pStyle w:val="ListParagraph"/>
        <w:numPr>
          <w:ilvl w:val="0"/>
          <w:numId w:val="23"/>
        </w:numPr>
        <w:autoSpaceDE w:val="0"/>
        <w:autoSpaceDN w:val="0"/>
        <w:adjustRightInd w:val="0"/>
        <w:spacing w:line="240" w:lineRule="auto"/>
      </w:pPr>
      <w:r w:rsidRPr="00F53DB4">
        <w:t xml:space="preserve">FLEX equipment was procured to function in the </w:t>
      </w:r>
      <w:r w:rsidR="002A66E2" w:rsidRPr="00F53DB4">
        <w:t>extreme</w:t>
      </w:r>
      <w:r w:rsidRPr="00F53DB4">
        <w:t xml:space="preserve"> </w:t>
      </w:r>
      <w:r w:rsidR="00A2433F">
        <w:t xml:space="preserve">snowfall and ice storm </w:t>
      </w:r>
      <w:r w:rsidR="002A66E2" w:rsidRPr="00F53DB4">
        <w:t>conditions</w:t>
      </w:r>
      <w:r w:rsidRPr="00F53DB4">
        <w:t xml:space="preserve"> applicable to the site.</w:t>
      </w:r>
      <w:r w:rsidR="007C061E">
        <w:t xml:space="preserve">  </w:t>
      </w:r>
      <w:r w:rsidRPr="00F53DB4">
        <w:t xml:space="preserve">FLEX equipment can be </w:t>
      </w:r>
      <w:r w:rsidR="00D8499C">
        <w:t xml:space="preserve">moved </w:t>
      </w:r>
      <w:r w:rsidRPr="00F53DB4">
        <w:t xml:space="preserve">from the storage to its deployment location </w:t>
      </w:r>
      <w:r w:rsidR="002A66E2" w:rsidRPr="00F53DB4">
        <w:t>during</w:t>
      </w:r>
      <w:r w:rsidRPr="00F53DB4">
        <w:t xml:space="preserve"> extreme snowfall and ice storms</w:t>
      </w:r>
      <w:r w:rsidR="001871B7">
        <w:t>.</w:t>
      </w:r>
    </w:p>
    <w:p w:rsidR="007E1FBF" w:rsidRDefault="007E1FBF" w:rsidP="007E1FBF">
      <w:pPr>
        <w:pStyle w:val="ListParagraph"/>
      </w:pPr>
    </w:p>
    <w:p w:rsidR="00AB409E" w:rsidRPr="00F53DB4" w:rsidRDefault="007B6D28" w:rsidP="007E1FBF">
      <w:pPr>
        <w:pStyle w:val="ListParagraph"/>
        <w:numPr>
          <w:ilvl w:val="0"/>
          <w:numId w:val="23"/>
        </w:numPr>
        <w:autoSpaceDE w:val="0"/>
        <w:autoSpaceDN w:val="0"/>
        <w:adjustRightInd w:val="0"/>
        <w:spacing w:line="240" w:lineRule="auto"/>
      </w:pPr>
      <w:r w:rsidRPr="00F53DB4">
        <w:t xml:space="preserve">Licensee has evaluated the loss of UHS and its impact on </w:t>
      </w:r>
      <w:r w:rsidR="00D8499C">
        <w:t xml:space="preserve">room/equipment cooling for </w:t>
      </w:r>
      <w:r w:rsidRPr="00F53DB4">
        <w:t>the deployment of the FLEX equipment</w:t>
      </w:r>
      <w:r w:rsidR="0065482C">
        <w:t xml:space="preserve"> for sites at which the UHS and flow path may be affected by extreme low temperatures due to ice blockage or formation of frazil ice.</w:t>
      </w:r>
    </w:p>
    <w:p w:rsidR="00BE5C86" w:rsidRPr="00F53DB4" w:rsidRDefault="00BE5C86" w:rsidP="00BE5C86">
      <w:pPr>
        <w:pStyle w:val="ListParagraph"/>
        <w:tabs>
          <w:tab w:val="left" w:pos="1440"/>
        </w:tabs>
        <w:autoSpaceDE w:val="0"/>
        <w:autoSpaceDN w:val="0"/>
        <w:adjustRightInd w:val="0"/>
        <w:spacing w:line="240" w:lineRule="auto"/>
        <w:ind w:left="1440"/>
      </w:pPr>
    </w:p>
    <w:p w:rsidR="0065482C" w:rsidRDefault="00345AEA" w:rsidP="0065482C">
      <w:pPr>
        <w:pStyle w:val="ListParagraph"/>
        <w:numPr>
          <w:ilvl w:val="0"/>
          <w:numId w:val="10"/>
        </w:numPr>
        <w:tabs>
          <w:tab w:val="left" w:pos="1440"/>
        </w:tabs>
        <w:autoSpaceDE w:val="0"/>
        <w:autoSpaceDN w:val="0"/>
        <w:adjustRightInd w:val="0"/>
        <w:spacing w:line="240" w:lineRule="auto"/>
      </w:pPr>
      <w:r>
        <w:t xml:space="preserve">Extreme </w:t>
      </w:r>
      <w:r w:rsidR="00BE5C86" w:rsidRPr="00F53DB4">
        <w:t>High Temperatures</w:t>
      </w:r>
    </w:p>
    <w:p w:rsidR="0065482C" w:rsidRDefault="0065482C" w:rsidP="0065482C">
      <w:pPr>
        <w:pStyle w:val="ListParagraph"/>
        <w:tabs>
          <w:tab w:val="left" w:pos="1440"/>
        </w:tabs>
        <w:autoSpaceDE w:val="0"/>
        <w:autoSpaceDN w:val="0"/>
        <w:adjustRightInd w:val="0"/>
        <w:spacing w:line="240" w:lineRule="auto"/>
        <w:ind w:left="1080"/>
      </w:pPr>
    </w:p>
    <w:p w:rsidR="00DB11E9" w:rsidRDefault="00E37A8D" w:rsidP="00E37A8D">
      <w:pPr>
        <w:tabs>
          <w:tab w:val="left" w:pos="1080"/>
          <w:tab w:val="left" w:pos="1440"/>
        </w:tabs>
        <w:autoSpaceDE w:val="0"/>
        <w:autoSpaceDN w:val="0"/>
        <w:adjustRightInd w:val="0"/>
        <w:spacing w:line="240" w:lineRule="auto"/>
      </w:pPr>
      <w:r>
        <w:tab/>
      </w:r>
      <w:r w:rsidR="00DB11E9" w:rsidRPr="00F53DB4">
        <w:t>Expected high temperature is within the FLEX equipment design temperature range</w:t>
      </w:r>
      <w:r w:rsidR="00BB7F07">
        <w:t>.</w:t>
      </w:r>
    </w:p>
    <w:p w:rsidR="002A5EEE" w:rsidRDefault="002A5EEE" w:rsidP="001871B7">
      <w:pPr>
        <w:tabs>
          <w:tab w:val="left" w:pos="1440"/>
        </w:tabs>
        <w:autoSpaceDE w:val="0"/>
        <w:autoSpaceDN w:val="0"/>
        <w:adjustRightInd w:val="0"/>
        <w:spacing w:line="240" w:lineRule="auto"/>
      </w:pPr>
    </w:p>
    <w:p w:rsidR="00396D9A" w:rsidRPr="00F53DB4" w:rsidRDefault="007C2737" w:rsidP="00C97271">
      <w:pPr>
        <w:pStyle w:val="ListParagraph"/>
        <w:numPr>
          <w:ilvl w:val="1"/>
          <w:numId w:val="3"/>
        </w:numPr>
        <w:tabs>
          <w:tab w:val="left" w:pos="1440"/>
        </w:tabs>
        <w:autoSpaceDE w:val="0"/>
        <w:autoSpaceDN w:val="0"/>
        <w:adjustRightInd w:val="0"/>
        <w:spacing w:line="240" w:lineRule="auto"/>
        <w:ind w:left="720"/>
      </w:pPr>
      <w:r w:rsidRPr="00F53DB4">
        <w:t>Maintenance and Testing</w:t>
      </w:r>
    </w:p>
    <w:p w:rsidR="00396D9A" w:rsidRPr="00F53DB4" w:rsidRDefault="00396D9A" w:rsidP="00396D9A">
      <w:pPr>
        <w:pStyle w:val="ListParagraph"/>
        <w:tabs>
          <w:tab w:val="left" w:pos="1440"/>
        </w:tabs>
        <w:autoSpaceDE w:val="0"/>
        <w:autoSpaceDN w:val="0"/>
        <w:adjustRightInd w:val="0"/>
        <w:spacing w:line="240" w:lineRule="auto"/>
      </w:pPr>
    </w:p>
    <w:p w:rsidR="007C2737" w:rsidRDefault="00CB38D6" w:rsidP="00396D9A">
      <w:pPr>
        <w:pStyle w:val="ListParagraph"/>
        <w:tabs>
          <w:tab w:val="left" w:pos="1440"/>
        </w:tabs>
        <w:autoSpaceDE w:val="0"/>
        <w:autoSpaceDN w:val="0"/>
        <w:adjustRightInd w:val="0"/>
        <w:spacing w:line="240" w:lineRule="auto"/>
      </w:pPr>
      <w:r>
        <w:t>For equipment that directly performs a FLEX mitigation strategy for the core, containment, or SFP, v</w:t>
      </w:r>
      <w:r w:rsidR="0065482C">
        <w:t xml:space="preserve">erify the </w:t>
      </w:r>
      <w:r w:rsidR="00CB4264">
        <w:t>following</w:t>
      </w:r>
      <w:r w:rsidR="0065482C">
        <w:t>, as applicable</w:t>
      </w:r>
      <w:r w:rsidR="009456E8">
        <w:t>:</w:t>
      </w:r>
      <w:r w:rsidR="00545F41" w:rsidDel="00545F41">
        <w:t xml:space="preserve"> </w:t>
      </w:r>
    </w:p>
    <w:p w:rsidR="00545F41" w:rsidRPr="00F53DB4" w:rsidRDefault="00545F41" w:rsidP="00396D9A">
      <w:pPr>
        <w:pStyle w:val="ListParagraph"/>
        <w:tabs>
          <w:tab w:val="left" w:pos="1440"/>
        </w:tabs>
        <w:autoSpaceDE w:val="0"/>
        <w:autoSpaceDN w:val="0"/>
        <w:adjustRightInd w:val="0"/>
        <w:spacing w:line="240" w:lineRule="auto"/>
      </w:pPr>
    </w:p>
    <w:p w:rsidR="007C2737" w:rsidRPr="00F53DB4" w:rsidRDefault="007C2737" w:rsidP="00545F41">
      <w:pPr>
        <w:pStyle w:val="ListParagraph"/>
        <w:numPr>
          <w:ilvl w:val="0"/>
          <w:numId w:val="17"/>
        </w:numPr>
        <w:autoSpaceDE w:val="0"/>
        <w:autoSpaceDN w:val="0"/>
        <w:adjustRightInd w:val="0"/>
        <w:spacing w:line="240" w:lineRule="auto"/>
      </w:pPr>
      <w:r w:rsidRPr="00F53DB4">
        <w:t xml:space="preserve">Licensee has verified that the equipment </w:t>
      </w:r>
      <w:r w:rsidR="004839F4">
        <w:t xml:space="preserve">(including electrical cables) </w:t>
      </w:r>
      <w:r w:rsidRPr="00F53DB4">
        <w:t xml:space="preserve">was tested or the licensee </w:t>
      </w:r>
      <w:r w:rsidRPr="004839F4">
        <w:t xml:space="preserve">has </w:t>
      </w:r>
      <w:r w:rsidR="00BC5088" w:rsidRPr="007F51DE">
        <w:t>other means</w:t>
      </w:r>
      <w:r w:rsidRPr="00F53DB4">
        <w:t xml:space="preserve"> available to verify that </w:t>
      </w:r>
      <w:r w:rsidR="00CB38D6">
        <w:t>it</w:t>
      </w:r>
      <w:r w:rsidRPr="00F53DB4">
        <w:t xml:space="preserve"> can perform its required function.</w:t>
      </w:r>
    </w:p>
    <w:p w:rsidR="007C2737" w:rsidRPr="00F53DB4" w:rsidRDefault="007C2737" w:rsidP="007C2737">
      <w:pPr>
        <w:pStyle w:val="ListParagraph"/>
        <w:autoSpaceDE w:val="0"/>
        <w:autoSpaceDN w:val="0"/>
        <w:adjustRightInd w:val="0"/>
        <w:spacing w:line="240" w:lineRule="auto"/>
        <w:ind w:left="1080"/>
      </w:pPr>
    </w:p>
    <w:p w:rsidR="007C2737" w:rsidRPr="00F53DB4" w:rsidRDefault="007C2737" w:rsidP="00C97271">
      <w:pPr>
        <w:pStyle w:val="ListParagraph"/>
        <w:numPr>
          <w:ilvl w:val="0"/>
          <w:numId w:val="17"/>
        </w:numPr>
        <w:autoSpaceDE w:val="0"/>
        <w:autoSpaceDN w:val="0"/>
        <w:adjustRightInd w:val="0"/>
        <w:spacing w:line="240" w:lineRule="auto"/>
      </w:pPr>
      <w:r w:rsidRPr="00F53DB4">
        <w:t xml:space="preserve">Portable equipment is </w:t>
      </w:r>
      <w:r w:rsidR="00D8499C">
        <w:t xml:space="preserve">maintained and tested in accordance with </w:t>
      </w:r>
      <w:r w:rsidRPr="00F53DB4">
        <w:t>guidance provided in industry’s Equipment Reliability Process</w:t>
      </w:r>
      <w:r w:rsidR="00D8499C">
        <w:t xml:space="preserve"> (</w:t>
      </w:r>
      <w:r w:rsidR="007268CE">
        <w:t>e.g</w:t>
      </w:r>
      <w:r w:rsidR="007268CE" w:rsidRPr="007268CE">
        <w:t>., Institute of Nuclear Power Operations' (INPO's) AP-913</w:t>
      </w:r>
      <w:r w:rsidR="007268CE">
        <w:t xml:space="preserve">, Equipment Reliability Process </w:t>
      </w:r>
      <w:r w:rsidR="00D8499C" w:rsidRPr="007268CE">
        <w:t>or an acceptable alternative, as described in the plant specific SE)</w:t>
      </w:r>
      <w:r w:rsidRPr="007268CE">
        <w:t>, to verify proper function.</w:t>
      </w:r>
    </w:p>
    <w:p w:rsidR="00EA547E" w:rsidRPr="00F53DB4" w:rsidRDefault="00EA547E" w:rsidP="00EA547E">
      <w:pPr>
        <w:pStyle w:val="ListParagraph"/>
      </w:pPr>
    </w:p>
    <w:p w:rsidR="00EA547E" w:rsidRPr="00F53DB4" w:rsidRDefault="006C395E" w:rsidP="00C97271">
      <w:pPr>
        <w:pStyle w:val="ListParagraph"/>
        <w:numPr>
          <w:ilvl w:val="0"/>
          <w:numId w:val="17"/>
        </w:numPr>
        <w:autoSpaceDE w:val="0"/>
        <w:autoSpaceDN w:val="0"/>
        <w:adjustRightInd w:val="0"/>
        <w:spacing w:line="240" w:lineRule="auto"/>
      </w:pPr>
      <w:r>
        <w:t>Licensee has programmatic controls in place to ensure that i</w:t>
      </w:r>
      <w:r w:rsidR="00D8499C">
        <w:t xml:space="preserve">f </w:t>
      </w:r>
      <w:r w:rsidR="00EA547E" w:rsidRPr="00F53DB4">
        <w:t xml:space="preserve">equipment and applicable connections </w:t>
      </w:r>
      <w:r w:rsidR="00BC5088">
        <w:t xml:space="preserve">are </w:t>
      </w:r>
      <w:r w:rsidR="00D8499C">
        <w:t xml:space="preserve">unavailable (e.g., due to maintenance), </w:t>
      </w:r>
      <w:r w:rsidR="00BF46C6">
        <w:t>the licensee</w:t>
      </w:r>
      <w:r w:rsidR="00E7309B">
        <w:t xml:space="preserve"> implements compensatory measures</w:t>
      </w:r>
      <w:r w:rsidR="00BB7F07">
        <w:t xml:space="preserve"> in accordance with guidance outlined in section 11.5 of NEI 12-06</w:t>
      </w:r>
      <w:r w:rsidR="001871B7">
        <w:t>,</w:t>
      </w:r>
      <w:r w:rsidR="00D8499C">
        <w:t xml:space="preserve"> such </w:t>
      </w:r>
      <w:r w:rsidR="00EA547E" w:rsidRPr="00F53DB4">
        <w:t>that risk to mitigating strategy capability is minimized.</w:t>
      </w:r>
    </w:p>
    <w:p w:rsidR="001872CA" w:rsidRPr="00F53DB4" w:rsidRDefault="001872CA" w:rsidP="001872CA">
      <w:pPr>
        <w:pStyle w:val="ListParagraph"/>
      </w:pPr>
    </w:p>
    <w:p w:rsidR="001872CA" w:rsidRPr="00F53DB4" w:rsidRDefault="001872CA" w:rsidP="00C97271">
      <w:pPr>
        <w:pStyle w:val="ListParagraph"/>
        <w:numPr>
          <w:ilvl w:val="1"/>
          <w:numId w:val="3"/>
        </w:numPr>
        <w:autoSpaceDE w:val="0"/>
        <w:autoSpaceDN w:val="0"/>
        <w:adjustRightInd w:val="0"/>
        <w:spacing w:line="240" w:lineRule="auto"/>
        <w:ind w:left="720"/>
      </w:pPr>
      <w:r w:rsidRPr="00F53DB4">
        <w:t>Training</w:t>
      </w:r>
    </w:p>
    <w:p w:rsidR="00396D9A" w:rsidRPr="00F53DB4" w:rsidRDefault="00396D9A" w:rsidP="00396D9A">
      <w:pPr>
        <w:pStyle w:val="ListParagraph"/>
        <w:autoSpaceDE w:val="0"/>
        <w:autoSpaceDN w:val="0"/>
        <w:adjustRightInd w:val="0"/>
        <w:spacing w:line="240" w:lineRule="auto"/>
        <w:ind w:left="1080"/>
      </w:pPr>
    </w:p>
    <w:p w:rsidR="00396D9A" w:rsidRPr="00F53DB4" w:rsidRDefault="003057CB" w:rsidP="003057CB">
      <w:pPr>
        <w:pStyle w:val="ListParagraph"/>
        <w:tabs>
          <w:tab w:val="left" w:pos="720"/>
        </w:tabs>
        <w:autoSpaceDE w:val="0"/>
        <w:autoSpaceDN w:val="0"/>
        <w:adjustRightInd w:val="0"/>
        <w:spacing w:line="240" w:lineRule="auto"/>
      </w:pPr>
      <w:r>
        <w:t xml:space="preserve">Verify the </w:t>
      </w:r>
      <w:r w:rsidR="00CB4264">
        <w:t>following</w:t>
      </w:r>
      <w:r>
        <w:t xml:space="preserve">: </w:t>
      </w:r>
      <w:r w:rsidRPr="00F53DB4">
        <w:t xml:space="preserve">  </w:t>
      </w:r>
    </w:p>
    <w:p w:rsidR="001872CA" w:rsidRPr="00F53DB4" w:rsidRDefault="001872CA" w:rsidP="001872CA">
      <w:pPr>
        <w:autoSpaceDE w:val="0"/>
        <w:autoSpaceDN w:val="0"/>
        <w:adjustRightInd w:val="0"/>
        <w:spacing w:line="240" w:lineRule="auto"/>
      </w:pPr>
    </w:p>
    <w:p w:rsidR="001872CA" w:rsidRPr="00F53DB4" w:rsidRDefault="0069439A" w:rsidP="00C97271">
      <w:pPr>
        <w:pStyle w:val="ListParagraph"/>
        <w:numPr>
          <w:ilvl w:val="0"/>
          <w:numId w:val="18"/>
        </w:numPr>
        <w:autoSpaceDE w:val="0"/>
        <w:autoSpaceDN w:val="0"/>
        <w:adjustRightInd w:val="0"/>
        <w:spacing w:line="240" w:lineRule="auto"/>
      </w:pPr>
      <w:r w:rsidRPr="00F53DB4">
        <w:t xml:space="preserve">Licensee has established </w:t>
      </w:r>
      <w:r w:rsidR="00BF2926">
        <w:t>a training program</w:t>
      </w:r>
      <w:r w:rsidRPr="00F53DB4">
        <w:t xml:space="preserve"> to assure personnel proficiency in the implementation of FLEX strategies and in the use of FLEX mitigation equipment. </w:t>
      </w:r>
    </w:p>
    <w:p w:rsidR="0069439A" w:rsidRPr="00F53DB4" w:rsidRDefault="0069439A" w:rsidP="00BE52E9">
      <w:pPr>
        <w:autoSpaceDE w:val="0"/>
        <w:autoSpaceDN w:val="0"/>
        <w:adjustRightInd w:val="0"/>
        <w:spacing w:line="240" w:lineRule="auto"/>
      </w:pPr>
    </w:p>
    <w:p w:rsidR="006F10DF" w:rsidRDefault="0069439A" w:rsidP="00C97271">
      <w:pPr>
        <w:pStyle w:val="ListParagraph"/>
        <w:numPr>
          <w:ilvl w:val="0"/>
          <w:numId w:val="18"/>
        </w:numPr>
        <w:autoSpaceDE w:val="0"/>
        <w:autoSpaceDN w:val="0"/>
        <w:adjustRightInd w:val="0"/>
        <w:spacing w:line="240" w:lineRule="auto"/>
        <w:sectPr w:rsidR="006F10DF" w:rsidSect="00994188">
          <w:pgSz w:w="12240" w:h="15840"/>
          <w:pgMar w:top="1440" w:right="1440" w:bottom="1440" w:left="1440" w:header="1440" w:footer="1440" w:gutter="0"/>
          <w:pgNumType w:chapStyle="1"/>
          <w:cols w:space="720"/>
          <w:docGrid w:linePitch="360"/>
        </w:sectPr>
      </w:pPr>
      <w:r w:rsidRPr="00F53DB4">
        <w:t xml:space="preserve">Licensee has provided periodic training to </w:t>
      </w:r>
      <w:r w:rsidR="00D8499C">
        <w:t>site emergency response leaders</w:t>
      </w:r>
      <w:r w:rsidRPr="00F53DB4">
        <w:t xml:space="preserve"> on </w:t>
      </w:r>
      <w:r w:rsidR="00D8499C">
        <w:t xml:space="preserve">FLEX </w:t>
      </w:r>
      <w:r w:rsidRPr="00F53DB4">
        <w:t>strategies and implementing guidelines.</w:t>
      </w:r>
    </w:p>
    <w:p w:rsidR="006B0D17" w:rsidRDefault="00FF7B82" w:rsidP="006B0D17">
      <w:pPr>
        <w:pStyle w:val="ListParagraph"/>
        <w:numPr>
          <w:ilvl w:val="0"/>
          <w:numId w:val="18"/>
        </w:numPr>
        <w:autoSpaceDE w:val="0"/>
        <w:autoSpaceDN w:val="0"/>
        <w:adjustRightInd w:val="0"/>
        <w:spacing w:line="240" w:lineRule="auto"/>
      </w:pPr>
      <w:r w:rsidRPr="00F53DB4">
        <w:lastRenderedPageBreak/>
        <w:t>Licensee has provided training to personnel assigned to direct the execution of mitigation strategies for beyond-design basis events to ensure familiarity with the associated tasks considering available job aids, instructions, and mitigating strategy time constraints.</w:t>
      </w:r>
    </w:p>
    <w:p w:rsidR="00CB117A" w:rsidRPr="00F53DB4" w:rsidRDefault="00CB117A" w:rsidP="00CB117A">
      <w:pPr>
        <w:pStyle w:val="ListParagraph"/>
        <w:autoSpaceDE w:val="0"/>
        <w:autoSpaceDN w:val="0"/>
        <w:adjustRightInd w:val="0"/>
        <w:spacing w:line="240" w:lineRule="auto"/>
        <w:ind w:left="1080"/>
      </w:pPr>
    </w:p>
    <w:p w:rsidR="00D35BAA" w:rsidRPr="00F53DB4" w:rsidRDefault="00CC7276" w:rsidP="00C97271">
      <w:pPr>
        <w:pStyle w:val="ListParagraph"/>
        <w:numPr>
          <w:ilvl w:val="1"/>
          <w:numId w:val="3"/>
        </w:numPr>
        <w:autoSpaceDE w:val="0"/>
        <w:autoSpaceDN w:val="0"/>
        <w:adjustRightInd w:val="0"/>
        <w:spacing w:line="240" w:lineRule="auto"/>
        <w:ind w:left="720"/>
      </w:pPr>
      <w:r w:rsidRPr="00F53DB4">
        <w:t>Off-Site Resources</w:t>
      </w:r>
    </w:p>
    <w:p w:rsidR="00CC7276" w:rsidRPr="00F53DB4" w:rsidRDefault="00CC7276" w:rsidP="00CC7276">
      <w:pPr>
        <w:pStyle w:val="ListParagraph"/>
        <w:autoSpaceDE w:val="0"/>
        <w:autoSpaceDN w:val="0"/>
        <w:adjustRightInd w:val="0"/>
        <w:spacing w:line="240" w:lineRule="auto"/>
        <w:ind w:left="1080"/>
      </w:pPr>
    </w:p>
    <w:p w:rsidR="00CB117A" w:rsidRDefault="00CB117A" w:rsidP="00CB117A">
      <w:pPr>
        <w:pStyle w:val="ListParagraph"/>
        <w:tabs>
          <w:tab w:val="left" w:pos="720"/>
        </w:tabs>
        <w:autoSpaceDE w:val="0"/>
        <w:autoSpaceDN w:val="0"/>
        <w:adjustRightInd w:val="0"/>
        <w:spacing w:line="240" w:lineRule="auto"/>
      </w:pPr>
      <w:r>
        <w:t>Verify the</w:t>
      </w:r>
      <w:r w:rsidR="00CB4264">
        <w:t xml:space="preserve"> following</w:t>
      </w:r>
      <w:r>
        <w:t>, as applicable</w:t>
      </w:r>
      <w:r w:rsidR="00CB4264">
        <w:t>:</w:t>
      </w:r>
      <w:r>
        <w:t xml:space="preserve">  </w:t>
      </w:r>
    </w:p>
    <w:p w:rsidR="00CB117A" w:rsidRDefault="00CB117A" w:rsidP="00CB117A">
      <w:pPr>
        <w:pStyle w:val="ListParagraph"/>
        <w:tabs>
          <w:tab w:val="left" w:pos="720"/>
        </w:tabs>
        <w:autoSpaceDE w:val="0"/>
        <w:autoSpaceDN w:val="0"/>
        <w:adjustRightInd w:val="0"/>
        <w:spacing w:line="240" w:lineRule="auto"/>
      </w:pPr>
    </w:p>
    <w:p w:rsidR="00D35BAA" w:rsidRPr="00F53DB4" w:rsidRDefault="00E779DC" w:rsidP="00CB117A">
      <w:pPr>
        <w:pStyle w:val="ListParagraph"/>
        <w:tabs>
          <w:tab w:val="left" w:pos="720"/>
        </w:tabs>
        <w:autoSpaceDE w:val="0"/>
        <w:autoSpaceDN w:val="0"/>
        <w:adjustRightInd w:val="0"/>
        <w:spacing w:line="240" w:lineRule="auto"/>
      </w:pPr>
      <w:r w:rsidRPr="00F53DB4">
        <w:t>Licensee’s site procedures for implementation of off-site FLEX equipment address early notification to mobilize the offsite response, establishment of a point of delivery for the off-site equipment, arrangements for delivery and deployment at the site, and sufficient supplies of commodities to support the equipment and site personnel.</w:t>
      </w:r>
    </w:p>
    <w:p w:rsidR="00117A39" w:rsidRPr="00F53DB4" w:rsidRDefault="00117A39" w:rsidP="00117A39">
      <w:pPr>
        <w:pStyle w:val="ListParagraph"/>
        <w:autoSpaceDE w:val="0"/>
        <w:autoSpaceDN w:val="0"/>
        <w:adjustRightInd w:val="0"/>
        <w:spacing w:line="240" w:lineRule="auto"/>
        <w:ind w:left="1080"/>
      </w:pPr>
    </w:p>
    <w:p w:rsidR="00E779DC" w:rsidRPr="00F53DB4" w:rsidRDefault="00E779DC" w:rsidP="00C97271">
      <w:pPr>
        <w:pStyle w:val="ListParagraph"/>
        <w:numPr>
          <w:ilvl w:val="0"/>
          <w:numId w:val="19"/>
        </w:numPr>
        <w:autoSpaceDE w:val="0"/>
        <w:autoSpaceDN w:val="0"/>
        <w:adjustRightInd w:val="0"/>
        <w:spacing w:line="240" w:lineRule="auto"/>
      </w:pPr>
      <w:r w:rsidRPr="00F53DB4">
        <w:t>Licensee has evaluated what equipment and commodities are needed to sustain and backup the site’s coping strategies</w:t>
      </w:r>
      <w:r w:rsidR="004D51CE">
        <w:t>.</w:t>
      </w:r>
    </w:p>
    <w:p w:rsidR="0064054D" w:rsidRDefault="0064054D" w:rsidP="00BE52E9"/>
    <w:p w:rsidR="00695057" w:rsidRDefault="006831FA" w:rsidP="006831FA">
      <w:pPr>
        <w:pStyle w:val="ListParagraph"/>
        <w:numPr>
          <w:ilvl w:val="0"/>
          <w:numId w:val="19"/>
        </w:numPr>
        <w:autoSpaceDE w:val="0"/>
        <w:autoSpaceDN w:val="0"/>
        <w:adjustRightInd w:val="0"/>
        <w:spacing w:line="240" w:lineRule="auto"/>
      </w:pPr>
      <w:r w:rsidRPr="00F53DB4">
        <w:t xml:space="preserve">Licensee has established means to ensure that </w:t>
      </w:r>
      <w:r>
        <w:t xml:space="preserve">fuel for FLEX equipment can be delivered to the site if onsite fuel is unusable or depleted.  </w:t>
      </w:r>
    </w:p>
    <w:p w:rsidR="006831FA" w:rsidRPr="00F53DB4" w:rsidRDefault="006831FA" w:rsidP="006831FA">
      <w:pPr>
        <w:pStyle w:val="ListParagraph"/>
        <w:autoSpaceDE w:val="0"/>
        <w:autoSpaceDN w:val="0"/>
        <w:adjustRightInd w:val="0"/>
        <w:spacing w:line="240" w:lineRule="auto"/>
        <w:ind w:left="1080"/>
      </w:pPr>
    </w:p>
    <w:p w:rsidR="00E779DC" w:rsidRPr="00F53DB4" w:rsidRDefault="00E779DC" w:rsidP="006831FA">
      <w:pPr>
        <w:pStyle w:val="ListParagraph"/>
        <w:numPr>
          <w:ilvl w:val="0"/>
          <w:numId w:val="19"/>
        </w:numPr>
        <w:autoSpaceDE w:val="0"/>
        <w:autoSpaceDN w:val="0"/>
        <w:adjustRightInd w:val="0"/>
        <w:spacing w:line="240" w:lineRule="auto"/>
      </w:pPr>
      <w:r w:rsidRPr="00F53DB4">
        <w:t>Licensee has a process to revise the required supplied equipment due to changes in the FLEX strategies or plant equipment or equipment obsolescence.</w:t>
      </w:r>
    </w:p>
    <w:p w:rsidR="00117A39" w:rsidRPr="00F53DB4" w:rsidRDefault="00117A39" w:rsidP="00117A39">
      <w:pPr>
        <w:pStyle w:val="ListParagraph"/>
        <w:autoSpaceDE w:val="0"/>
        <w:autoSpaceDN w:val="0"/>
        <w:adjustRightInd w:val="0"/>
        <w:spacing w:line="240" w:lineRule="auto"/>
        <w:ind w:left="1080"/>
      </w:pPr>
    </w:p>
    <w:p w:rsidR="00E57F1D" w:rsidRDefault="00E57F1D" w:rsidP="00C97271">
      <w:pPr>
        <w:pStyle w:val="ListParagraph"/>
        <w:numPr>
          <w:ilvl w:val="0"/>
          <w:numId w:val="19"/>
        </w:numPr>
        <w:autoSpaceDE w:val="0"/>
        <w:autoSpaceDN w:val="0"/>
        <w:adjustRightInd w:val="0"/>
        <w:spacing w:line="240" w:lineRule="auto"/>
      </w:pPr>
      <w:r w:rsidRPr="00F53DB4">
        <w:t xml:space="preserve">Licensee has </w:t>
      </w:r>
      <w:r w:rsidR="006831FA">
        <w:t>installed</w:t>
      </w:r>
      <w:r w:rsidRPr="00F53DB4">
        <w:t xml:space="preserve"> standard mechanical and electrical connections</w:t>
      </w:r>
      <w:r w:rsidR="006831FA">
        <w:t xml:space="preserve"> which are compatible with Phase 3 equipment</w:t>
      </w:r>
      <w:r w:rsidRPr="00F53DB4">
        <w:t>.</w:t>
      </w:r>
    </w:p>
    <w:p w:rsidR="003F1F0F" w:rsidRDefault="003F1F0F" w:rsidP="003F1F0F">
      <w:pPr>
        <w:pStyle w:val="ListParagraph"/>
      </w:pPr>
    </w:p>
    <w:p w:rsidR="003F1F0F" w:rsidRDefault="009B1E3A" w:rsidP="003F1F0F">
      <w:pPr>
        <w:pStyle w:val="ListParagraph"/>
        <w:numPr>
          <w:ilvl w:val="1"/>
          <w:numId w:val="3"/>
        </w:numPr>
        <w:autoSpaceDE w:val="0"/>
        <w:autoSpaceDN w:val="0"/>
        <w:adjustRightInd w:val="0"/>
        <w:spacing w:line="240" w:lineRule="auto"/>
        <w:ind w:left="720"/>
      </w:pPr>
      <w:r>
        <w:t>Configuration Control</w:t>
      </w:r>
    </w:p>
    <w:p w:rsidR="003F1F0F" w:rsidRDefault="003F1F0F" w:rsidP="003F1F0F">
      <w:pPr>
        <w:autoSpaceDE w:val="0"/>
        <w:autoSpaceDN w:val="0"/>
        <w:adjustRightInd w:val="0"/>
        <w:spacing w:line="240" w:lineRule="auto"/>
        <w:ind w:left="720"/>
      </w:pPr>
    </w:p>
    <w:p w:rsidR="003F1F0F" w:rsidRPr="00F53DB4" w:rsidRDefault="003F1F0F" w:rsidP="003F1F0F">
      <w:pPr>
        <w:autoSpaceDE w:val="0"/>
        <w:autoSpaceDN w:val="0"/>
        <w:adjustRightInd w:val="0"/>
        <w:spacing w:line="240" w:lineRule="auto"/>
        <w:ind w:left="720"/>
      </w:pPr>
      <w:r>
        <w:t>Licensee has ensured that all documents, drawings, sketches, calculations analyses</w:t>
      </w:r>
      <w:r w:rsidR="009B1E3A">
        <w:t>, procedures/guidance</w:t>
      </w:r>
      <w:r>
        <w:t xml:space="preserve"> and evaluations related to </w:t>
      </w:r>
      <w:r w:rsidR="009B1E3A">
        <w:t>its mitigation strategies</w:t>
      </w:r>
      <w:r>
        <w:t xml:space="preserve"> are controlled and maintained in accordance with the plant configuration control program.</w:t>
      </w:r>
    </w:p>
    <w:p w:rsidR="00117A39" w:rsidRPr="00F53DB4" w:rsidRDefault="00117A39" w:rsidP="00117A39">
      <w:pPr>
        <w:autoSpaceDE w:val="0"/>
        <w:autoSpaceDN w:val="0"/>
        <w:adjustRightInd w:val="0"/>
        <w:spacing w:line="240" w:lineRule="auto"/>
      </w:pPr>
    </w:p>
    <w:p w:rsidR="00FD72A2" w:rsidRPr="00F53DB4" w:rsidRDefault="00FD72A2" w:rsidP="006B0D17">
      <w:pPr>
        <w:autoSpaceDE w:val="0"/>
        <w:autoSpaceDN w:val="0"/>
        <w:adjustRightInd w:val="0"/>
        <w:spacing w:line="240" w:lineRule="auto"/>
      </w:pPr>
    </w:p>
    <w:p w:rsidR="00882BBE" w:rsidRPr="006F10DF" w:rsidRDefault="00882BBE" w:rsidP="00882BBE">
      <w:pPr>
        <w:pStyle w:val="ListParagraph"/>
        <w:spacing w:line="240" w:lineRule="auto"/>
        <w:ind w:left="0"/>
      </w:pPr>
      <w:r w:rsidRPr="006F10DF">
        <w:t>2515/191-</w:t>
      </w:r>
      <w:proofErr w:type="gramStart"/>
      <w:r w:rsidRPr="006F10DF">
        <w:t>04  REPORTING</w:t>
      </w:r>
      <w:proofErr w:type="gramEnd"/>
      <w:r w:rsidRPr="006F10DF">
        <w:t xml:space="preserve"> REQUIREMENTS:</w:t>
      </w:r>
    </w:p>
    <w:p w:rsidR="00001190" w:rsidRPr="00F53DB4" w:rsidRDefault="00001190" w:rsidP="00A95ED7">
      <w:pPr>
        <w:autoSpaceDE w:val="0"/>
        <w:autoSpaceDN w:val="0"/>
        <w:adjustRightInd w:val="0"/>
        <w:spacing w:line="240" w:lineRule="auto"/>
      </w:pPr>
    </w:p>
    <w:p w:rsidR="0070488A" w:rsidRPr="00FD72A2" w:rsidRDefault="0070488A" w:rsidP="0070488A">
      <w:pPr>
        <w:pStyle w:val="ListParagraph"/>
        <w:spacing w:line="240" w:lineRule="auto"/>
        <w:ind w:left="0"/>
      </w:pPr>
      <w:r>
        <w:t xml:space="preserve">Document the completion of Appendix A of the TI as a feeder to a routine resident inspector report.    </w:t>
      </w:r>
    </w:p>
    <w:p w:rsidR="00A95ED7" w:rsidRPr="00F53DB4" w:rsidRDefault="00A95ED7" w:rsidP="00A95ED7">
      <w:pPr>
        <w:tabs>
          <w:tab w:val="left" w:pos="274"/>
          <w:tab w:val="left" w:pos="806"/>
          <w:tab w:val="left" w:pos="1440"/>
          <w:tab w:val="left" w:pos="2074"/>
        </w:tabs>
        <w:autoSpaceDE w:val="0"/>
        <w:autoSpaceDN w:val="0"/>
        <w:adjustRightInd w:val="0"/>
        <w:spacing w:line="240" w:lineRule="auto"/>
        <w:rPr>
          <w:rFonts w:eastAsia="Times New Roman"/>
        </w:rPr>
      </w:pPr>
    </w:p>
    <w:p w:rsidR="00850E47" w:rsidRDefault="00850E47" w:rsidP="00850E47">
      <w:pPr>
        <w:tabs>
          <w:tab w:val="left" w:pos="274"/>
          <w:tab w:val="left" w:pos="806"/>
          <w:tab w:val="left" w:pos="1440"/>
          <w:tab w:val="left" w:pos="2074"/>
        </w:tabs>
        <w:autoSpaceDE w:val="0"/>
        <w:autoSpaceDN w:val="0"/>
        <w:adjustRightInd w:val="0"/>
        <w:spacing w:line="240" w:lineRule="auto"/>
        <w:rPr>
          <w:rFonts w:eastAsia="Times New Roman"/>
        </w:rPr>
      </w:pPr>
      <w:r>
        <w:rPr>
          <w:color w:val="000000"/>
        </w:rPr>
        <w:t xml:space="preserve">Inspectors should notify </w:t>
      </w:r>
      <w:r w:rsidR="004D51CE" w:rsidRPr="00F53DB4">
        <w:rPr>
          <w:color w:val="000000"/>
        </w:rPr>
        <w:t>NRR/</w:t>
      </w:r>
      <w:r w:rsidR="004D51CE">
        <w:t xml:space="preserve">JLD/JOMB </w:t>
      </w:r>
      <w:r>
        <w:rPr>
          <w:color w:val="000000"/>
        </w:rPr>
        <w:t xml:space="preserve">of any issues of concern </w:t>
      </w:r>
      <w:r w:rsidR="009956E7">
        <w:rPr>
          <w:color w:val="000000"/>
        </w:rPr>
        <w:t xml:space="preserve">and such issues will be screened through a cross-regional panel.  </w:t>
      </w:r>
      <w:r>
        <w:rPr>
          <w:color w:val="000000"/>
        </w:rPr>
        <w:t>Following consultation with</w:t>
      </w:r>
      <w:r w:rsidR="004D51CE" w:rsidRPr="004D51CE">
        <w:rPr>
          <w:color w:val="000000"/>
        </w:rPr>
        <w:t xml:space="preserve"> </w:t>
      </w:r>
      <w:r w:rsidR="004D51CE" w:rsidRPr="00F53DB4">
        <w:rPr>
          <w:color w:val="000000"/>
        </w:rPr>
        <w:t>NRR/</w:t>
      </w:r>
      <w:r w:rsidR="004D51CE">
        <w:t>JLD/JOMB</w:t>
      </w:r>
      <w:r>
        <w:rPr>
          <w:color w:val="000000"/>
        </w:rPr>
        <w:t xml:space="preserve">, </w:t>
      </w:r>
      <w:r w:rsidR="009956E7">
        <w:rPr>
          <w:color w:val="000000"/>
        </w:rPr>
        <w:t xml:space="preserve">and conduct of a cross-regional screening panel, document any issues in accordance with IMC 0612, “Power Reactor Inspection Reports” </w:t>
      </w:r>
      <w:r>
        <w:rPr>
          <w:color w:val="000000"/>
        </w:rPr>
        <w:t>in Section 4OA5 of a quarterly inspection report</w:t>
      </w:r>
      <w:r w:rsidR="009956E7">
        <w:rPr>
          <w:color w:val="000000"/>
        </w:rPr>
        <w:t xml:space="preserve">. </w:t>
      </w:r>
    </w:p>
    <w:p w:rsidR="00850E47" w:rsidRPr="00F53DB4" w:rsidRDefault="00850E47" w:rsidP="00850E47">
      <w:pPr>
        <w:tabs>
          <w:tab w:val="left" w:pos="274"/>
          <w:tab w:val="left" w:pos="806"/>
          <w:tab w:val="left" w:pos="1440"/>
          <w:tab w:val="left" w:pos="2074"/>
        </w:tabs>
        <w:autoSpaceDE w:val="0"/>
        <w:autoSpaceDN w:val="0"/>
        <w:adjustRightInd w:val="0"/>
        <w:spacing w:line="240" w:lineRule="auto"/>
        <w:rPr>
          <w:rFonts w:eastAsia="Times New Roman"/>
        </w:rPr>
      </w:pPr>
    </w:p>
    <w:p w:rsidR="00850E47" w:rsidRPr="00F53DB4" w:rsidRDefault="00850E47" w:rsidP="00850E47">
      <w:pPr>
        <w:autoSpaceDE w:val="0"/>
        <w:autoSpaceDN w:val="0"/>
        <w:adjustRightInd w:val="0"/>
        <w:spacing w:line="240" w:lineRule="auto"/>
        <w:rPr>
          <w:color w:val="000000"/>
        </w:rPr>
      </w:pPr>
      <w:r>
        <w:rPr>
          <w:color w:val="000000"/>
        </w:rPr>
        <w:t xml:space="preserve">If no more-than-minor issues of concern are identified, </w:t>
      </w:r>
      <w:r w:rsidRPr="00F53DB4">
        <w:rPr>
          <w:color w:val="000000"/>
        </w:rPr>
        <w:t>the following statements</w:t>
      </w:r>
      <w:r>
        <w:rPr>
          <w:color w:val="000000"/>
        </w:rPr>
        <w:t xml:space="preserve"> should be included in Section 4OA5 of a quarterly inspection report</w:t>
      </w:r>
      <w:r w:rsidRPr="00F53DB4">
        <w:rPr>
          <w:color w:val="000000"/>
        </w:rPr>
        <w:t>:</w:t>
      </w:r>
    </w:p>
    <w:p w:rsidR="006F10DF" w:rsidRDefault="006F10DF" w:rsidP="00850E47">
      <w:pPr>
        <w:autoSpaceDE w:val="0"/>
        <w:autoSpaceDN w:val="0"/>
        <w:adjustRightInd w:val="0"/>
        <w:spacing w:line="240" w:lineRule="auto"/>
        <w:rPr>
          <w:ins w:id="1" w:author="btc1" w:date="2014-09-29T08:11:00Z"/>
          <w:color w:val="000000"/>
        </w:rPr>
        <w:sectPr w:rsidR="006F10DF" w:rsidSect="00994188">
          <w:pgSz w:w="12240" w:h="15840"/>
          <w:pgMar w:top="1440" w:right="1440" w:bottom="1440" w:left="1440" w:header="1440" w:footer="1440" w:gutter="0"/>
          <w:pgNumType w:chapStyle="1"/>
          <w:cols w:space="720"/>
          <w:docGrid w:linePitch="360"/>
        </w:sectPr>
      </w:pPr>
    </w:p>
    <w:p w:rsidR="007C061E" w:rsidRDefault="00850E47" w:rsidP="00850E47">
      <w:pPr>
        <w:autoSpaceDE w:val="0"/>
        <w:autoSpaceDN w:val="0"/>
        <w:adjustRightInd w:val="0"/>
        <w:spacing w:line="240" w:lineRule="auto"/>
        <w:rPr>
          <w:color w:val="000000"/>
        </w:rPr>
      </w:pPr>
      <w:r w:rsidRPr="00F53DB4">
        <w:rPr>
          <w:color w:val="000000"/>
        </w:rPr>
        <w:lastRenderedPageBreak/>
        <w:t>“</w:t>
      </w:r>
      <w:r w:rsidR="009956E7">
        <w:rPr>
          <w:color w:val="000000"/>
        </w:rPr>
        <w:t xml:space="preserve">Based on samples selected for review, the </w:t>
      </w:r>
      <w:r>
        <w:rPr>
          <w:color w:val="000000"/>
        </w:rPr>
        <w:t>i</w:t>
      </w:r>
      <w:r w:rsidRPr="00F53DB4">
        <w:rPr>
          <w:color w:val="000000"/>
        </w:rPr>
        <w:t xml:space="preserve">nspector(s) </w:t>
      </w:r>
      <w:r w:rsidR="00CB4264">
        <w:rPr>
          <w:color w:val="000000"/>
        </w:rPr>
        <w:t>verified</w:t>
      </w:r>
      <w:r w:rsidR="00CB4264" w:rsidRPr="00F53DB4">
        <w:rPr>
          <w:color w:val="000000"/>
        </w:rPr>
        <w:t xml:space="preserve"> that the licensee satisfactorily implemented appropriate elements of the FLEX strategy as described in</w:t>
      </w:r>
      <w:r w:rsidR="00CB4264">
        <w:rPr>
          <w:color w:val="000000"/>
        </w:rPr>
        <w:t xml:space="preserve"> the plant specific submittal(s) and</w:t>
      </w:r>
      <w:r w:rsidR="00CB4264" w:rsidRPr="00F53DB4">
        <w:rPr>
          <w:color w:val="000000"/>
        </w:rPr>
        <w:t xml:space="preserve"> </w:t>
      </w:r>
      <w:r w:rsidR="00CB4264">
        <w:rPr>
          <w:color w:val="000000"/>
        </w:rPr>
        <w:t xml:space="preserve">the associated safety evaluation [provide ADAMS number] and </w:t>
      </w:r>
      <w:r>
        <w:rPr>
          <w:color w:val="000000"/>
        </w:rPr>
        <w:t>determined</w:t>
      </w:r>
      <w:r w:rsidRPr="00F53DB4">
        <w:rPr>
          <w:color w:val="000000"/>
        </w:rPr>
        <w:t xml:space="preserve"> that </w:t>
      </w:r>
      <w:r>
        <w:rPr>
          <w:color w:val="000000"/>
        </w:rPr>
        <w:t xml:space="preserve">the </w:t>
      </w:r>
      <w:r w:rsidRPr="00F53DB4">
        <w:rPr>
          <w:color w:val="000000"/>
        </w:rPr>
        <w:t xml:space="preserve">licensee </w:t>
      </w:r>
      <w:r>
        <w:rPr>
          <w:color w:val="000000"/>
        </w:rPr>
        <w:t xml:space="preserve">is </w:t>
      </w:r>
      <w:r w:rsidR="009956E7">
        <w:rPr>
          <w:color w:val="000000"/>
        </w:rPr>
        <w:t xml:space="preserve">generally </w:t>
      </w:r>
      <w:r>
        <w:rPr>
          <w:color w:val="000000"/>
        </w:rPr>
        <w:t>in compliance</w:t>
      </w:r>
      <w:r w:rsidRPr="00F53DB4">
        <w:rPr>
          <w:color w:val="000000"/>
        </w:rPr>
        <w:t xml:space="preserve"> with NRC Order EA-12-049</w:t>
      </w:r>
      <w:r w:rsidR="003536C5">
        <w:rPr>
          <w:color w:val="000000"/>
        </w:rPr>
        <w:t xml:space="preserve">, </w:t>
      </w:r>
      <w:r w:rsidR="003536C5" w:rsidRPr="00F53DB4">
        <w:rPr>
          <w:rFonts w:eastAsia="Calibri"/>
          <w:bCs/>
        </w:rPr>
        <w:t>Order Modifying Licenses with Regard to Requirements for Mitigation Strategies for Beyo</w:t>
      </w:r>
      <w:r w:rsidR="003536C5">
        <w:rPr>
          <w:rFonts w:eastAsia="Calibri"/>
          <w:bCs/>
        </w:rPr>
        <w:t>nd</w:t>
      </w:r>
      <w:r w:rsidR="003536C5">
        <w:rPr>
          <w:rFonts w:eastAsia="Calibri"/>
          <w:bCs/>
        </w:rPr>
        <w:noBreakHyphen/>
        <w:t>Design</w:t>
      </w:r>
      <w:r w:rsidR="003536C5">
        <w:rPr>
          <w:rFonts w:eastAsia="Calibri"/>
          <w:bCs/>
        </w:rPr>
        <w:noBreakHyphen/>
        <w:t xml:space="preserve">Basis External Events (ADAMS Accession No. </w:t>
      </w:r>
      <w:hyperlink r:id="rId28" w:history="1">
        <w:r w:rsidR="003536C5" w:rsidRPr="00F53DB4">
          <w:rPr>
            <w:rStyle w:val="Hyperlink"/>
            <w:rFonts w:eastAsia="Calibri"/>
          </w:rPr>
          <w:t>ML12229A174</w:t>
        </w:r>
      </w:hyperlink>
      <w:r w:rsidR="003536C5" w:rsidRPr="00F53DB4">
        <w:rPr>
          <w:rFonts w:eastAsia="Calibri"/>
          <w:bCs/>
        </w:rPr>
        <w:t>)</w:t>
      </w:r>
      <w:r>
        <w:rPr>
          <w:color w:val="000000"/>
        </w:rPr>
        <w:t>.</w:t>
      </w:r>
      <w:r w:rsidR="00526C7A">
        <w:rPr>
          <w:color w:val="000000"/>
        </w:rPr>
        <w:t>”</w:t>
      </w:r>
      <w:r w:rsidRPr="00F53DB4">
        <w:rPr>
          <w:color w:val="000000"/>
        </w:rPr>
        <w:t xml:space="preserve">  </w:t>
      </w:r>
    </w:p>
    <w:p w:rsidR="009956E7" w:rsidRDefault="009956E7" w:rsidP="00850E47">
      <w:pPr>
        <w:autoSpaceDE w:val="0"/>
        <w:autoSpaceDN w:val="0"/>
        <w:adjustRightInd w:val="0"/>
        <w:spacing w:line="240" w:lineRule="auto"/>
        <w:rPr>
          <w:color w:val="000000"/>
        </w:rPr>
      </w:pPr>
    </w:p>
    <w:p w:rsidR="00140931" w:rsidRPr="00F53DB4" w:rsidRDefault="00A95ED7" w:rsidP="00A95ED7">
      <w:pPr>
        <w:autoSpaceDE w:val="0"/>
        <w:autoSpaceDN w:val="0"/>
        <w:adjustRightInd w:val="0"/>
        <w:spacing w:line="240" w:lineRule="auto"/>
        <w:rPr>
          <w:color w:val="000000"/>
        </w:rPr>
      </w:pPr>
      <w:r w:rsidRPr="00F53DB4">
        <w:rPr>
          <w:color w:val="000000"/>
        </w:rPr>
        <w:t>The inspectors</w:t>
      </w:r>
      <w:r w:rsidR="00140931" w:rsidRPr="00F53DB4">
        <w:rPr>
          <w:color w:val="000000"/>
        </w:rPr>
        <w:t xml:space="preserve"> verified that the licensee satisfactorily</w:t>
      </w:r>
      <w:r w:rsidR="00693306">
        <w:rPr>
          <w:color w:val="000000"/>
        </w:rPr>
        <w:t>:</w:t>
      </w:r>
    </w:p>
    <w:p w:rsidR="00140931" w:rsidRPr="00F53DB4" w:rsidRDefault="00140931" w:rsidP="00A95ED7">
      <w:pPr>
        <w:autoSpaceDE w:val="0"/>
        <w:autoSpaceDN w:val="0"/>
        <w:adjustRightInd w:val="0"/>
        <w:spacing w:line="240" w:lineRule="auto"/>
        <w:rPr>
          <w:color w:val="000000"/>
        </w:rPr>
      </w:pPr>
    </w:p>
    <w:p w:rsidR="00DE0F56" w:rsidRDefault="00140931" w:rsidP="00140931">
      <w:pPr>
        <w:pStyle w:val="ListParagraph"/>
        <w:numPr>
          <w:ilvl w:val="0"/>
          <w:numId w:val="9"/>
        </w:numPr>
        <w:spacing w:line="240" w:lineRule="auto"/>
        <w:rPr>
          <w:rStyle w:val="Hyperlink"/>
          <w:color w:val="auto"/>
          <w:u w:val="none"/>
        </w:rPr>
      </w:pPr>
      <w:r w:rsidRPr="007C061E">
        <w:rPr>
          <w:rStyle w:val="Hyperlink"/>
          <w:color w:val="auto"/>
          <w:u w:val="none"/>
        </w:rPr>
        <w:t>developed and issued FLEX Support Guidelines (FSG) to implement the FLEX strategies for postulated external events</w:t>
      </w:r>
      <w:r w:rsidR="007C061E">
        <w:rPr>
          <w:rStyle w:val="Hyperlink"/>
          <w:color w:val="auto"/>
          <w:u w:val="none"/>
        </w:rPr>
        <w:t xml:space="preserve"> </w:t>
      </w:r>
    </w:p>
    <w:p w:rsidR="00140931" w:rsidRDefault="00140931" w:rsidP="00140931">
      <w:pPr>
        <w:pStyle w:val="ListParagraph"/>
        <w:numPr>
          <w:ilvl w:val="0"/>
          <w:numId w:val="9"/>
        </w:numPr>
        <w:spacing w:line="240" w:lineRule="auto"/>
        <w:rPr>
          <w:rStyle w:val="Hyperlink"/>
          <w:color w:val="auto"/>
          <w:u w:val="none"/>
        </w:rPr>
      </w:pPr>
      <w:proofErr w:type="gramStart"/>
      <w:r w:rsidRPr="007C061E">
        <w:rPr>
          <w:rStyle w:val="Hyperlink"/>
          <w:color w:val="auto"/>
          <w:u w:val="none"/>
        </w:rPr>
        <w:t>integrated</w:t>
      </w:r>
      <w:proofErr w:type="gramEnd"/>
      <w:r w:rsidRPr="007C061E">
        <w:rPr>
          <w:rStyle w:val="Hyperlink"/>
          <w:color w:val="auto"/>
          <w:u w:val="none"/>
        </w:rPr>
        <w:t xml:space="preserve"> their FSGs into their existing plant procedures such that entry into and departure from the FSGs are clear when using existing plant procedures.</w:t>
      </w:r>
    </w:p>
    <w:p w:rsidR="0057729C" w:rsidRPr="007C061E" w:rsidRDefault="0057729C" w:rsidP="00140931">
      <w:pPr>
        <w:pStyle w:val="ListParagraph"/>
        <w:numPr>
          <w:ilvl w:val="0"/>
          <w:numId w:val="9"/>
        </w:numPr>
        <w:spacing w:line="240" w:lineRule="auto"/>
        <w:rPr>
          <w:rStyle w:val="Hyperlink"/>
          <w:color w:val="auto"/>
          <w:u w:val="none"/>
        </w:rPr>
      </w:pPr>
      <w:proofErr w:type="gramStart"/>
      <w:r>
        <w:rPr>
          <w:rStyle w:val="Hyperlink"/>
          <w:color w:val="auto"/>
          <w:u w:val="none"/>
        </w:rPr>
        <w:t>protected</w:t>
      </w:r>
      <w:proofErr w:type="gramEnd"/>
      <w:r>
        <w:rPr>
          <w:rStyle w:val="Hyperlink"/>
          <w:color w:val="auto"/>
          <w:u w:val="none"/>
        </w:rPr>
        <w:t xml:space="preserve"> FLEX equipment from site-specific hazards.</w:t>
      </w:r>
    </w:p>
    <w:p w:rsidR="00140931" w:rsidRPr="00F53DB4" w:rsidRDefault="00140931" w:rsidP="00140931">
      <w:pPr>
        <w:pStyle w:val="ListParagraph"/>
        <w:numPr>
          <w:ilvl w:val="0"/>
          <w:numId w:val="9"/>
        </w:numPr>
        <w:spacing w:line="240" w:lineRule="auto"/>
        <w:rPr>
          <w:rStyle w:val="Hyperlink"/>
          <w:color w:val="auto"/>
          <w:u w:val="none"/>
        </w:rPr>
      </w:pPr>
      <w:proofErr w:type="gramStart"/>
      <w:r w:rsidRPr="00F53DB4">
        <w:rPr>
          <w:rStyle w:val="Hyperlink"/>
          <w:color w:val="auto"/>
          <w:u w:val="none"/>
        </w:rPr>
        <w:t>developed</w:t>
      </w:r>
      <w:proofErr w:type="gramEnd"/>
      <w:r w:rsidRPr="00F53DB4">
        <w:rPr>
          <w:rStyle w:val="Hyperlink"/>
          <w:color w:val="auto"/>
          <w:u w:val="none"/>
        </w:rPr>
        <w:t xml:space="preserve"> and implemented adequate testing and maintenance of FLEX equipment to ensure their availability and capability.</w:t>
      </w:r>
    </w:p>
    <w:p w:rsidR="00140931" w:rsidRPr="00F53DB4" w:rsidRDefault="00140931" w:rsidP="00140931">
      <w:pPr>
        <w:pStyle w:val="ListParagraph"/>
        <w:numPr>
          <w:ilvl w:val="0"/>
          <w:numId w:val="9"/>
        </w:numPr>
        <w:spacing w:line="240" w:lineRule="auto"/>
        <w:rPr>
          <w:rStyle w:val="Hyperlink"/>
          <w:color w:val="auto"/>
          <w:u w:val="none"/>
        </w:rPr>
      </w:pPr>
      <w:proofErr w:type="gramStart"/>
      <w:r w:rsidRPr="00F53DB4">
        <w:rPr>
          <w:rStyle w:val="Hyperlink"/>
          <w:color w:val="auto"/>
          <w:u w:val="none"/>
        </w:rPr>
        <w:t>trained</w:t>
      </w:r>
      <w:proofErr w:type="gramEnd"/>
      <w:r w:rsidRPr="00F53DB4">
        <w:rPr>
          <w:rStyle w:val="Hyperlink"/>
          <w:color w:val="auto"/>
          <w:u w:val="none"/>
        </w:rPr>
        <w:t xml:space="preserve"> their staff to assure personnel proficiency in the mi</w:t>
      </w:r>
      <w:r w:rsidR="004D51CE">
        <w:rPr>
          <w:rStyle w:val="Hyperlink"/>
          <w:color w:val="auto"/>
          <w:u w:val="none"/>
        </w:rPr>
        <w:t>ti</w:t>
      </w:r>
      <w:r w:rsidRPr="00F53DB4">
        <w:rPr>
          <w:rStyle w:val="Hyperlink"/>
          <w:color w:val="auto"/>
          <w:u w:val="none"/>
        </w:rPr>
        <w:t>gation of beyond-design–basis events</w:t>
      </w:r>
      <w:r w:rsidR="00693306">
        <w:rPr>
          <w:rStyle w:val="Hyperlink"/>
          <w:color w:val="auto"/>
          <w:u w:val="none"/>
        </w:rPr>
        <w:t>.</w:t>
      </w:r>
    </w:p>
    <w:p w:rsidR="002A5EEE" w:rsidRDefault="00140931" w:rsidP="00140931">
      <w:pPr>
        <w:pStyle w:val="ListParagraph"/>
        <w:numPr>
          <w:ilvl w:val="0"/>
          <w:numId w:val="9"/>
        </w:numPr>
        <w:spacing w:line="240" w:lineRule="auto"/>
        <w:rPr>
          <w:rStyle w:val="Hyperlink"/>
          <w:color w:val="auto"/>
          <w:u w:val="none"/>
        </w:rPr>
      </w:pPr>
      <w:proofErr w:type="gramStart"/>
      <w:r w:rsidRPr="00F53DB4">
        <w:rPr>
          <w:rStyle w:val="Hyperlink"/>
          <w:color w:val="auto"/>
          <w:u w:val="none"/>
        </w:rPr>
        <w:t>developed</w:t>
      </w:r>
      <w:proofErr w:type="gramEnd"/>
      <w:r w:rsidRPr="00F53DB4">
        <w:rPr>
          <w:rStyle w:val="Hyperlink"/>
          <w:color w:val="auto"/>
          <w:u w:val="none"/>
        </w:rPr>
        <w:t xml:space="preserve"> means to ensure that the necessary off-site FLEX equipment will be available from off-site locations</w:t>
      </w:r>
      <w:r w:rsidR="00693306">
        <w:rPr>
          <w:rStyle w:val="Hyperlink"/>
          <w:color w:val="auto"/>
          <w:u w:val="none"/>
        </w:rPr>
        <w:t>.</w:t>
      </w:r>
    </w:p>
    <w:p w:rsidR="00BE52E9" w:rsidRDefault="00BE52E9" w:rsidP="00BE52E9">
      <w:pPr>
        <w:pStyle w:val="ListParagraph"/>
        <w:spacing w:line="240" w:lineRule="auto"/>
        <w:rPr>
          <w:rStyle w:val="Hyperlink"/>
          <w:color w:val="auto"/>
          <w:u w:val="none"/>
        </w:rPr>
      </w:pPr>
    </w:p>
    <w:p w:rsidR="00A95ED7" w:rsidRDefault="00A95ED7" w:rsidP="00850E47">
      <w:pPr>
        <w:autoSpaceDE w:val="0"/>
        <w:autoSpaceDN w:val="0"/>
        <w:adjustRightInd w:val="0"/>
        <w:spacing w:line="240" w:lineRule="auto"/>
        <w:rPr>
          <w:color w:val="000000"/>
        </w:rPr>
      </w:pPr>
      <w:r w:rsidRPr="00F53DB4">
        <w:rPr>
          <w:color w:val="000000"/>
        </w:rPr>
        <w:t xml:space="preserve">The inspectors verified that noncompliances with current licensing requirements, and </w:t>
      </w:r>
      <w:r w:rsidR="00E05C68" w:rsidRPr="00F53DB4">
        <w:rPr>
          <w:color w:val="000000"/>
        </w:rPr>
        <w:t xml:space="preserve">other </w:t>
      </w:r>
      <w:r w:rsidRPr="00F53DB4">
        <w:rPr>
          <w:color w:val="000000"/>
        </w:rPr>
        <w:t xml:space="preserve">issues identified </w:t>
      </w:r>
      <w:r w:rsidR="00E05C68" w:rsidRPr="00F53DB4">
        <w:rPr>
          <w:color w:val="000000"/>
        </w:rPr>
        <w:t xml:space="preserve">during the inspection were </w:t>
      </w:r>
      <w:r w:rsidRPr="00F53DB4">
        <w:rPr>
          <w:color w:val="000000"/>
        </w:rPr>
        <w:t>entered into the licensee's corrective action program</w:t>
      </w:r>
      <w:r w:rsidR="00E05C68" w:rsidRPr="00F53DB4">
        <w:rPr>
          <w:color w:val="000000"/>
        </w:rPr>
        <w:t xml:space="preserve"> (list the correction action document(s) number)</w:t>
      </w:r>
      <w:r w:rsidRPr="00F53DB4">
        <w:rPr>
          <w:color w:val="000000"/>
        </w:rPr>
        <w:t>.</w:t>
      </w:r>
      <w:r w:rsidR="001871B7">
        <w:rPr>
          <w:color w:val="000000"/>
        </w:rPr>
        <w:t>”</w:t>
      </w:r>
      <w:r w:rsidRPr="00F53DB4">
        <w:rPr>
          <w:color w:val="000000"/>
        </w:rPr>
        <w:t xml:space="preserve"> </w:t>
      </w:r>
    </w:p>
    <w:p w:rsidR="00330B5E" w:rsidRDefault="00330B5E" w:rsidP="00850E47">
      <w:pPr>
        <w:autoSpaceDE w:val="0"/>
        <w:autoSpaceDN w:val="0"/>
        <w:adjustRightInd w:val="0"/>
        <w:spacing w:line="240" w:lineRule="auto"/>
        <w:rPr>
          <w:color w:val="000000"/>
        </w:rPr>
      </w:pPr>
    </w:p>
    <w:p w:rsidR="00330B5E" w:rsidRDefault="00330B5E" w:rsidP="00850E47">
      <w:pPr>
        <w:autoSpaceDE w:val="0"/>
        <w:autoSpaceDN w:val="0"/>
        <w:adjustRightInd w:val="0"/>
        <w:spacing w:line="240" w:lineRule="auto"/>
        <w:rPr>
          <w:color w:val="000000"/>
        </w:rPr>
      </w:pPr>
      <w:r>
        <w:rPr>
          <w:color w:val="000000"/>
        </w:rPr>
        <w:t>Alternately, at the discretion of the Region, completion of Appendix A of the TI may be documented in a stand-alone inspection report.</w:t>
      </w:r>
    </w:p>
    <w:p w:rsidR="00B9215D" w:rsidRDefault="00B9215D" w:rsidP="00850E47">
      <w:pPr>
        <w:autoSpaceDE w:val="0"/>
        <w:autoSpaceDN w:val="0"/>
        <w:adjustRightInd w:val="0"/>
        <w:spacing w:line="240" w:lineRule="auto"/>
        <w:rPr>
          <w:color w:val="000000"/>
        </w:rPr>
      </w:pPr>
    </w:p>
    <w:p w:rsidR="00B9215D" w:rsidRDefault="00B9215D" w:rsidP="00850E47">
      <w:pPr>
        <w:autoSpaceDE w:val="0"/>
        <w:autoSpaceDN w:val="0"/>
        <w:adjustRightInd w:val="0"/>
        <w:spacing w:line="240" w:lineRule="auto"/>
        <w:rPr>
          <w:color w:val="000000"/>
        </w:rPr>
      </w:pPr>
    </w:p>
    <w:p w:rsidR="00B9215D" w:rsidRPr="00A95ED7" w:rsidRDefault="00B9215D" w:rsidP="00B9215D">
      <w:pPr>
        <w:autoSpaceDE w:val="0"/>
        <w:autoSpaceDN w:val="0"/>
        <w:adjustRightInd w:val="0"/>
        <w:spacing w:line="240" w:lineRule="auto"/>
        <w:jc w:val="center"/>
        <w:rPr>
          <w:sz w:val="24"/>
          <w:szCs w:val="24"/>
        </w:rPr>
        <w:sectPr w:rsidR="00B9215D" w:rsidRPr="00A95ED7" w:rsidSect="00994188">
          <w:footerReference w:type="default" r:id="rId29"/>
          <w:pgSz w:w="12240" w:h="15840"/>
          <w:pgMar w:top="1440" w:right="1440" w:bottom="1440" w:left="1440" w:header="1440" w:footer="1440" w:gutter="0"/>
          <w:pgNumType w:chapStyle="1"/>
          <w:cols w:space="720"/>
          <w:docGrid w:linePitch="360"/>
        </w:sectPr>
      </w:pPr>
      <w:r>
        <w:rPr>
          <w:color w:val="000000"/>
        </w:rPr>
        <w:t>END</w:t>
      </w:r>
    </w:p>
    <w:p w:rsidR="00E57F1D" w:rsidRPr="00A97FDC" w:rsidRDefault="00001190" w:rsidP="00001190">
      <w:pPr>
        <w:pStyle w:val="ListParagraph"/>
        <w:autoSpaceDE w:val="0"/>
        <w:autoSpaceDN w:val="0"/>
        <w:adjustRightInd w:val="0"/>
        <w:spacing w:line="240" w:lineRule="auto"/>
        <w:ind w:left="1080"/>
        <w:jc w:val="center"/>
      </w:pPr>
      <w:r w:rsidRPr="00A97FDC">
        <w:lastRenderedPageBreak/>
        <w:t xml:space="preserve">Appendix </w:t>
      </w:r>
      <w:r w:rsidR="007C061E">
        <w:t>B</w:t>
      </w:r>
      <w:r w:rsidRPr="00A97FDC">
        <w:t xml:space="preserve"> – SPENT FUEL POOL INSTRUMENTATION</w:t>
      </w:r>
    </w:p>
    <w:p w:rsidR="00E37A8D" w:rsidRDefault="00E37A8D" w:rsidP="00950534">
      <w:pPr>
        <w:spacing w:line="240" w:lineRule="auto"/>
      </w:pPr>
    </w:p>
    <w:p w:rsidR="00950534" w:rsidRPr="006F10DF" w:rsidRDefault="00950534" w:rsidP="00950534">
      <w:pPr>
        <w:spacing w:line="240" w:lineRule="auto"/>
      </w:pPr>
      <w:r w:rsidRPr="006F10DF">
        <w:t>2515/191-</w:t>
      </w:r>
      <w:proofErr w:type="gramStart"/>
      <w:r w:rsidRPr="006F10DF">
        <w:t>03  INSPECTION</w:t>
      </w:r>
      <w:proofErr w:type="gramEnd"/>
      <w:r w:rsidRPr="006F10DF">
        <w:t xml:space="preserve"> REQUIREMENTS:</w:t>
      </w:r>
    </w:p>
    <w:p w:rsidR="00950534" w:rsidRPr="00A97FDC" w:rsidRDefault="00950534" w:rsidP="00950534">
      <w:pPr>
        <w:autoSpaceDE w:val="0"/>
        <w:autoSpaceDN w:val="0"/>
        <w:adjustRightInd w:val="0"/>
        <w:spacing w:line="240" w:lineRule="auto"/>
        <w:ind w:left="1080" w:hanging="1080"/>
        <w:jc w:val="both"/>
        <w:rPr>
          <w:color w:val="000000"/>
        </w:rPr>
      </w:pPr>
    </w:p>
    <w:p w:rsidR="00950534" w:rsidRPr="00A97FDC" w:rsidRDefault="00950534" w:rsidP="00950534">
      <w:pPr>
        <w:autoSpaceDE w:val="0"/>
        <w:autoSpaceDN w:val="0"/>
        <w:adjustRightInd w:val="0"/>
        <w:spacing w:line="240" w:lineRule="auto"/>
        <w:ind w:left="1080" w:hanging="1080"/>
        <w:jc w:val="both"/>
        <w:rPr>
          <w:color w:val="000000"/>
        </w:rPr>
      </w:pPr>
      <w:r w:rsidRPr="00A97FDC">
        <w:rPr>
          <w:color w:val="000000"/>
        </w:rPr>
        <w:t xml:space="preserve">03.01 </w:t>
      </w:r>
      <w:r w:rsidRPr="00A97FDC">
        <w:rPr>
          <w:color w:val="000000"/>
          <w:u w:val="single"/>
        </w:rPr>
        <w:t xml:space="preserve">General </w:t>
      </w:r>
    </w:p>
    <w:p w:rsidR="00950534" w:rsidRPr="00A97FDC" w:rsidRDefault="00950534" w:rsidP="00001190">
      <w:pPr>
        <w:pStyle w:val="ListParagraph"/>
        <w:autoSpaceDE w:val="0"/>
        <w:autoSpaceDN w:val="0"/>
        <w:adjustRightInd w:val="0"/>
        <w:spacing w:line="240" w:lineRule="auto"/>
        <w:ind w:left="1080"/>
        <w:jc w:val="center"/>
      </w:pPr>
    </w:p>
    <w:p w:rsidR="00950534" w:rsidRDefault="00950534" w:rsidP="00950534">
      <w:pPr>
        <w:autoSpaceDE w:val="0"/>
        <w:autoSpaceDN w:val="0"/>
        <w:adjustRightInd w:val="0"/>
        <w:spacing w:line="240" w:lineRule="auto"/>
      </w:pPr>
      <w:r w:rsidRPr="00A97FDC">
        <w:t xml:space="preserve">NRC Order EA-12-051 requires that licensees and construction permit holders install reliable means of remotely monitoring wide-range </w:t>
      </w:r>
      <w:r w:rsidR="000F5306">
        <w:t>spent fuel pool (</w:t>
      </w:r>
      <w:r w:rsidRPr="00A97FDC">
        <w:t>SFP</w:t>
      </w:r>
      <w:r w:rsidR="000F5306">
        <w:t>)</w:t>
      </w:r>
      <w:r w:rsidRPr="00A97FDC">
        <w:t xml:space="preserve"> levels to support effective prioritization of event mitigation and recovery actions in the event of a beyond-design-basis external event. The SFP level instrumentation currently </w:t>
      </w:r>
      <w:r w:rsidR="00936E51">
        <w:t xml:space="preserve">installed </w:t>
      </w:r>
      <w:r w:rsidRPr="00A97FDC">
        <w:t xml:space="preserve">at nuclear power plants in the United States is typically narrow range and, therefore, only capable of monitoring normal and slightly off-normal conditions. The staff’s review of the events at Fukushima Dai-ichi has </w:t>
      </w:r>
      <w:r w:rsidR="00936E51">
        <w:t xml:space="preserve">revealed </w:t>
      </w:r>
      <w:r w:rsidRPr="00A97FDC">
        <w:t>the benefits that can be derived from the availability of more diverse instrumentation. Reliable and available indication is essential to ensure plant personnel can effectively prioritize emergency actions during and after extreme natural events.</w:t>
      </w:r>
    </w:p>
    <w:p w:rsidR="00184E17" w:rsidRDefault="00184E17" w:rsidP="00950534">
      <w:pPr>
        <w:autoSpaceDE w:val="0"/>
        <w:autoSpaceDN w:val="0"/>
        <w:adjustRightInd w:val="0"/>
        <w:spacing w:line="240" w:lineRule="auto"/>
      </w:pPr>
    </w:p>
    <w:p w:rsidR="00184E17" w:rsidRPr="005B237E" w:rsidRDefault="00184E17" w:rsidP="00184E17">
      <w:pPr>
        <w:spacing w:line="240" w:lineRule="auto"/>
        <w:rPr>
          <w:rStyle w:val="Hyperlink"/>
          <w:color w:val="auto"/>
          <w:u w:val="none"/>
        </w:rPr>
      </w:pPr>
      <w:r>
        <w:rPr>
          <w:rStyle w:val="Hyperlink"/>
          <w:color w:val="auto"/>
          <w:u w:val="none"/>
        </w:rPr>
        <w:t xml:space="preserve">Appendix B will be performed once NRC staff has issued the safety evaluation.  </w:t>
      </w:r>
    </w:p>
    <w:p w:rsidR="00184E17" w:rsidRPr="00A97FDC" w:rsidRDefault="00184E17" w:rsidP="00184E17">
      <w:pPr>
        <w:autoSpaceDE w:val="0"/>
        <w:autoSpaceDN w:val="0"/>
        <w:adjustRightInd w:val="0"/>
        <w:spacing w:line="240" w:lineRule="auto"/>
      </w:pPr>
    </w:p>
    <w:p w:rsidR="00950534" w:rsidRPr="00A97FDC" w:rsidRDefault="00950534" w:rsidP="00C97271">
      <w:pPr>
        <w:pStyle w:val="ListParagraph"/>
        <w:numPr>
          <w:ilvl w:val="1"/>
          <w:numId w:val="20"/>
        </w:numPr>
        <w:spacing w:line="240" w:lineRule="auto"/>
        <w:rPr>
          <w:color w:val="000000"/>
          <w:u w:val="single"/>
        </w:rPr>
      </w:pPr>
      <w:r w:rsidRPr="00A97FDC">
        <w:rPr>
          <w:color w:val="000000"/>
          <w:u w:val="single"/>
        </w:rPr>
        <w:t xml:space="preserve">Specific </w:t>
      </w:r>
      <w:r w:rsidR="00B969FD" w:rsidRPr="00A97FDC">
        <w:rPr>
          <w:color w:val="000000"/>
          <w:u w:val="single"/>
        </w:rPr>
        <w:t>Inspection Requirements</w:t>
      </w:r>
    </w:p>
    <w:p w:rsidR="00950534" w:rsidRPr="00A97FDC" w:rsidRDefault="00950534" w:rsidP="00950534">
      <w:pPr>
        <w:pStyle w:val="ListParagraph"/>
        <w:autoSpaceDE w:val="0"/>
        <w:autoSpaceDN w:val="0"/>
        <w:adjustRightInd w:val="0"/>
        <w:spacing w:line="240" w:lineRule="auto"/>
        <w:ind w:left="0"/>
      </w:pPr>
    </w:p>
    <w:p w:rsidR="00950534" w:rsidRPr="00A97FDC" w:rsidRDefault="00950534" w:rsidP="00950534">
      <w:pPr>
        <w:pStyle w:val="ListParagraph"/>
        <w:tabs>
          <w:tab w:val="left" w:pos="0"/>
        </w:tabs>
        <w:autoSpaceDE w:val="0"/>
        <w:autoSpaceDN w:val="0"/>
        <w:adjustRightInd w:val="0"/>
        <w:spacing w:line="240" w:lineRule="auto"/>
        <w:ind w:left="0" w:right="-20"/>
      </w:pPr>
      <w:r w:rsidRPr="00A97FDC">
        <w:t>Verify the follow</w:t>
      </w:r>
      <w:r w:rsidR="000F5306">
        <w:t>ing concerning SFP</w:t>
      </w:r>
      <w:r w:rsidRPr="00A97FDC">
        <w:t xml:space="preserve"> instr</w:t>
      </w:r>
      <w:r w:rsidR="00936E51">
        <w:t>umentation is implemented as</w:t>
      </w:r>
      <w:r w:rsidRPr="00A97FDC">
        <w:t xml:space="preserve"> </w:t>
      </w:r>
      <w:r w:rsidR="00936E51">
        <w:t xml:space="preserve">described in </w:t>
      </w:r>
      <w:r w:rsidRPr="00A97FDC">
        <w:t xml:space="preserve">the </w:t>
      </w:r>
      <w:r w:rsidR="00936E51">
        <w:t>plant specific submittal(s) and associated safety evaluation (SE)</w:t>
      </w:r>
      <w:r w:rsidRPr="00A97FDC">
        <w:t>:</w:t>
      </w:r>
    </w:p>
    <w:p w:rsidR="00950534" w:rsidRPr="00A97FDC" w:rsidRDefault="00950534" w:rsidP="00950534">
      <w:pPr>
        <w:pStyle w:val="ListParagraph"/>
        <w:autoSpaceDE w:val="0"/>
        <w:autoSpaceDN w:val="0"/>
        <w:adjustRightInd w:val="0"/>
        <w:spacing w:line="240" w:lineRule="auto"/>
        <w:ind w:left="1080" w:right="-20"/>
      </w:pPr>
    </w:p>
    <w:p w:rsidR="00950534" w:rsidRPr="00A97FDC" w:rsidRDefault="00950534" w:rsidP="00C97271">
      <w:pPr>
        <w:pStyle w:val="ListParagraph"/>
        <w:numPr>
          <w:ilvl w:val="1"/>
          <w:numId w:val="12"/>
        </w:numPr>
        <w:autoSpaceDE w:val="0"/>
        <w:autoSpaceDN w:val="0"/>
        <w:adjustRightInd w:val="0"/>
        <w:spacing w:line="240" w:lineRule="auto"/>
        <w:ind w:left="720" w:right="-20"/>
      </w:pPr>
      <w:r w:rsidRPr="00A97FDC">
        <w:t>Arrangement</w:t>
      </w:r>
      <w:r w:rsidR="00936E51">
        <w:t xml:space="preserve"> and Independence</w:t>
      </w:r>
    </w:p>
    <w:p w:rsidR="00950534" w:rsidRPr="00A97FDC" w:rsidRDefault="00950534" w:rsidP="00950534">
      <w:pPr>
        <w:pStyle w:val="ListParagraph"/>
        <w:autoSpaceDE w:val="0"/>
        <w:autoSpaceDN w:val="0"/>
        <w:adjustRightInd w:val="0"/>
        <w:spacing w:line="240" w:lineRule="auto"/>
        <w:ind w:left="1440" w:right="-20"/>
      </w:pPr>
    </w:p>
    <w:p w:rsidR="00950534" w:rsidRPr="00A97FDC" w:rsidRDefault="00936E51" w:rsidP="00C97271">
      <w:pPr>
        <w:pStyle w:val="ListParagraph"/>
        <w:numPr>
          <w:ilvl w:val="2"/>
          <w:numId w:val="12"/>
        </w:numPr>
        <w:autoSpaceDE w:val="0"/>
        <w:autoSpaceDN w:val="0"/>
        <w:adjustRightInd w:val="0"/>
        <w:spacing w:line="240" w:lineRule="auto"/>
        <w:ind w:left="1080" w:right="-20"/>
      </w:pPr>
      <w:r>
        <w:t>Verify t</w:t>
      </w:r>
      <w:r w:rsidR="00950534" w:rsidRPr="00A97FDC">
        <w:t>he licensee install</w:t>
      </w:r>
      <w:r w:rsidR="004D51CE">
        <w:t>ed</w:t>
      </w:r>
      <w:r w:rsidR="00950534" w:rsidRPr="00A97FDC">
        <w:t xml:space="preserve"> the mounted SFP sensors as described in the </w:t>
      </w:r>
      <w:r>
        <w:t xml:space="preserve">plant specific submittal(s) and </w:t>
      </w:r>
      <w:r w:rsidR="002665B8">
        <w:t xml:space="preserve">the </w:t>
      </w:r>
      <w:r>
        <w:t>associated SE.</w:t>
      </w:r>
    </w:p>
    <w:p w:rsidR="00950534" w:rsidRPr="00A97FDC" w:rsidRDefault="00950534" w:rsidP="00950534">
      <w:pPr>
        <w:pStyle w:val="ListParagraph"/>
        <w:autoSpaceDE w:val="0"/>
        <w:autoSpaceDN w:val="0"/>
        <w:adjustRightInd w:val="0"/>
        <w:spacing w:line="240" w:lineRule="auto"/>
        <w:ind w:left="1080" w:right="-20"/>
      </w:pPr>
    </w:p>
    <w:p w:rsidR="00950534" w:rsidRPr="00A97FDC" w:rsidRDefault="00936E51" w:rsidP="00C97271">
      <w:pPr>
        <w:pStyle w:val="ListParagraph"/>
        <w:numPr>
          <w:ilvl w:val="2"/>
          <w:numId w:val="12"/>
        </w:numPr>
        <w:autoSpaceDE w:val="0"/>
        <w:autoSpaceDN w:val="0"/>
        <w:adjustRightInd w:val="0"/>
        <w:spacing w:line="240" w:lineRule="auto"/>
        <w:ind w:left="1080" w:right="-20"/>
      </w:pPr>
      <w:r>
        <w:t xml:space="preserve">Verify </w:t>
      </w:r>
      <w:r w:rsidR="00950534" w:rsidRPr="00A97FDC">
        <w:t xml:space="preserve">the cabling for the power supplies and the indications for each SFP instrumentation channel </w:t>
      </w:r>
      <w:r>
        <w:t xml:space="preserve">are </w:t>
      </w:r>
      <w:r w:rsidR="00950534" w:rsidRPr="00A97FDC">
        <w:t xml:space="preserve">physically </w:t>
      </w:r>
      <w:r>
        <w:t xml:space="preserve">and electrically </w:t>
      </w:r>
      <w:r w:rsidR="00950534" w:rsidRPr="00A97FDC">
        <w:t>separated</w:t>
      </w:r>
      <w:r>
        <w:t>.</w:t>
      </w:r>
    </w:p>
    <w:p w:rsidR="00950534" w:rsidRPr="00A97FDC" w:rsidRDefault="00950534" w:rsidP="00950534">
      <w:pPr>
        <w:pStyle w:val="ListParagraph"/>
        <w:autoSpaceDE w:val="0"/>
        <w:autoSpaceDN w:val="0"/>
        <w:adjustRightInd w:val="0"/>
        <w:spacing w:line="240" w:lineRule="auto"/>
        <w:ind w:left="2160" w:right="-20"/>
      </w:pPr>
    </w:p>
    <w:p w:rsidR="00950534" w:rsidRPr="00A97FDC" w:rsidRDefault="00950534" w:rsidP="00C97271">
      <w:pPr>
        <w:pStyle w:val="ListParagraph"/>
        <w:numPr>
          <w:ilvl w:val="1"/>
          <w:numId w:val="12"/>
        </w:numPr>
        <w:autoSpaceDE w:val="0"/>
        <w:autoSpaceDN w:val="0"/>
        <w:adjustRightInd w:val="0"/>
        <w:spacing w:line="240" w:lineRule="auto"/>
        <w:ind w:left="720" w:right="-20"/>
      </w:pPr>
      <w:r w:rsidRPr="00A97FDC">
        <w:t>Display</w:t>
      </w:r>
    </w:p>
    <w:p w:rsidR="00950534" w:rsidRPr="00A97FDC" w:rsidRDefault="00950534" w:rsidP="00950534">
      <w:pPr>
        <w:pStyle w:val="ListParagraph"/>
        <w:autoSpaceDE w:val="0"/>
        <w:autoSpaceDN w:val="0"/>
        <w:adjustRightInd w:val="0"/>
        <w:spacing w:line="240" w:lineRule="auto"/>
        <w:ind w:left="1080" w:right="-20"/>
      </w:pPr>
    </w:p>
    <w:p w:rsidR="00936E51" w:rsidRDefault="00936E51" w:rsidP="00470549">
      <w:pPr>
        <w:autoSpaceDE w:val="0"/>
        <w:autoSpaceDN w:val="0"/>
        <w:adjustRightInd w:val="0"/>
        <w:spacing w:line="240" w:lineRule="auto"/>
        <w:ind w:left="720" w:right="-20"/>
      </w:pPr>
      <w:r>
        <w:t xml:space="preserve">Verify </w:t>
      </w:r>
      <w:r w:rsidR="00950534" w:rsidRPr="00A97FDC">
        <w:t xml:space="preserve">the display </w:t>
      </w:r>
      <w:r>
        <w:t xml:space="preserve">is </w:t>
      </w:r>
      <w:r w:rsidR="00950534" w:rsidRPr="00A97FDC">
        <w:t xml:space="preserve">in the </w:t>
      </w:r>
      <w:r w:rsidR="00470549">
        <w:t xml:space="preserve">location </w:t>
      </w:r>
      <w:r w:rsidR="00950534" w:rsidRPr="00A97FDC">
        <w:t xml:space="preserve">described in the </w:t>
      </w:r>
      <w:r>
        <w:t>pla</w:t>
      </w:r>
      <w:r w:rsidR="00470549">
        <w:t>nt specific submittal(s) and</w:t>
      </w:r>
      <w:r>
        <w:t xml:space="preserve"> </w:t>
      </w:r>
      <w:r w:rsidR="00470549">
        <w:t>safety evaluation</w:t>
      </w:r>
      <w:r>
        <w:t>.</w:t>
      </w:r>
      <w:r w:rsidR="00470549">
        <w:t xml:space="preserve">  Verify the environmental conditions and accessibility to the panel is as described in the plant specific submittal(s) and </w:t>
      </w:r>
      <w:r w:rsidR="001871B7">
        <w:t>SE</w:t>
      </w:r>
      <w:r w:rsidR="00470549">
        <w:t>.</w:t>
      </w:r>
    </w:p>
    <w:p w:rsidR="00936E51" w:rsidRDefault="00936E51" w:rsidP="00470549"/>
    <w:p w:rsidR="00950534" w:rsidRPr="00A97FDC" w:rsidRDefault="00950534" w:rsidP="00C97271">
      <w:pPr>
        <w:pStyle w:val="ListParagraph"/>
        <w:numPr>
          <w:ilvl w:val="1"/>
          <w:numId w:val="12"/>
        </w:numPr>
        <w:autoSpaceDE w:val="0"/>
        <w:autoSpaceDN w:val="0"/>
        <w:adjustRightInd w:val="0"/>
        <w:spacing w:line="240" w:lineRule="auto"/>
        <w:ind w:left="720" w:right="-20"/>
      </w:pPr>
      <w:r w:rsidRPr="00A97FDC">
        <w:t>Training</w:t>
      </w:r>
    </w:p>
    <w:p w:rsidR="00950534" w:rsidRPr="00A97FDC" w:rsidRDefault="00950534" w:rsidP="00950534">
      <w:pPr>
        <w:pStyle w:val="ListParagraph"/>
        <w:autoSpaceDE w:val="0"/>
        <w:autoSpaceDN w:val="0"/>
        <w:adjustRightInd w:val="0"/>
        <w:spacing w:line="240" w:lineRule="auto"/>
        <w:ind w:left="1080" w:right="-20"/>
      </w:pPr>
    </w:p>
    <w:p w:rsidR="00950534" w:rsidRPr="00A97FDC" w:rsidRDefault="00936E51" w:rsidP="00693306">
      <w:pPr>
        <w:pStyle w:val="ListParagraph"/>
        <w:autoSpaceDE w:val="0"/>
        <w:autoSpaceDN w:val="0"/>
        <w:adjustRightInd w:val="0"/>
        <w:spacing w:line="240" w:lineRule="auto"/>
        <w:ind w:right="-20"/>
      </w:pPr>
      <w:r>
        <w:t xml:space="preserve">Verify </w:t>
      </w:r>
      <w:r w:rsidR="00950534" w:rsidRPr="00A97FDC">
        <w:t>the licensee ha</w:t>
      </w:r>
      <w:r>
        <w:t xml:space="preserve">s </w:t>
      </w:r>
      <w:r w:rsidR="00950534" w:rsidRPr="00A97FDC">
        <w:t>a training program that addresses the use, maintenance, calibration, surveillance, and the use of alternate power to the primary and</w:t>
      </w:r>
      <w:r w:rsidR="002665B8">
        <w:t xml:space="preserve"> backup SFP instrument channels.</w:t>
      </w:r>
    </w:p>
    <w:p w:rsidR="00950534" w:rsidRPr="00A97FDC" w:rsidRDefault="00950534" w:rsidP="00950534">
      <w:pPr>
        <w:pStyle w:val="ListParagraph"/>
        <w:autoSpaceDE w:val="0"/>
        <w:autoSpaceDN w:val="0"/>
        <w:adjustRightInd w:val="0"/>
        <w:spacing w:line="240" w:lineRule="auto"/>
        <w:ind w:right="-20"/>
      </w:pPr>
    </w:p>
    <w:p w:rsidR="00D7633F" w:rsidRDefault="00D7633F" w:rsidP="00C97271">
      <w:pPr>
        <w:pStyle w:val="ListParagraph"/>
        <w:numPr>
          <w:ilvl w:val="1"/>
          <w:numId w:val="12"/>
        </w:numPr>
        <w:autoSpaceDE w:val="0"/>
        <w:autoSpaceDN w:val="0"/>
        <w:adjustRightInd w:val="0"/>
        <w:spacing w:line="240" w:lineRule="auto"/>
        <w:ind w:left="720" w:right="-20"/>
        <w:sectPr w:rsidR="00D7633F" w:rsidSect="00AE2306">
          <w:footerReference w:type="default" r:id="rId30"/>
          <w:pgSz w:w="12240" w:h="15840"/>
          <w:pgMar w:top="1440" w:right="1440" w:bottom="1440" w:left="1440" w:header="1440" w:footer="1440" w:gutter="0"/>
          <w:pgNumType w:start="1" w:chapStyle="1"/>
          <w:cols w:space="720"/>
          <w:docGrid w:linePitch="360"/>
        </w:sectPr>
      </w:pPr>
    </w:p>
    <w:p w:rsidR="00950534" w:rsidRPr="00A97FDC" w:rsidRDefault="00950534" w:rsidP="00C97271">
      <w:pPr>
        <w:pStyle w:val="ListParagraph"/>
        <w:numPr>
          <w:ilvl w:val="1"/>
          <w:numId w:val="12"/>
        </w:numPr>
        <w:autoSpaceDE w:val="0"/>
        <w:autoSpaceDN w:val="0"/>
        <w:adjustRightInd w:val="0"/>
        <w:spacing w:line="240" w:lineRule="auto"/>
        <w:ind w:left="720" w:right="-20"/>
      </w:pPr>
      <w:r w:rsidRPr="00A97FDC">
        <w:lastRenderedPageBreak/>
        <w:t>Procedures</w:t>
      </w:r>
    </w:p>
    <w:p w:rsidR="00950534" w:rsidRPr="00A97FDC" w:rsidRDefault="00950534" w:rsidP="00950534">
      <w:pPr>
        <w:pStyle w:val="ListParagraph"/>
        <w:autoSpaceDE w:val="0"/>
        <w:autoSpaceDN w:val="0"/>
        <w:adjustRightInd w:val="0"/>
        <w:spacing w:line="240" w:lineRule="auto"/>
        <w:ind w:left="1080" w:right="-20"/>
      </w:pPr>
    </w:p>
    <w:p w:rsidR="00936E51" w:rsidRDefault="00936E51" w:rsidP="00693306">
      <w:pPr>
        <w:pStyle w:val="ListParagraph"/>
        <w:autoSpaceDE w:val="0"/>
        <w:autoSpaceDN w:val="0"/>
        <w:adjustRightInd w:val="0"/>
        <w:spacing w:line="240" w:lineRule="auto"/>
        <w:ind w:right="-20"/>
      </w:pPr>
      <w:r>
        <w:t>Verify the licensee has</w:t>
      </w:r>
      <w:r w:rsidR="00950534" w:rsidRPr="00A97FDC">
        <w:t xml:space="preserve"> approved procedures for </w:t>
      </w:r>
      <w:r>
        <w:t xml:space="preserve">maintenance, </w:t>
      </w:r>
      <w:r w:rsidR="00950534" w:rsidRPr="00A97FDC">
        <w:t>testing, calibration, and use of the primary and backup SFP instrumentation channels</w:t>
      </w:r>
      <w:r w:rsidR="002E75C3">
        <w:t>.  Verify these procedures follow the guidance contained in NEI 12-02</w:t>
      </w:r>
      <w:r>
        <w:t xml:space="preserve"> and that these proce</w:t>
      </w:r>
      <w:r w:rsidR="002665B8">
        <w:t>du</w:t>
      </w:r>
      <w:r>
        <w:t>res are part of an existing licensee process to be maintained.</w:t>
      </w:r>
    </w:p>
    <w:p w:rsidR="0075028A" w:rsidRDefault="0075028A" w:rsidP="00936E51">
      <w:pPr>
        <w:pStyle w:val="ListParagraph"/>
        <w:autoSpaceDE w:val="0"/>
        <w:autoSpaceDN w:val="0"/>
        <w:adjustRightInd w:val="0"/>
        <w:spacing w:line="240" w:lineRule="auto"/>
        <w:ind w:left="360" w:right="-20"/>
      </w:pPr>
    </w:p>
    <w:p w:rsidR="0075028A" w:rsidRDefault="0075028A" w:rsidP="00936E51">
      <w:pPr>
        <w:pStyle w:val="ListParagraph"/>
        <w:autoSpaceDE w:val="0"/>
        <w:autoSpaceDN w:val="0"/>
        <w:adjustRightInd w:val="0"/>
        <w:spacing w:line="240" w:lineRule="auto"/>
        <w:ind w:left="360" w:right="-20"/>
      </w:pPr>
    </w:p>
    <w:p w:rsidR="00E05C68" w:rsidRPr="006F10DF" w:rsidRDefault="00E05C68" w:rsidP="00E05C68">
      <w:pPr>
        <w:pStyle w:val="ListParagraph"/>
        <w:spacing w:line="240" w:lineRule="auto"/>
        <w:ind w:left="0"/>
      </w:pPr>
      <w:r w:rsidRPr="006F10DF">
        <w:t>2515/191-</w:t>
      </w:r>
      <w:proofErr w:type="gramStart"/>
      <w:r w:rsidRPr="006F10DF">
        <w:t>04  REPORTING</w:t>
      </w:r>
      <w:proofErr w:type="gramEnd"/>
      <w:r w:rsidRPr="006F10DF">
        <w:t xml:space="preserve"> REQUIREMENTS:</w:t>
      </w:r>
    </w:p>
    <w:p w:rsidR="00B74CE8" w:rsidRDefault="00B74CE8" w:rsidP="00B74CE8">
      <w:pPr>
        <w:pStyle w:val="ListParagraph"/>
        <w:spacing w:line="240" w:lineRule="auto"/>
        <w:ind w:left="0"/>
      </w:pPr>
    </w:p>
    <w:p w:rsidR="00B74CE8" w:rsidRPr="00FD72A2" w:rsidRDefault="00B74CE8" w:rsidP="00B74CE8">
      <w:pPr>
        <w:pStyle w:val="ListParagraph"/>
        <w:spacing w:line="240" w:lineRule="auto"/>
        <w:ind w:left="0"/>
      </w:pPr>
      <w:r>
        <w:t xml:space="preserve">Document the completion of Appendix B of the TI as a feeder to </w:t>
      </w:r>
      <w:r w:rsidR="0070488A">
        <w:t xml:space="preserve">a </w:t>
      </w:r>
      <w:r>
        <w:t xml:space="preserve">routine resident inspector report.    </w:t>
      </w:r>
    </w:p>
    <w:p w:rsidR="00B74CE8" w:rsidRDefault="00B74CE8" w:rsidP="00382033">
      <w:pPr>
        <w:tabs>
          <w:tab w:val="left" w:pos="274"/>
          <w:tab w:val="left" w:pos="806"/>
          <w:tab w:val="left" w:pos="1440"/>
          <w:tab w:val="left" w:pos="2074"/>
        </w:tabs>
        <w:autoSpaceDE w:val="0"/>
        <w:autoSpaceDN w:val="0"/>
        <w:adjustRightInd w:val="0"/>
        <w:spacing w:line="240" w:lineRule="auto"/>
        <w:rPr>
          <w:color w:val="000000"/>
        </w:rPr>
      </w:pPr>
    </w:p>
    <w:p w:rsidR="00382033" w:rsidRDefault="00382033" w:rsidP="00382033">
      <w:pPr>
        <w:tabs>
          <w:tab w:val="left" w:pos="274"/>
          <w:tab w:val="left" w:pos="806"/>
          <w:tab w:val="left" w:pos="1440"/>
          <w:tab w:val="left" w:pos="2074"/>
        </w:tabs>
        <w:autoSpaceDE w:val="0"/>
        <w:autoSpaceDN w:val="0"/>
        <w:adjustRightInd w:val="0"/>
        <w:spacing w:line="240" w:lineRule="auto"/>
        <w:rPr>
          <w:rFonts w:eastAsia="Times New Roman"/>
        </w:rPr>
      </w:pPr>
      <w:r>
        <w:rPr>
          <w:color w:val="000000"/>
        </w:rPr>
        <w:t xml:space="preserve">Inspectors should notify </w:t>
      </w:r>
      <w:r w:rsidR="004D51CE" w:rsidRPr="00F53DB4">
        <w:rPr>
          <w:color w:val="000000"/>
        </w:rPr>
        <w:t>NRR/</w:t>
      </w:r>
      <w:r w:rsidR="004D51CE">
        <w:t xml:space="preserve">JLD/JOMB </w:t>
      </w:r>
      <w:r>
        <w:rPr>
          <w:color w:val="000000"/>
        </w:rPr>
        <w:t>of any issues of concern and such issues will be screened through a cross-regional panel.  Following consultation with</w:t>
      </w:r>
      <w:r w:rsidR="004D51CE" w:rsidRPr="004D51CE">
        <w:rPr>
          <w:color w:val="000000"/>
        </w:rPr>
        <w:t xml:space="preserve"> </w:t>
      </w:r>
      <w:r w:rsidR="004D51CE" w:rsidRPr="00F53DB4">
        <w:rPr>
          <w:color w:val="000000"/>
        </w:rPr>
        <w:t>NRR/</w:t>
      </w:r>
      <w:r w:rsidR="004D51CE">
        <w:t>JLD/JOMB</w:t>
      </w:r>
      <w:r>
        <w:rPr>
          <w:color w:val="000000"/>
        </w:rPr>
        <w:t xml:space="preserve">, and conduct of a cross-regional screening panel, document any issues in accordance with IMC 0612, “Power Reactor Inspection Reports” in Section 4OA5 of a quarterly inspection report. </w:t>
      </w:r>
    </w:p>
    <w:p w:rsidR="00382033" w:rsidRPr="00F53DB4" w:rsidRDefault="00382033" w:rsidP="00382033">
      <w:pPr>
        <w:tabs>
          <w:tab w:val="left" w:pos="274"/>
          <w:tab w:val="left" w:pos="806"/>
          <w:tab w:val="left" w:pos="1440"/>
          <w:tab w:val="left" w:pos="2074"/>
        </w:tabs>
        <w:autoSpaceDE w:val="0"/>
        <w:autoSpaceDN w:val="0"/>
        <w:adjustRightInd w:val="0"/>
        <w:spacing w:line="240" w:lineRule="auto"/>
        <w:rPr>
          <w:rFonts w:eastAsia="Times New Roman"/>
        </w:rPr>
      </w:pPr>
    </w:p>
    <w:p w:rsidR="00382033" w:rsidRPr="00F53DB4" w:rsidRDefault="00382033" w:rsidP="00382033">
      <w:pPr>
        <w:autoSpaceDE w:val="0"/>
        <w:autoSpaceDN w:val="0"/>
        <w:adjustRightInd w:val="0"/>
        <w:spacing w:line="240" w:lineRule="auto"/>
        <w:rPr>
          <w:color w:val="000000"/>
        </w:rPr>
      </w:pPr>
      <w:r>
        <w:rPr>
          <w:color w:val="000000"/>
        </w:rPr>
        <w:t xml:space="preserve">If no more-than-minor issues of concern are identified, </w:t>
      </w:r>
      <w:r w:rsidRPr="00F53DB4">
        <w:rPr>
          <w:color w:val="000000"/>
        </w:rPr>
        <w:t>the following statements</w:t>
      </w:r>
      <w:r>
        <w:rPr>
          <w:color w:val="000000"/>
        </w:rPr>
        <w:t xml:space="preserve"> should be included in Section 4OA5 of a quarterly inspection report</w:t>
      </w:r>
      <w:r w:rsidRPr="00F53DB4">
        <w:rPr>
          <w:color w:val="000000"/>
        </w:rPr>
        <w:t>:</w:t>
      </w:r>
    </w:p>
    <w:p w:rsidR="00382033" w:rsidRDefault="00382033" w:rsidP="00936E51">
      <w:pPr>
        <w:autoSpaceDE w:val="0"/>
        <w:autoSpaceDN w:val="0"/>
        <w:adjustRightInd w:val="0"/>
        <w:spacing w:line="240" w:lineRule="auto"/>
        <w:rPr>
          <w:color w:val="000000"/>
        </w:rPr>
      </w:pPr>
    </w:p>
    <w:p w:rsidR="00750871" w:rsidRDefault="00936E51" w:rsidP="00936E51">
      <w:pPr>
        <w:autoSpaceDE w:val="0"/>
        <w:autoSpaceDN w:val="0"/>
        <w:adjustRightInd w:val="0"/>
        <w:spacing w:line="240" w:lineRule="auto"/>
      </w:pPr>
      <w:r w:rsidRPr="00F53DB4">
        <w:rPr>
          <w:color w:val="000000"/>
        </w:rPr>
        <w:t>“</w:t>
      </w:r>
      <w:r w:rsidR="00382033">
        <w:rPr>
          <w:color w:val="000000"/>
        </w:rPr>
        <w:t xml:space="preserve">Based on samples selected for review, the </w:t>
      </w:r>
      <w:r>
        <w:rPr>
          <w:color w:val="000000"/>
        </w:rPr>
        <w:t>i</w:t>
      </w:r>
      <w:r w:rsidRPr="00F53DB4">
        <w:rPr>
          <w:color w:val="000000"/>
        </w:rPr>
        <w:t xml:space="preserve">nspector(s) </w:t>
      </w:r>
      <w:r>
        <w:rPr>
          <w:color w:val="000000"/>
        </w:rPr>
        <w:t>determined</w:t>
      </w:r>
      <w:r w:rsidRPr="00F53DB4">
        <w:rPr>
          <w:color w:val="000000"/>
        </w:rPr>
        <w:t xml:space="preserve"> that </w:t>
      </w:r>
      <w:r>
        <w:rPr>
          <w:color w:val="000000"/>
        </w:rPr>
        <w:t xml:space="preserve">the </w:t>
      </w:r>
      <w:r w:rsidRPr="00F53DB4">
        <w:rPr>
          <w:color w:val="000000"/>
        </w:rPr>
        <w:t xml:space="preserve">licensee </w:t>
      </w:r>
      <w:r w:rsidR="00750871">
        <w:rPr>
          <w:color w:val="000000"/>
        </w:rPr>
        <w:t xml:space="preserve">satisfactorily installed and established control of the SFP instrumentation as described in the plant specific submittal(s) and the associated safety evaluation [provide ADAMS number] and determined that the licensee </w:t>
      </w:r>
      <w:r>
        <w:rPr>
          <w:color w:val="000000"/>
        </w:rPr>
        <w:t xml:space="preserve">is </w:t>
      </w:r>
      <w:r w:rsidR="00382033">
        <w:rPr>
          <w:color w:val="000000"/>
        </w:rPr>
        <w:t xml:space="preserve">generally </w:t>
      </w:r>
      <w:r>
        <w:rPr>
          <w:color w:val="000000"/>
        </w:rPr>
        <w:t>in compliance</w:t>
      </w:r>
      <w:r w:rsidRPr="00F53DB4">
        <w:rPr>
          <w:color w:val="000000"/>
        </w:rPr>
        <w:t xml:space="preserve"> with NRC Order EA-12-0</w:t>
      </w:r>
      <w:r>
        <w:rPr>
          <w:color w:val="000000"/>
        </w:rPr>
        <w:t>51</w:t>
      </w:r>
      <w:r w:rsidR="003536C5" w:rsidRPr="00694845">
        <w:t xml:space="preserve">, </w:t>
      </w:r>
      <w:r w:rsidR="003536C5" w:rsidRPr="00694845">
        <w:rPr>
          <w:bCs/>
        </w:rPr>
        <w:t xml:space="preserve">Order </w:t>
      </w:r>
      <w:r w:rsidR="003536C5">
        <w:rPr>
          <w:bCs/>
        </w:rPr>
        <w:t>Modifying Licenses With Regard t</w:t>
      </w:r>
      <w:r w:rsidR="003536C5" w:rsidRPr="00694845">
        <w:rPr>
          <w:bCs/>
        </w:rPr>
        <w:t>o Reliable Spent Fuel Pool Instrumentation</w:t>
      </w:r>
      <w:r w:rsidR="003536C5" w:rsidRPr="00694845">
        <w:t xml:space="preserve"> (ADAMS Accession No. </w:t>
      </w:r>
      <w:hyperlink r:id="rId31" w:history="1">
        <w:r w:rsidR="003536C5" w:rsidRPr="00694845">
          <w:rPr>
            <w:rStyle w:val="Hyperlink"/>
          </w:rPr>
          <w:t>ML12056A044</w:t>
        </w:r>
      </w:hyperlink>
      <w:r w:rsidR="003536C5" w:rsidRPr="00694845">
        <w:t>)</w:t>
      </w:r>
      <w:r w:rsidR="00750871">
        <w:t xml:space="preserve">.  </w:t>
      </w:r>
    </w:p>
    <w:p w:rsidR="00750871" w:rsidRDefault="00750871" w:rsidP="00936E51">
      <w:pPr>
        <w:autoSpaceDE w:val="0"/>
        <w:autoSpaceDN w:val="0"/>
        <w:adjustRightInd w:val="0"/>
        <w:spacing w:line="240" w:lineRule="auto"/>
      </w:pPr>
    </w:p>
    <w:p w:rsidR="00750871" w:rsidRDefault="00750871" w:rsidP="00936E51">
      <w:pPr>
        <w:autoSpaceDE w:val="0"/>
        <w:autoSpaceDN w:val="0"/>
        <w:adjustRightInd w:val="0"/>
        <w:spacing w:line="240" w:lineRule="auto"/>
      </w:pPr>
      <w:r>
        <w:t>The inspectors verified that the licensee satisfactorily:</w:t>
      </w:r>
    </w:p>
    <w:p w:rsidR="006A4AEB" w:rsidRDefault="006A4AEB" w:rsidP="00936E51">
      <w:pPr>
        <w:autoSpaceDE w:val="0"/>
        <w:autoSpaceDN w:val="0"/>
        <w:adjustRightInd w:val="0"/>
        <w:spacing w:line="240" w:lineRule="auto"/>
      </w:pPr>
    </w:p>
    <w:p w:rsidR="00750871" w:rsidRDefault="006A4AEB" w:rsidP="00750871">
      <w:pPr>
        <w:pStyle w:val="ListParagraph"/>
        <w:numPr>
          <w:ilvl w:val="0"/>
          <w:numId w:val="38"/>
        </w:numPr>
        <w:autoSpaceDE w:val="0"/>
        <w:autoSpaceDN w:val="0"/>
        <w:adjustRightInd w:val="0"/>
        <w:spacing w:line="240" w:lineRule="auto"/>
      </w:pPr>
      <w:proofErr w:type="gramStart"/>
      <w:r>
        <w:t>i</w:t>
      </w:r>
      <w:r w:rsidR="00750871">
        <w:t>nstalled</w:t>
      </w:r>
      <w:proofErr w:type="gramEnd"/>
      <w:r w:rsidR="00750871">
        <w:t xml:space="preserve"> the SFP instrumentation sensors, cabling and power supplies </w:t>
      </w:r>
      <w:r w:rsidR="00A13CA9">
        <w:t>to provide phy</w:t>
      </w:r>
      <w:r>
        <w:t>sical and electrical separation</w:t>
      </w:r>
      <w:r w:rsidR="00A13CA9">
        <w:t xml:space="preserve"> as described in the plant specific submittal(s) and safety evaluation.</w:t>
      </w:r>
    </w:p>
    <w:p w:rsidR="00A13CA9" w:rsidRDefault="006A4AEB" w:rsidP="00750871">
      <w:pPr>
        <w:pStyle w:val="ListParagraph"/>
        <w:numPr>
          <w:ilvl w:val="0"/>
          <w:numId w:val="38"/>
        </w:numPr>
        <w:autoSpaceDE w:val="0"/>
        <w:autoSpaceDN w:val="0"/>
        <w:adjustRightInd w:val="0"/>
        <w:spacing w:line="240" w:lineRule="auto"/>
      </w:pPr>
      <w:r>
        <w:t>i</w:t>
      </w:r>
      <w:r w:rsidR="00A13CA9">
        <w:t>nstalled the SFP instrumentat</w:t>
      </w:r>
      <w:r>
        <w:t xml:space="preserve">ion display in the location, </w:t>
      </w:r>
      <w:r w:rsidR="00A13CA9">
        <w:t xml:space="preserve">environmental conditions </w:t>
      </w:r>
      <w:r>
        <w:t xml:space="preserve">and accessibility </w:t>
      </w:r>
      <w:r w:rsidR="00A13CA9">
        <w:t xml:space="preserve">as described in the plant specific submittal(s) </w:t>
      </w:r>
    </w:p>
    <w:p w:rsidR="00750871" w:rsidRDefault="006A4AEB" w:rsidP="00750871">
      <w:pPr>
        <w:pStyle w:val="ListParagraph"/>
        <w:numPr>
          <w:ilvl w:val="0"/>
          <w:numId w:val="37"/>
        </w:numPr>
        <w:autoSpaceDE w:val="0"/>
        <w:autoSpaceDN w:val="0"/>
        <w:adjustRightInd w:val="0"/>
        <w:spacing w:line="240" w:lineRule="auto"/>
        <w:rPr>
          <w:color w:val="000000"/>
        </w:rPr>
      </w:pPr>
      <w:proofErr w:type="gramStart"/>
      <w:r>
        <w:rPr>
          <w:color w:val="000000"/>
        </w:rPr>
        <w:t>t</w:t>
      </w:r>
      <w:r w:rsidR="00750871">
        <w:rPr>
          <w:color w:val="000000"/>
        </w:rPr>
        <w:t>rained</w:t>
      </w:r>
      <w:proofErr w:type="gramEnd"/>
      <w:r w:rsidR="00750871">
        <w:rPr>
          <w:color w:val="000000"/>
        </w:rPr>
        <w:t xml:space="preserve"> their staff to assure personnel proficiency with the </w:t>
      </w:r>
      <w:r>
        <w:rPr>
          <w:color w:val="000000"/>
        </w:rPr>
        <w:t>maintenance, testing, and use of the SFP instrumentation.</w:t>
      </w:r>
    </w:p>
    <w:p w:rsidR="00936E51" w:rsidRPr="00750871" w:rsidRDefault="006A4AEB" w:rsidP="00750871">
      <w:pPr>
        <w:pStyle w:val="ListParagraph"/>
        <w:numPr>
          <w:ilvl w:val="0"/>
          <w:numId w:val="37"/>
        </w:numPr>
        <w:autoSpaceDE w:val="0"/>
        <w:autoSpaceDN w:val="0"/>
        <w:adjustRightInd w:val="0"/>
        <w:spacing w:line="240" w:lineRule="auto"/>
        <w:rPr>
          <w:color w:val="000000"/>
        </w:rPr>
      </w:pPr>
      <w:proofErr w:type="gramStart"/>
      <w:r>
        <w:rPr>
          <w:color w:val="000000"/>
        </w:rPr>
        <w:t>d</w:t>
      </w:r>
      <w:r w:rsidR="00750871">
        <w:rPr>
          <w:color w:val="000000"/>
        </w:rPr>
        <w:t>eveloped</w:t>
      </w:r>
      <w:proofErr w:type="gramEnd"/>
      <w:r w:rsidR="00750871">
        <w:rPr>
          <w:color w:val="000000"/>
        </w:rPr>
        <w:t xml:space="preserve"> and issued procedures for mainten</w:t>
      </w:r>
      <w:r>
        <w:rPr>
          <w:color w:val="000000"/>
        </w:rPr>
        <w:t xml:space="preserve">ance, testing </w:t>
      </w:r>
      <w:r w:rsidR="00750871">
        <w:rPr>
          <w:color w:val="000000"/>
        </w:rPr>
        <w:t>and use of the reliable SFP instrumentation.</w:t>
      </w:r>
    </w:p>
    <w:p w:rsidR="00936E51" w:rsidRPr="00A97FDC" w:rsidRDefault="00936E51" w:rsidP="00936E51">
      <w:pPr>
        <w:autoSpaceDE w:val="0"/>
        <w:autoSpaceDN w:val="0"/>
        <w:adjustRightInd w:val="0"/>
        <w:spacing w:line="240" w:lineRule="auto"/>
      </w:pPr>
    </w:p>
    <w:p w:rsidR="00BB53BB" w:rsidRDefault="00382033" w:rsidP="00382033">
      <w:pPr>
        <w:autoSpaceDE w:val="0"/>
        <w:autoSpaceDN w:val="0"/>
        <w:adjustRightInd w:val="0"/>
        <w:spacing w:line="240" w:lineRule="auto"/>
        <w:rPr>
          <w:color w:val="000000"/>
        </w:rPr>
      </w:pPr>
      <w:r w:rsidRPr="00F53DB4">
        <w:rPr>
          <w:color w:val="000000"/>
        </w:rPr>
        <w:t>The inspectors verified that noncompliances with current licensing requirements, and other issues identified during the inspection were entered into the licensee's corrective action program (list the correction action document(s) number).</w:t>
      </w:r>
      <w:r w:rsidR="00BB53BB">
        <w:rPr>
          <w:color w:val="000000"/>
        </w:rPr>
        <w:t>”</w:t>
      </w:r>
    </w:p>
    <w:p w:rsidR="00BB53BB" w:rsidRDefault="00BB53BB" w:rsidP="00382033">
      <w:pPr>
        <w:autoSpaceDE w:val="0"/>
        <w:autoSpaceDN w:val="0"/>
        <w:adjustRightInd w:val="0"/>
        <w:spacing w:line="240" w:lineRule="auto"/>
        <w:rPr>
          <w:color w:val="000000"/>
        </w:rPr>
      </w:pPr>
    </w:p>
    <w:p w:rsidR="00BB53BB" w:rsidRDefault="00BB53BB" w:rsidP="00BB53BB">
      <w:pPr>
        <w:autoSpaceDE w:val="0"/>
        <w:autoSpaceDN w:val="0"/>
        <w:adjustRightInd w:val="0"/>
        <w:spacing w:line="240" w:lineRule="auto"/>
        <w:rPr>
          <w:color w:val="000000"/>
        </w:rPr>
      </w:pPr>
      <w:r>
        <w:rPr>
          <w:color w:val="000000"/>
        </w:rPr>
        <w:t>Alternately, at the discretion of the Region, completion of Appendix B of the TI may be documented in a</w:t>
      </w:r>
      <w:r w:rsidR="00BE52E9">
        <w:rPr>
          <w:color w:val="000000"/>
        </w:rPr>
        <w:t xml:space="preserve"> stand-alone inspection report.</w:t>
      </w:r>
    </w:p>
    <w:p w:rsidR="00B9215D" w:rsidRDefault="00B9215D" w:rsidP="00BB53BB">
      <w:pPr>
        <w:autoSpaceDE w:val="0"/>
        <w:autoSpaceDN w:val="0"/>
        <w:adjustRightInd w:val="0"/>
        <w:spacing w:line="240" w:lineRule="auto"/>
        <w:rPr>
          <w:color w:val="000000"/>
        </w:rPr>
      </w:pPr>
    </w:p>
    <w:p w:rsidR="00B9215D" w:rsidRDefault="00B9215D" w:rsidP="00BB53BB">
      <w:pPr>
        <w:autoSpaceDE w:val="0"/>
        <w:autoSpaceDN w:val="0"/>
        <w:adjustRightInd w:val="0"/>
        <w:spacing w:line="240" w:lineRule="auto"/>
        <w:rPr>
          <w:color w:val="000000"/>
        </w:rPr>
      </w:pPr>
    </w:p>
    <w:p w:rsidR="00B9215D" w:rsidRDefault="00B9215D" w:rsidP="00B9215D">
      <w:pPr>
        <w:autoSpaceDE w:val="0"/>
        <w:autoSpaceDN w:val="0"/>
        <w:adjustRightInd w:val="0"/>
        <w:spacing w:line="240" w:lineRule="auto"/>
        <w:jc w:val="center"/>
        <w:rPr>
          <w:color w:val="000000"/>
        </w:rPr>
        <w:sectPr w:rsidR="00B9215D" w:rsidSect="00994188">
          <w:footerReference w:type="default" r:id="rId32"/>
          <w:pgSz w:w="12240" w:h="15840"/>
          <w:pgMar w:top="1440" w:right="1440" w:bottom="1440" w:left="1440" w:header="1440" w:footer="1440" w:gutter="0"/>
          <w:pgNumType w:chapStyle="1"/>
          <w:cols w:space="720"/>
          <w:docGrid w:linePitch="360"/>
        </w:sectPr>
      </w:pPr>
      <w:r>
        <w:rPr>
          <w:color w:val="000000"/>
        </w:rPr>
        <w:t>END</w:t>
      </w:r>
    </w:p>
    <w:p w:rsidR="0090422E" w:rsidRPr="00130EF9" w:rsidRDefault="0090422E" w:rsidP="00BE52E9">
      <w:pPr>
        <w:pStyle w:val="ListParagraph"/>
        <w:autoSpaceDE w:val="0"/>
        <w:autoSpaceDN w:val="0"/>
        <w:adjustRightInd w:val="0"/>
        <w:spacing w:line="240" w:lineRule="auto"/>
        <w:ind w:left="1080"/>
        <w:jc w:val="center"/>
      </w:pPr>
      <w:r w:rsidRPr="00130EF9">
        <w:lastRenderedPageBreak/>
        <w:t xml:space="preserve">Appendix </w:t>
      </w:r>
      <w:r w:rsidR="007C061E">
        <w:t>C</w:t>
      </w:r>
      <w:r w:rsidRPr="00130EF9">
        <w:t xml:space="preserve"> – STAFFING AND COMMUNICATION REQUEST FOR INFORMATION</w:t>
      </w:r>
    </w:p>
    <w:p w:rsidR="0090422E" w:rsidRPr="006F10DF" w:rsidRDefault="0090422E" w:rsidP="0090422E">
      <w:pPr>
        <w:spacing w:line="240" w:lineRule="auto"/>
      </w:pPr>
    </w:p>
    <w:p w:rsidR="0090422E" w:rsidRPr="006F10DF" w:rsidRDefault="0090422E" w:rsidP="0090422E">
      <w:pPr>
        <w:spacing w:line="240" w:lineRule="auto"/>
      </w:pPr>
      <w:r w:rsidRPr="006F10DF">
        <w:t>2515/191-</w:t>
      </w:r>
      <w:proofErr w:type="gramStart"/>
      <w:r w:rsidRPr="006F10DF">
        <w:t>03  INSPECTION</w:t>
      </w:r>
      <w:proofErr w:type="gramEnd"/>
      <w:r w:rsidRPr="006F10DF">
        <w:t xml:space="preserve"> REQUIREMENTS:</w:t>
      </w:r>
    </w:p>
    <w:p w:rsidR="0090422E" w:rsidRPr="00130EF9" w:rsidRDefault="0090422E" w:rsidP="0090422E">
      <w:pPr>
        <w:autoSpaceDE w:val="0"/>
        <w:autoSpaceDN w:val="0"/>
        <w:adjustRightInd w:val="0"/>
        <w:spacing w:line="240" w:lineRule="auto"/>
        <w:ind w:left="1080" w:hanging="1080"/>
        <w:jc w:val="both"/>
        <w:rPr>
          <w:color w:val="000000"/>
        </w:rPr>
      </w:pPr>
    </w:p>
    <w:p w:rsidR="00FC188F" w:rsidRPr="00FC188F" w:rsidRDefault="00FC188F" w:rsidP="00FC188F">
      <w:pPr>
        <w:autoSpaceDE w:val="0"/>
        <w:autoSpaceDN w:val="0"/>
        <w:adjustRightInd w:val="0"/>
        <w:spacing w:line="240" w:lineRule="auto"/>
        <w:ind w:left="1080" w:hanging="1080"/>
        <w:jc w:val="both"/>
        <w:rPr>
          <w:color w:val="000000"/>
          <w:u w:val="single"/>
        </w:rPr>
      </w:pPr>
      <w:r w:rsidRPr="00FC188F">
        <w:rPr>
          <w:color w:val="000000"/>
        </w:rPr>
        <w:t xml:space="preserve">03.01 </w:t>
      </w:r>
      <w:r w:rsidRPr="00FC188F">
        <w:rPr>
          <w:color w:val="000000"/>
          <w:u w:val="single"/>
        </w:rPr>
        <w:t>General</w:t>
      </w:r>
    </w:p>
    <w:p w:rsidR="00FC188F" w:rsidRPr="00FC188F" w:rsidRDefault="00FC188F" w:rsidP="00FC188F">
      <w:pPr>
        <w:autoSpaceDE w:val="0"/>
        <w:autoSpaceDN w:val="0"/>
        <w:adjustRightInd w:val="0"/>
        <w:spacing w:line="240" w:lineRule="auto"/>
        <w:ind w:left="1080" w:hanging="1080"/>
        <w:jc w:val="both"/>
        <w:rPr>
          <w:color w:val="000000"/>
        </w:rPr>
      </w:pPr>
    </w:p>
    <w:p w:rsidR="00FC188F" w:rsidRPr="00FC188F" w:rsidRDefault="00FC188F" w:rsidP="00FC188F">
      <w:pPr>
        <w:autoSpaceDE w:val="0"/>
        <w:autoSpaceDN w:val="0"/>
        <w:adjustRightInd w:val="0"/>
        <w:spacing w:after="262" w:line="253" w:lineRule="atLeast"/>
        <w:ind w:right="130"/>
      </w:pPr>
      <w:r w:rsidRPr="00FC188F">
        <w:t>Per the March 12, 2012</w:t>
      </w:r>
      <w:r w:rsidR="00330B5E">
        <w:t>,</w:t>
      </w:r>
      <w:r w:rsidRPr="00FC188F">
        <w:t xml:space="preserve"> request for information letter (</w:t>
      </w:r>
      <w:hyperlink r:id="rId33" w:history="1">
        <w:r w:rsidRPr="00FC188F">
          <w:rPr>
            <w:color w:val="0000FF" w:themeColor="hyperlink"/>
          </w:rPr>
          <w:t>ML12053A340</w:t>
        </w:r>
      </w:hyperlink>
      <w:r w:rsidRPr="00FC188F">
        <w:rPr>
          <w:color w:val="0000FF" w:themeColor="hyperlink"/>
        </w:rPr>
        <w:t xml:space="preserve">), </w:t>
      </w:r>
      <w:r w:rsidRPr="00FC188F">
        <w:t>licensees were requested, in part, to provide an assessment of their current capabilities pertaining to Near-Term Task Force (N</w:t>
      </w:r>
      <w:r w:rsidR="004D51CE">
        <w:t>T</w:t>
      </w:r>
      <w:r w:rsidRPr="00FC188F">
        <w:t>TF) Recommendation 9.3 response to a large scale natural emergency event that results in an extended loss of all ac power to all site units, and impeded access to the site</w:t>
      </w:r>
      <w:r w:rsidR="002F5D75">
        <w:t>.  Additionally,</w:t>
      </w:r>
      <w:r w:rsidR="000D326F">
        <w:t xml:space="preserve"> COMSECY</w:t>
      </w:r>
      <w:r w:rsidR="000D326F" w:rsidRPr="005F449C">
        <w:t xml:space="preserve">-13-0010, </w:t>
      </w:r>
      <w:r w:rsidR="000D326F" w:rsidRPr="005F449C">
        <w:rPr>
          <w:i/>
        </w:rPr>
        <w:t>Schedule and Plans for Tier 2 Order on Emergency Preparedness for Japan Lessons Learned</w:t>
      </w:r>
      <w:r w:rsidR="000D326F" w:rsidRPr="005F449C">
        <w:t>, dated March 27, 2013</w:t>
      </w:r>
      <w:r w:rsidR="000D326F">
        <w:t xml:space="preserve"> (</w:t>
      </w:r>
      <w:r w:rsidR="000D326F" w:rsidRPr="00F53DB4">
        <w:t xml:space="preserve">ADAMS Accession No. </w:t>
      </w:r>
      <w:r w:rsidR="000D326F" w:rsidRPr="00012C9B">
        <w:t>ML12339A262</w:t>
      </w:r>
      <w:r w:rsidR="000D326F">
        <w:t>)</w:t>
      </w:r>
      <w:r w:rsidR="00292ED2">
        <w:t xml:space="preserve"> described industry’s plans to provide multi-unit dose assessments.  </w:t>
      </w:r>
      <w:r w:rsidRPr="00FC188F">
        <w:t>T</w:t>
      </w:r>
      <w:r w:rsidR="00292ED2">
        <w:t>ogether these</w:t>
      </w:r>
      <w:r w:rsidRPr="00FC188F">
        <w:t xml:space="preserve"> </w:t>
      </w:r>
      <w:r w:rsidR="00CB4264">
        <w:t xml:space="preserve">licensee </w:t>
      </w:r>
      <w:r w:rsidRPr="00FC188F">
        <w:t>assessment</w:t>
      </w:r>
      <w:r w:rsidR="00292ED2">
        <w:t>s</w:t>
      </w:r>
      <w:r w:rsidRPr="00FC188F">
        <w:t xml:space="preserve"> include:</w:t>
      </w:r>
    </w:p>
    <w:p w:rsidR="00FC188F" w:rsidRPr="006F10DF" w:rsidRDefault="00FC188F" w:rsidP="006F10DF">
      <w:pPr>
        <w:numPr>
          <w:ilvl w:val="0"/>
          <w:numId w:val="30"/>
        </w:numPr>
        <w:autoSpaceDE w:val="0"/>
        <w:autoSpaceDN w:val="0"/>
        <w:adjustRightInd w:val="0"/>
        <w:spacing w:line="240" w:lineRule="auto"/>
        <w:ind w:right="130"/>
      </w:pPr>
      <w:r w:rsidRPr="006F10DF">
        <w:t xml:space="preserve">A description of communications systems equipment and staffing needed for an extended loss of all ac power </w:t>
      </w:r>
      <w:r w:rsidR="00B76D0E" w:rsidRPr="006F10DF">
        <w:t xml:space="preserve">(ELAP) </w:t>
      </w:r>
      <w:r w:rsidRPr="006F10DF">
        <w:t>to all site units, and impeded access to the site.</w:t>
      </w:r>
    </w:p>
    <w:p w:rsidR="00FC188F" w:rsidRPr="006F10DF" w:rsidRDefault="00FC188F" w:rsidP="006F10DF">
      <w:pPr>
        <w:autoSpaceDE w:val="0"/>
        <w:autoSpaceDN w:val="0"/>
        <w:adjustRightInd w:val="0"/>
        <w:spacing w:line="240" w:lineRule="auto"/>
        <w:rPr>
          <w:color w:val="000000"/>
        </w:rPr>
      </w:pPr>
    </w:p>
    <w:p w:rsidR="00FC188F" w:rsidRPr="006F10DF" w:rsidRDefault="00FC188F" w:rsidP="006F10DF">
      <w:pPr>
        <w:numPr>
          <w:ilvl w:val="0"/>
          <w:numId w:val="30"/>
        </w:numPr>
        <w:autoSpaceDE w:val="0"/>
        <w:autoSpaceDN w:val="0"/>
        <w:adjustRightInd w:val="0"/>
        <w:spacing w:line="240" w:lineRule="auto"/>
        <w:ind w:right="130"/>
      </w:pPr>
      <w:r w:rsidRPr="006F10DF">
        <w:t>Any identified enhancements completed</w:t>
      </w:r>
      <w:r w:rsidR="000D326F" w:rsidRPr="006F10DF">
        <w:t xml:space="preserve"> </w:t>
      </w:r>
      <w:r w:rsidRPr="006F10DF">
        <w:t xml:space="preserve">to ensure communications would be maintained and staffing levels would be appropriate </w:t>
      </w:r>
      <w:r w:rsidR="00566214" w:rsidRPr="006F10DF">
        <w:t>to fill all necessary positions as defined in Phase 1 and 2 staffing assessments</w:t>
      </w:r>
      <w:r w:rsidR="009E0CF4" w:rsidRPr="006F10DF">
        <w:t xml:space="preserve"> and the NRC safety assessment</w:t>
      </w:r>
      <w:r w:rsidRPr="006F10DF">
        <w:t>.</w:t>
      </w:r>
    </w:p>
    <w:p w:rsidR="00FC188F" w:rsidRPr="006F10DF" w:rsidRDefault="00FC188F" w:rsidP="006F10DF">
      <w:pPr>
        <w:autoSpaceDE w:val="0"/>
        <w:autoSpaceDN w:val="0"/>
        <w:adjustRightInd w:val="0"/>
        <w:spacing w:line="240" w:lineRule="auto"/>
        <w:rPr>
          <w:color w:val="000000"/>
        </w:rPr>
      </w:pPr>
    </w:p>
    <w:p w:rsidR="00FC188F" w:rsidRPr="006F10DF" w:rsidRDefault="00B51641" w:rsidP="006F10DF">
      <w:pPr>
        <w:numPr>
          <w:ilvl w:val="0"/>
          <w:numId w:val="30"/>
        </w:numPr>
        <w:autoSpaceDE w:val="0"/>
        <w:autoSpaceDN w:val="0"/>
        <w:adjustRightInd w:val="0"/>
        <w:spacing w:line="240" w:lineRule="auto"/>
        <w:ind w:right="130"/>
      </w:pPr>
      <w:r w:rsidRPr="006F10DF">
        <w:t>For multi-unit sites, a</w:t>
      </w:r>
      <w:r w:rsidR="00FC188F" w:rsidRPr="006F10DF">
        <w:t>n assessment of the sites capability to perform multi-unit dose assessment and any enhancements completed</w:t>
      </w:r>
      <w:r w:rsidR="000D326F" w:rsidRPr="006F10DF">
        <w:t xml:space="preserve"> </w:t>
      </w:r>
      <w:r w:rsidR="00FC188F" w:rsidRPr="006F10DF">
        <w:t>to realize this capability.</w:t>
      </w:r>
    </w:p>
    <w:p w:rsidR="00FC188F" w:rsidRPr="006F10DF" w:rsidRDefault="00FC188F" w:rsidP="006F10DF">
      <w:pPr>
        <w:autoSpaceDE w:val="0"/>
        <w:autoSpaceDN w:val="0"/>
        <w:adjustRightInd w:val="0"/>
        <w:spacing w:line="240" w:lineRule="auto"/>
        <w:rPr>
          <w:color w:val="000000"/>
        </w:rPr>
      </w:pPr>
    </w:p>
    <w:p w:rsidR="00FC188F" w:rsidRPr="006F10DF" w:rsidRDefault="00FC188F" w:rsidP="006F10DF">
      <w:pPr>
        <w:autoSpaceDE w:val="0"/>
        <w:autoSpaceDN w:val="0"/>
        <w:adjustRightInd w:val="0"/>
        <w:spacing w:line="240" w:lineRule="auto"/>
        <w:ind w:right="-20"/>
        <w:contextualSpacing/>
      </w:pPr>
      <w:r w:rsidRPr="006F10DF">
        <w:t>This TI will verify that the licensee has:</w:t>
      </w:r>
    </w:p>
    <w:p w:rsidR="00FC188F" w:rsidRPr="006F10DF" w:rsidRDefault="00FC188F" w:rsidP="006F10DF">
      <w:pPr>
        <w:autoSpaceDE w:val="0"/>
        <w:autoSpaceDN w:val="0"/>
        <w:adjustRightInd w:val="0"/>
        <w:spacing w:line="240" w:lineRule="auto"/>
        <w:ind w:right="-20"/>
        <w:contextualSpacing/>
      </w:pPr>
    </w:p>
    <w:p w:rsidR="00FC188F" w:rsidRPr="006F10DF" w:rsidRDefault="00FC188F" w:rsidP="006F10DF">
      <w:pPr>
        <w:numPr>
          <w:ilvl w:val="0"/>
          <w:numId w:val="30"/>
        </w:numPr>
        <w:autoSpaceDE w:val="0"/>
        <w:autoSpaceDN w:val="0"/>
        <w:adjustRightInd w:val="0"/>
        <w:spacing w:line="240" w:lineRule="auto"/>
        <w:ind w:right="130"/>
      </w:pPr>
      <w:r w:rsidRPr="006F10DF">
        <w:t>Implemented required staffing change(s) to support</w:t>
      </w:r>
      <w:r w:rsidR="000330FD" w:rsidRPr="006F10DF">
        <w:t xml:space="preserve"> a</w:t>
      </w:r>
      <w:r w:rsidRPr="006F10DF">
        <w:t xml:space="preserve"> multi</w:t>
      </w:r>
      <w:r w:rsidR="00B43A72" w:rsidRPr="006F10DF">
        <w:t>-</w:t>
      </w:r>
      <w:r w:rsidRPr="006F10DF">
        <w:t xml:space="preserve">unit </w:t>
      </w:r>
      <w:r w:rsidR="000D326F" w:rsidRPr="006F10DF">
        <w:t>ELAP</w:t>
      </w:r>
      <w:r w:rsidR="00B76D0E" w:rsidRPr="006F10DF">
        <w:t xml:space="preserve"> </w:t>
      </w:r>
      <w:r w:rsidRPr="006F10DF">
        <w:t>scenario</w:t>
      </w:r>
      <w:r w:rsidR="000330FD" w:rsidRPr="006F10DF">
        <w:t xml:space="preserve"> as described in the </w:t>
      </w:r>
      <w:r w:rsidR="008C4A6D" w:rsidRPr="006F10DF">
        <w:t>l</w:t>
      </w:r>
      <w:r w:rsidR="000330FD" w:rsidRPr="006F10DF">
        <w:t>icensee’s Phase 1 and 2 staffing assessment</w:t>
      </w:r>
      <w:r w:rsidR="009E0CF4" w:rsidRPr="006F10DF">
        <w:t xml:space="preserve"> and the NRC safety assessment.</w:t>
      </w:r>
    </w:p>
    <w:p w:rsidR="00FC188F" w:rsidRPr="006F10DF" w:rsidRDefault="00FC188F" w:rsidP="006F10DF">
      <w:pPr>
        <w:spacing w:line="240" w:lineRule="auto"/>
      </w:pPr>
    </w:p>
    <w:p w:rsidR="00FC188F" w:rsidRPr="006F10DF" w:rsidRDefault="00FC188F" w:rsidP="006F10DF">
      <w:pPr>
        <w:numPr>
          <w:ilvl w:val="0"/>
          <w:numId w:val="29"/>
        </w:numPr>
        <w:spacing w:line="240" w:lineRule="auto"/>
        <w:contextualSpacing/>
      </w:pPr>
      <w:r w:rsidRPr="006F10DF">
        <w:t>E</w:t>
      </w:r>
      <w:r w:rsidR="001871B7" w:rsidRPr="006F10DF">
        <w:t xml:space="preserve">mergency </w:t>
      </w:r>
      <w:r w:rsidRPr="006F10DF">
        <w:t>P</w:t>
      </w:r>
      <w:r w:rsidR="001871B7" w:rsidRPr="006F10DF">
        <w:t>reparedness</w:t>
      </w:r>
      <w:r w:rsidRPr="006F10DF">
        <w:t xml:space="preserve"> communications equipment and facilities sufficient for dealing with multi</w:t>
      </w:r>
      <w:r w:rsidR="00B43A72" w:rsidRPr="006F10DF">
        <w:t>-</w:t>
      </w:r>
      <w:r w:rsidRPr="006F10DF">
        <w:t xml:space="preserve">unit and </w:t>
      </w:r>
      <w:r w:rsidR="005C5A36" w:rsidRPr="006F10DF">
        <w:t>ELAP</w:t>
      </w:r>
      <w:r w:rsidRPr="006F10DF">
        <w:t xml:space="preserve"> scenarios</w:t>
      </w:r>
      <w:r w:rsidR="009C743F" w:rsidRPr="006F10DF">
        <w:t xml:space="preserve"> </w:t>
      </w:r>
      <w:r w:rsidR="008C4A6D" w:rsidRPr="006F10DF">
        <w:t>as described in the l</w:t>
      </w:r>
      <w:r w:rsidR="009E0CF4" w:rsidRPr="006F10DF">
        <w:t>icensee’s communications assessment and the NRC safety assessment.</w:t>
      </w:r>
    </w:p>
    <w:p w:rsidR="00FC188F" w:rsidRPr="006F10DF" w:rsidRDefault="00FC188F" w:rsidP="006F10DF">
      <w:pPr>
        <w:spacing w:line="240" w:lineRule="auto"/>
        <w:contextualSpacing/>
      </w:pPr>
    </w:p>
    <w:p w:rsidR="00FC188F" w:rsidRPr="006F10DF" w:rsidRDefault="00471FB3" w:rsidP="006F10DF">
      <w:pPr>
        <w:numPr>
          <w:ilvl w:val="0"/>
          <w:numId w:val="29"/>
        </w:numPr>
        <w:spacing w:line="240" w:lineRule="auto"/>
        <w:contextualSpacing/>
      </w:pPr>
      <w:r w:rsidRPr="006F10DF">
        <w:t xml:space="preserve">Implemented </w:t>
      </w:r>
      <w:r w:rsidR="00FC188F" w:rsidRPr="006F10DF">
        <w:t>multi</w:t>
      </w:r>
      <w:r w:rsidR="00B43A72" w:rsidRPr="006F10DF">
        <w:t>-</w:t>
      </w:r>
      <w:r w:rsidR="00FC188F" w:rsidRPr="006F10DF">
        <w:t xml:space="preserve">unit dose assessment (including releases from spent fuel pools) </w:t>
      </w:r>
      <w:r w:rsidRPr="006F10DF">
        <w:t xml:space="preserve">capability </w:t>
      </w:r>
      <w:r w:rsidR="00FC188F" w:rsidRPr="006F10DF">
        <w:t>using the licensee’s site-specific dose assessment software and approach</w:t>
      </w:r>
      <w:r w:rsidR="009C743F" w:rsidRPr="006F10DF">
        <w:t xml:space="preserve"> </w:t>
      </w:r>
      <w:r w:rsidR="009E0CF4" w:rsidRPr="006F10DF">
        <w:t xml:space="preserve">as described in the licensee’s multi-unit dose </w:t>
      </w:r>
      <w:r w:rsidR="001871B7" w:rsidRPr="006F10DF">
        <w:t xml:space="preserve">assessment </w:t>
      </w:r>
      <w:r w:rsidR="009E0CF4" w:rsidRPr="006F10DF">
        <w:t>submittal</w:t>
      </w:r>
      <w:r w:rsidR="00FC188F" w:rsidRPr="006F10DF">
        <w:t>.</w:t>
      </w:r>
    </w:p>
    <w:p w:rsidR="003536C5" w:rsidRPr="006F10DF" w:rsidRDefault="003536C5" w:rsidP="006F10DF">
      <w:pPr>
        <w:pStyle w:val="ListParagraph"/>
        <w:spacing w:line="240" w:lineRule="auto"/>
      </w:pPr>
    </w:p>
    <w:p w:rsidR="003536C5" w:rsidRPr="00FC188F" w:rsidRDefault="003536C5" w:rsidP="006F10DF">
      <w:pPr>
        <w:spacing w:line="240" w:lineRule="auto"/>
        <w:contextualSpacing/>
      </w:pPr>
      <w:r>
        <w:t>Appendix C will be performed after the licensee has implemented multi-unit dose assessment capabilities (for mul</w:t>
      </w:r>
      <w:r w:rsidR="0072273D">
        <w:t>ti</w:t>
      </w:r>
      <w:r>
        <w:t>-unit sites) and enhancements associated with the March 12, 2012</w:t>
      </w:r>
      <w:r w:rsidR="005B26B9">
        <w:t>,</w:t>
      </w:r>
      <w:r>
        <w:t xml:space="preserve"> 10 CFR 50.54(f) letter on Emergency </w:t>
      </w:r>
      <w:r w:rsidR="008A718F">
        <w:t xml:space="preserve">Preparedness, and the NRC </w:t>
      </w:r>
      <w:r>
        <w:t xml:space="preserve">has issued associated safety assessments. </w:t>
      </w:r>
    </w:p>
    <w:p w:rsidR="006F10DF" w:rsidRDefault="006F10DF" w:rsidP="006F10DF">
      <w:pPr>
        <w:autoSpaceDE w:val="0"/>
        <w:autoSpaceDN w:val="0"/>
        <w:adjustRightInd w:val="0"/>
        <w:spacing w:line="240" w:lineRule="auto"/>
        <w:ind w:right="-20"/>
        <w:contextualSpacing/>
        <w:rPr>
          <w:ins w:id="2" w:author="btc1" w:date="2014-09-29T08:16:00Z"/>
        </w:rPr>
        <w:sectPr w:rsidR="006F10DF" w:rsidSect="006F10DF">
          <w:footerReference w:type="default" r:id="rId34"/>
          <w:pgSz w:w="12240" w:h="15840" w:code="1"/>
          <w:pgMar w:top="1440" w:right="1440" w:bottom="1440" w:left="1440" w:header="1440" w:footer="1440" w:gutter="0"/>
          <w:pgNumType w:start="1" w:chapStyle="1"/>
          <w:cols w:space="720"/>
          <w:docGrid w:linePitch="360"/>
        </w:sectPr>
      </w:pPr>
    </w:p>
    <w:p w:rsidR="00FC188F" w:rsidRPr="00FC188F" w:rsidRDefault="00FC188F" w:rsidP="006F10DF">
      <w:pPr>
        <w:autoSpaceDE w:val="0"/>
        <w:autoSpaceDN w:val="0"/>
        <w:adjustRightInd w:val="0"/>
        <w:spacing w:line="240" w:lineRule="auto"/>
        <w:ind w:right="-20"/>
        <w:contextualSpacing/>
      </w:pPr>
    </w:p>
    <w:p w:rsidR="00FC188F" w:rsidRPr="00FC188F" w:rsidRDefault="00FC188F" w:rsidP="006F10DF">
      <w:pPr>
        <w:autoSpaceDE w:val="0"/>
        <w:autoSpaceDN w:val="0"/>
        <w:adjustRightInd w:val="0"/>
        <w:spacing w:line="240" w:lineRule="auto"/>
        <w:ind w:right="-20"/>
        <w:contextualSpacing/>
      </w:pPr>
      <w:r w:rsidRPr="00FC188F">
        <w:t>03.02</w:t>
      </w:r>
      <w:r w:rsidRPr="00FC188F">
        <w:tab/>
      </w:r>
      <w:r w:rsidRPr="00FC188F">
        <w:rPr>
          <w:u w:val="single"/>
        </w:rPr>
        <w:t>Specific Inspection Requirements</w:t>
      </w:r>
    </w:p>
    <w:p w:rsidR="00FC188F" w:rsidRPr="00FC188F" w:rsidRDefault="00FC188F" w:rsidP="006F10DF">
      <w:pPr>
        <w:autoSpaceDE w:val="0"/>
        <w:autoSpaceDN w:val="0"/>
        <w:adjustRightInd w:val="0"/>
        <w:spacing w:line="240" w:lineRule="auto"/>
        <w:ind w:right="-20"/>
        <w:contextualSpacing/>
      </w:pPr>
    </w:p>
    <w:p w:rsidR="00FC188F" w:rsidRPr="00FC188F" w:rsidRDefault="00EB213D" w:rsidP="00FC188F">
      <w:pPr>
        <w:autoSpaceDE w:val="0"/>
        <w:autoSpaceDN w:val="0"/>
        <w:adjustRightInd w:val="0"/>
        <w:spacing w:line="240" w:lineRule="auto"/>
        <w:ind w:right="-20"/>
        <w:contextualSpacing/>
      </w:pPr>
      <w:r>
        <w:t xml:space="preserve">Verify </w:t>
      </w:r>
      <w:r w:rsidR="00471FB3">
        <w:t xml:space="preserve">the following:  </w:t>
      </w:r>
    </w:p>
    <w:p w:rsidR="00FC188F" w:rsidRPr="00FC188F" w:rsidRDefault="00FC188F" w:rsidP="00FC188F">
      <w:pPr>
        <w:autoSpaceDE w:val="0"/>
        <w:autoSpaceDN w:val="0"/>
        <w:adjustRightInd w:val="0"/>
        <w:spacing w:line="240" w:lineRule="auto"/>
        <w:ind w:left="1080" w:hanging="1080"/>
        <w:jc w:val="both"/>
        <w:rPr>
          <w:color w:val="000000"/>
        </w:rPr>
      </w:pPr>
    </w:p>
    <w:p w:rsidR="00FC188F" w:rsidRPr="00FC188F" w:rsidRDefault="00EB213D" w:rsidP="00FC188F">
      <w:pPr>
        <w:numPr>
          <w:ilvl w:val="0"/>
          <w:numId w:val="2"/>
        </w:numPr>
        <w:autoSpaceDE w:val="0"/>
        <w:autoSpaceDN w:val="0"/>
        <w:adjustRightInd w:val="0"/>
        <w:spacing w:line="240" w:lineRule="auto"/>
        <w:ind w:right="-14"/>
        <w:contextualSpacing/>
      </w:pPr>
      <w:r>
        <w:t>C</w:t>
      </w:r>
      <w:r w:rsidR="00FC188F" w:rsidRPr="00FC188F">
        <w:t xml:space="preserve">ommunications </w:t>
      </w:r>
    </w:p>
    <w:p w:rsidR="00FC188F" w:rsidRPr="00FC188F" w:rsidRDefault="00FC188F" w:rsidP="00FC188F">
      <w:pPr>
        <w:autoSpaceDE w:val="0"/>
        <w:autoSpaceDN w:val="0"/>
        <w:adjustRightInd w:val="0"/>
        <w:spacing w:line="240" w:lineRule="auto"/>
        <w:ind w:left="1080" w:right="-20"/>
        <w:contextualSpacing/>
      </w:pPr>
    </w:p>
    <w:p w:rsidR="00FC188F" w:rsidRDefault="00FC188F" w:rsidP="00FC188F">
      <w:pPr>
        <w:numPr>
          <w:ilvl w:val="0"/>
          <w:numId w:val="4"/>
        </w:numPr>
        <w:autoSpaceDE w:val="0"/>
        <w:autoSpaceDN w:val="0"/>
        <w:adjustRightInd w:val="0"/>
        <w:spacing w:line="240" w:lineRule="auto"/>
        <w:ind w:left="1170" w:right="-20"/>
        <w:contextualSpacing/>
      </w:pPr>
      <w:r w:rsidRPr="00FC188F">
        <w:t>Verify that planned improvements to existing onsite communications systems and their required normal and/or backup power supplies were completed.</w:t>
      </w:r>
    </w:p>
    <w:p w:rsidR="00545F41" w:rsidRPr="00FC188F" w:rsidRDefault="00545F41" w:rsidP="00545F41">
      <w:pPr>
        <w:autoSpaceDE w:val="0"/>
        <w:autoSpaceDN w:val="0"/>
        <w:adjustRightInd w:val="0"/>
        <w:spacing w:line="240" w:lineRule="auto"/>
        <w:ind w:left="1440" w:right="-20"/>
        <w:contextualSpacing/>
      </w:pPr>
    </w:p>
    <w:p w:rsidR="00FC188F" w:rsidRPr="00FC188F" w:rsidRDefault="00FC188F" w:rsidP="00545F41">
      <w:pPr>
        <w:numPr>
          <w:ilvl w:val="0"/>
          <w:numId w:val="4"/>
        </w:numPr>
        <w:autoSpaceDE w:val="0"/>
        <w:autoSpaceDN w:val="0"/>
        <w:adjustRightInd w:val="0"/>
        <w:spacing w:line="240" w:lineRule="auto"/>
        <w:ind w:left="1170" w:right="-20"/>
        <w:contextualSpacing/>
      </w:pPr>
      <w:r w:rsidRPr="00FC188F">
        <w:t>Verify that the communications system(s), technologies, equipment and power supplies would be available from the beginning of the event and operate during a</w:t>
      </w:r>
      <w:r w:rsidR="008A718F">
        <w:t>n extended</w:t>
      </w:r>
      <w:r w:rsidRPr="00FC188F">
        <w:t xml:space="preserve"> loss of all ac power as described in the licensee assessment.</w:t>
      </w:r>
    </w:p>
    <w:p w:rsidR="00FC188F" w:rsidRPr="00FC188F" w:rsidRDefault="00FC188F" w:rsidP="00FC188F">
      <w:pPr>
        <w:autoSpaceDE w:val="0"/>
        <w:autoSpaceDN w:val="0"/>
        <w:adjustRightInd w:val="0"/>
        <w:spacing w:line="240" w:lineRule="auto"/>
        <w:ind w:left="1170" w:right="-20"/>
        <w:contextualSpacing/>
      </w:pPr>
    </w:p>
    <w:p w:rsidR="00FC188F" w:rsidRDefault="00A76FE7" w:rsidP="00A76FE7">
      <w:pPr>
        <w:pStyle w:val="ListParagraph"/>
        <w:numPr>
          <w:ilvl w:val="0"/>
          <w:numId w:val="4"/>
        </w:numPr>
        <w:ind w:left="1170"/>
      </w:pPr>
      <w:r>
        <w:t xml:space="preserve">Verify off-site response organizations (ORO) communication systems </w:t>
      </w:r>
      <w:r w:rsidR="00B12621">
        <w:t xml:space="preserve">as described in the licensee’s communications assessment operate as designed by reviewing documentation of established </w:t>
      </w:r>
      <w:r w:rsidR="000F7A63">
        <w:t>maintenance</w:t>
      </w:r>
      <w:r w:rsidR="00B12621">
        <w:t xml:space="preserve"> and testing program activities</w:t>
      </w:r>
      <w:r>
        <w:t>.</w:t>
      </w:r>
      <w:r w:rsidRPr="00FC188F" w:rsidDel="00A76FE7">
        <w:t xml:space="preserve"> </w:t>
      </w:r>
    </w:p>
    <w:p w:rsidR="00A76FE7" w:rsidRDefault="00A76FE7" w:rsidP="00A76FE7">
      <w:pPr>
        <w:pStyle w:val="ListParagraph"/>
      </w:pPr>
    </w:p>
    <w:p w:rsidR="005C5A36" w:rsidRPr="00FC188F" w:rsidRDefault="005C5A36" w:rsidP="00A76FE7">
      <w:pPr>
        <w:pStyle w:val="ListParagraph"/>
        <w:numPr>
          <w:ilvl w:val="0"/>
          <w:numId w:val="4"/>
        </w:numPr>
        <w:ind w:left="1170"/>
      </w:pPr>
      <w:r w:rsidRPr="00FC188F">
        <w:t xml:space="preserve">Verify usability and applicability of the implementing procedures and/or guidance used to implement the communication capabilities.  </w:t>
      </w:r>
    </w:p>
    <w:p w:rsidR="00FC188F" w:rsidRPr="00FC188F" w:rsidRDefault="00FC188F" w:rsidP="00FC188F">
      <w:pPr>
        <w:ind w:left="720"/>
        <w:contextualSpacing/>
      </w:pPr>
    </w:p>
    <w:p w:rsidR="00FC188F" w:rsidRPr="00FC188F" w:rsidRDefault="00FC188F" w:rsidP="00FC188F">
      <w:pPr>
        <w:numPr>
          <w:ilvl w:val="0"/>
          <w:numId w:val="4"/>
        </w:numPr>
        <w:autoSpaceDE w:val="0"/>
        <w:autoSpaceDN w:val="0"/>
        <w:adjustRightInd w:val="0"/>
        <w:spacing w:line="240" w:lineRule="auto"/>
        <w:ind w:left="1170" w:right="-20"/>
        <w:contextualSpacing/>
      </w:pPr>
      <w:r w:rsidRPr="00FC188F">
        <w:t xml:space="preserve">Verify the feasibility of communications system(s), technologies, </w:t>
      </w:r>
      <w:proofErr w:type="gramStart"/>
      <w:r w:rsidRPr="00FC188F">
        <w:t>equipment</w:t>
      </w:r>
      <w:proofErr w:type="gramEnd"/>
      <w:r w:rsidRPr="00FC188F">
        <w:t xml:space="preserve"> and power supplies by performing a system walk-down with a knowledgeable licensee staff member. </w:t>
      </w:r>
    </w:p>
    <w:p w:rsidR="00FC188F" w:rsidRPr="00FC188F" w:rsidRDefault="00FC188F" w:rsidP="0071031C">
      <w:pPr>
        <w:contextualSpacing/>
      </w:pPr>
    </w:p>
    <w:p w:rsidR="00FC188F" w:rsidRPr="00FC188F" w:rsidRDefault="00FC188F" w:rsidP="00FC188F">
      <w:pPr>
        <w:numPr>
          <w:ilvl w:val="0"/>
          <w:numId w:val="4"/>
        </w:numPr>
        <w:autoSpaceDE w:val="0"/>
        <w:autoSpaceDN w:val="0"/>
        <w:adjustRightInd w:val="0"/>
        <w:spacing w:line="240" w:lineRule="auto"/>
        <w:ind w:left="1170" w:right="-20"/>
        <w:contextualSpacing/>
      </w:pPr>
      <w:r w:rsidRPr="00FC188F">
        <w:t>Verify that any new communications equipment, portable power supplies and/or systems have been added to testing and preventative maintenance program.</w:t>
      </w:r>
    </w:p>
    <w:p w:rsidR="00FC188F" w:rsidRPr="00FC188F" w:rsidRDefault="00FC188F" w:rsidP="00FC188F">
      <w:pPr>
        <w:autoSpaceDE w:val="0"/>
        <w:autoSpaceDN w:val="0"/>
        <w:adjustRightInd w:val="0"/>
        <w:spacing w:line="240" w:lineRule="auto"/>
        <w:ind w:left="720" w:right="-20"/>
        <w:contextualSpacing/>
      </w:pPr>
    </w:p>
    <w:p w:rsidR="00FC188F" w:rsidRPr="00FC188F" w:rsidRDefault="00EB213D" w:rsidP="00FC188F">
      <w:pPr>
        <w:numPr>
          <w:ilvl w:val="0"/>
          <w:numId w:val="2"/>
        </w:numPr>
        <w:autoSpaceDE w:val="0"/>
        <w:autoSpaceDN w:val="0"/>
        <w:adjustRightInd w:val="0"/>
        <w:spacing w:line="240" w:lineRule="auto"/>
        <w:ind w:right="-20"/>
        <w:contextualSpacing/>
      </w:pPr>
      <w:r>
        <w:t>S</w:t>
      </w:r>
      <w:r w:rsidR="00FC188F" w:rsidRPr="00FC188F">
        <w:t xml:space="preserve">taffing </w:t>
      </w:r>
    </w:p>
    <w:p w:rsidR="00FC188F" w:rsidRPr="00FC188F" w:rsidRDefault="00FC188F" w:rsidP="00FC188F">
      <w:pPr>
        <w:autoSpaceDE w:val="0"/>
        <w:autoSpaceDN w:val="0"/>
        <w:adjustRightInd w:val="0"/>
        <w:spacing w:line="240" w:lineRule="auto"/>
        <w:ind w:left="720" w:right="-14"/>
      </w:pPr>
    </w:p>
    <w:p w:rsidR="00FC188F" w:rsidRPr="00FC188F" w:rsidRDefault="00FC188F" w:rsidP="00FC188F">
      <w:pPr>
        <w:autoSpaceDE w:val="0"/>
        <w:autoSpaceDN w:val="0"/>
        <w:adjustRightInd w:val="0"/>
        <w:spacing w:line="240" w:lineRule="auto"/>
        <w:ind w:left="720" w:right="-14"/>
      </w:pPr>
      <w:r w:rsidRPr="00FC188F">
        <w:t xml:space="preserve">Addressees were requested to provide an assessment of the onsite and augmented staff needed to respond to a large scale natural event </w:t>
      </w:r>
      <w:r w:rsidR="001871B7">
        <w:t xml:space="preserve">that </w:t>
      </w:r>
      <w:r w:rsidRPr="00FC188F">
        <w:t>result</w:t>
      </w:r>
      <w:r w:rsidR="001871B7">
        <w:t>s</w:t>
      </w:r>
      <w:r w:rsidRPr="00FC188F">
        <w:t xml:space="preserve"> in an extended loss of all ac power to all site units and impede</w:t>
      </w:r>
      <w:r w:rsidR="001871B7">
        <w:t>s</w:t>
      </w:r>
      <w:r w:rsidRPr="00FC188F">
        <w:t xml:space="preserve"> access to the site. This assessment was to include a discussion of the onsite and augmented staff available to implement the strategies as discussed in the emergency plan and/or described in plant operating procedures.  </w:t>
      </w:r>
    </w:p>
    <w:p w:rsidR="00FC188F" w:rsidRPr="00FC188F" w:rsidRDefault="00FC188F" w:rsidP="00FC188F">
      <w:pPr>
        <w:autoSpaceDE w:val="0"/>
        <w:autoSpaceDN w:val="0"/>
        <w:adjustRightInd w:val="0"/>
        <w:spacing w:line="245" w:lineRule="exact"/>
        <w:ind w:left="3" w:right="4490"/>
      </w:pPr>
    </w:p>
    <w:p w:rsidR="00FC188F" w:rsidRPr="00FC188F" w:rsidRDefault="00FC188F" w:rsidP="00FC188F">
      <w:pPr>
        <w:autoSpaceDE w:val="0"/>
        <w:autoSpaceDN w:val="0"/>
        <w:adjustRightInd w:val="0"/>
        <w:spacing w:before="1" w:line="100" w:lineRule="exact"/>
      </w:pPr>
    </w:p>
    <w:p w:rsidR="00FC188F" w:rsidRPr="00FC188F" w:rsidRDefault="00FC188F" w:rsidP="00FC188F">
      <w:pPr>
        <w:numPr>
          <w:ilvl w:val="1"/>
          <w:numId w:val="2"/>
        </w:numPr>
        <w:autoSpaceDE w:val="0"/>
        <w:autoSpaceDN w:val="0"/>
        <w:adjustRightInd w:val="0"/>
        <w:spacing w:line="240" w:lineRule="auto"/>
        <w:ind w:left="1170" w:right="86"/>
      </w:pPr>
      <w:r w:rsidRPr="00FC188F">
        <w:t>Verify functions/tasks identified as a result of the assessment have been appropriately staffed.</w:t>
      </w:r>
    </w:p>
    <w:p w:rsidR="00FC188F" w:rsidRPr="00FC188F" w:rsidRDefault="00FC188F" w:rsidP="005C5A36">
      <w:pPr>
        <w:contextualSpacing/>
      </w:pPr>
    </w:p>
    <w:p w:rsidR="00A56763" w:rsidRPr="00FC188F" w:rsidRDefault="005C5A36" w:rsidP="00A56763">
      <w:pPr>
        <w:numPr>
          <w:ilvl w:val="1"/>
          <w:numId w:val="2"/>
        </w:numPr>
        <w:autoSpaceDE w:val="0"/>
        <w:autoSpaceDN w:val="0"/>
        <w:adjustRightInd w:val="0"/>
        <w:spacing w:line="240" w:lineRule="auto"/>
        <w:ind w:left="1170" w:right="86"/>
      </w:pPr>
      <w:r w:rsidRPr="00FC188F">
        <w:t xml:space="preserve">Verify the site access methods (e.g., roadways, navigable bodies of water and dockage, airlift, etc.) expected to be available </w:t>
      </w:r>
      <w:r>
        <w:t>per the licensee’s Phase 1 and 2 staffing assessments</w:t>
      </w:r>
      <w:r w:rsidR="009E0CF4">
        <w:t xml:space="preserve"> and NRC safety assessment</w:t>
      </w:r>
      <w:r w:rsidR="00A56763" w:rsidRPr="00A56763">
        <w:t xml:space="preserve"> </w:t>
      </w:r>
      <w:r w:rsidR="00A56763">
        <w:t>have the appropriate documentation (e.g. contact phone numbers, signed letter of agreement, approved contract, etc</w:t>
      </w:r>
      <w:r w:rsidR="00A56763" w:rsidRPr="00FC188F">
        <w:t>.</w:t>
      </w:r>
      <w:r w:rsidR="00A56763">
        <w:t xml:space="preserve">) available to the </w:t>
      </w:r>
      <w:r w:rsidR="00987B44">
        <w:t>(</w:t>
      </w:r>
      <w:r w:rsidR="00987B44" w:rsidRPr="00FC188F">
        <w:t>emergency response organization</w:t>
      </w:r>
      <w:r w:rsidR="00987B44">
        <w:t>)</w:t>
      </w:r>
      <w:r w:rsidR="00987B44" w:rsidRPr="00FC188F">
        <w:t xml:space="preserve"> </w:t>
      </w:r>
      <w:r w:rsidR="00A56763">
        <w:t xml:space="preserve">ERO. </w:t>
      </w:r>
    </w:p>
    <w:p w:rsidR="006F10DF" w:rsidRDefault="006F10DF" w:rsidP="000F7A63">
      <w:pPr>
        <w:autoSpaceDE w:val="0"/>
        <w:autoSpaceDN w:val="0"/>
        <w:adjustRightInd w:val="0"/>
        <w:spacing w:line="240" w:lineRule="auto"/>
        <w:ind w:left="1170" w:right="86"/>
        <w:rPr>
          <w:ins w:id="3" w:author="btc1" w:date="2014-09-29T08:16:00Z"/>
        </w:rPr>
        <w:sectPr w:rsidR="006F10DF" w:rsidSect="00EF54C4">
          <w:pgSz w:w="12240" w:h="15840" w:code="1"/>
          <w:pgMar w:top="1440" w:right="1440" w:bottom="1440" w:left="1440" w:header="1440" w:footer="1440" w:gutter="0"/>
          <w:pgNumType w:chapStyle="1"/>
          <w:cols w:space="720"/>
          <w:docGrid w:linePitch="360"/>
        </w:sectPr>
      </w:pPr>
    </w:p>
    <w:p w:rsidR="00FC188F" w:rsidRPr="00FC188F" w:rsidRDefault="00FC188F" w:rsidP="000F7A63">
      <w:pPr>
        <w:autoSpaceDE w:val="0"/>
        <w:autoSpaceDN w:val="0"/>
        <w:adjustRightInd w:val="0"/>
        <w:spacing w:line="240" w:lineRule="auto"/>
        <w:ind w:left="1170" w:right="86"/>
      </w:pPr>
    </w:p>
    <w:p w:rsidR="00FC188F" w:rsidRPr="00FC188F" w:rsidRDefault="00FC188F" w:rsidP="0010273F">
      <w:pPr>
        <w:numPr>
          <w:ilvl w:val="1"/>
          <w:numId w:val="2"/>
        </w:numPr>
        <w:autoSpaceDE w:val="0"/>
        <w:autoSpaceDN w:val="0"/>
        <w:adjustRightInd w:val="0"/>
        <w:spacing w:line="240" w:lineRule="auto"/>
        <w:ind w:left="1170" w:right="86"/>
      </w:pPr>
      <w:r w:rsidRPr="00FC188F">
        <w:t>Verify the testing, training and drills/exercises performed by</w:t>
      </w:r>
      <w:r w:rsidR="005B26B9">
        <w:t xml:space="preserve"> the licensee demonstrate </w:t>
      </w:r>
      <w:r w:rsidR="00987B44">
        <w:t xml:space="preserve">the </w:t>
      </w:r>
      <w:r w:rsidRPr="00FC188F">
        <w:t>E</w:t>
      </w:r>
      <w:r w:rsidR="00987B44">
        <w:t xml:space="preserve">RO </w:t>
      </w:r>
      <w:r w:rsidRPr="00FC188F">
        <w:t xml:space="preserve">ability to </w:t>
      </w:r>
      <w:r w:rsidR="0057729C">
        <w:t>utilize</w:t>
      </w:r>
      <w:r w:rsidRPr="00FC188F">
        <w:t xml:space="preserve"> the communications systems and/or equipment. </w:t>
      </w:r>
    </w:p>
    <w:p w:rsidR="00FC188F" w:rsidRPr="00FC188F" w:rsidRDefault="00FC188F" w:rsidP="00FC188F">
      <w:pPr>
        <w:autoSpaceDE w:val="0"/>
        <w:autoSpaceDN w:val="0"/>
        <w:adjustRightInd w:val="0"/>
        <w:spacing w:line="240" w:lineRule="auto"/>
        <w:ind w:left="720" w:right="-14"/>
        <w:contextualSpacing/>
      </w:pPr>
    </w:p>
    <w:p w:rsidR="00FC188F" w:rsidRPr="00FC188F" w:rsidRDefault="00EB213D" w:rsidP="00FC188F">
      <w:pPr>
        <w:numPr>
          <w:ilvl w:val="0"/>
          <w:numId w:val="2"/>
        </w:numPr>
        <w:autoSpaceDE w:val="0"/>
        <w:autoSpaceDN w:val="0"/>
        <w:adjustRightInd w:val="0"/>
        <w:spacing w:line="240" w:lineRule="auto"/>
        <w:ind w:right="-20"/>
        <w:contextualSpacing/>
      </w:pPr>
      <w:r>
        <w:t>M</w:t>
      </w:r>
      <w:r w:rsidR="00FC188F" w:rsidRPr="00FC188F">
        <w:t xml:space="preserve">ulti-unit </w:t>
      </w:r>
      <w:r>
        <w:t>D</w:t>
      </w:r>
      <w:r w:rsidR="00FC188F" w:rsidRPr="00FC188F">
        <w:t xml:space="preserve">ose </w:t>
      </w:r>
      <w:r>
        <w:t>A</w:t>
      </w:r>
      <w:r w:rsidR="00FC188F" w:rsidRPr="00FC188F">
        <w:t xml:space="preserve">ssessment </w:t>
      </w:r>
    </w:p>
    <w:p w:rsidR="00FC188F" w:rsidRPr="00FC188F" w:rsidRDefault="00FC188F" w:rsidP="00FC188F">
      <w:pPr>
        <w:autoSpaceDE w:val="0"/>
        <w:autoSpaceDN w:val="0"/>
        <w:adjustRightInd w:val="0"/>
        <w:spacing w:line="240" w:lineRule="auto"/>
        <w:ind w:left="720" w:right="-20"/>
        <w:contextualSpacing/>
      </w:pPr>
    </w:p>
    <w:p w:rsidR="00FC188F" w:rsidRPr="00FC188F" w:rsidRDefault="00FC188F" w:rsidP="00833F3C">
      <w:pPr>
        <w:numPr>
          <w:ilvl w:val="0"/>
          <w:numId w:val="5"/>
        </w:numPr>
        <w:spacing w:line="240" w:lineRule="auto"/>
        <w:ind w:left="1440"/>
      </w:pPr>
      <w:r w:rsidRPr="00FC188F">
        <w:t xml:space="preserve">Verify the multi-unit dose assessment is capable of </w:t>
      </w:r>
      <w:r w:rsidR="00AD7EDA">
        <w:t xml:space="preserve">analyzing </w:t>
      </w:r>
      <w:r w:rsidRPr="00FC188F">
        <w:t>concurrent radiological releases from all on-site significant sources</w:t>
      </w:r>
      <w:r w:rsidR="007737F4">
        <w:t xml:space="preserve"> (</w:t>
      </w:r>
      <w:r w:rsidR="007737F4" w:rsidRPr="00D50871">
        <w:t>including releases from spent fuel pools</w:t>
      </w:r>
      <w:r w:rsidR="007737F4">
        <w:t>)</w:t>
      </w:r>
      <w:r w:rsidR="00196F5D">
        <w:t xml:space="preserve"> consistent with the licensee’s </w:t>
      </w:r>
      <w:r w:rsidR="009E0CF4">
        <w:t>multi-dose assessment submittal</w:t>
      </w:r>
      <w:r w:rsidR="00196F5D">
        <w:t>.</w:t>
      </w:r>
      <w:r w:rsidRPr="00FC188F">
        <w:t xml:space="preserve">  </w:t>
      </w:r>
    </w:p>
    <w:p w:rsidR="00FC188F" w:rsidRPr="00FC188F" w:rsidRDefault="00FC188F" w:rsidP="00FC188F">
      <w:pPr>
        <w:spacing w:line="240" w:lineRule="auto"/>
        <w:ind w:left="1170"/>
      </w:pPr>
    </w:p>
    <w:p w:rsidR="00FC188F" w:rsidRDefault="005C5A36" w:rsidP="00833F3C">
      <w:pPr>
        <w:numPr>
          <w:ilvl w:val="0"/>
          <w:numId w:val="5"/>
        </w:numPr>
        <w:spacing w:line="240" w:lineRule="auto"/>
        <w:ind w:left="1440"/>
        <w:contextualSpacing/>
      </w:pPr>
      <w:r w:rsidRPr="00FC188F">
        <w:t xml:space="preserve">Verify the multi-unit dose assessment extended loss of </w:t>
      </w:r>
      <w:r w:rsidR="00DE0F56">
        <w:t>ac</w:t>
      </w:r>
      <w:r w:rsidRPr="00FC188F">
        <w:t xml:space="preserve"> power capability</w:t>
      </w:r>
      <w:r>
        <w:t xml:space="preserve"> is consistent with the licensee’s </w:t>
      </w:r>
      <w:r w:rsidR="009E0CF4">
        <w:t>multi-unit dose submittal</w:t>
      </w:r>
      <w:r>
        <w:t xml:space="preserve">.  </w:t>
      </w:r>
    </w:p>
    <w:p w:rsidR="005C5A36" w:rsidRDefault="005C5A36" w:rsidP="005C5A36">
      <w:pPr>
        <w:pStyle w:val="ListParagraph"/>
      </w:pPr>
    </w:p>
    <w:p w:rsidR="005C5A36" w:rsidRPr="005C5A36" w:rsidRDefault="005C5A36" w:rsidP="00833F3C">
      <w:pPr>
        <w:pStyle w:val="ListParagraph"/>
        <w:numPr>
          <w:ilvl w:val="0"/>
          <w:numId w:val="5"/>
        </w:numPr>
        <w:spacing w:line="240" w:lineRule="auto"/>
        <w:ind w:left="1440"/>
        <w:rPr>
          <w:color w:val="000000"/>
        </w:rPr>
      </w:pPr>
      <w:r w:rsidRPr="00FC188F">
        <w:t xml:space="preserve">Verify the primary multi-unit dose </w:t>
      </w:r>
      <w:r w:rsidR="005B26B9">
        <w:t>0</w:t>
      </w:r>
      <w:r w:rsidRPr="00FC188F">
        <w:t>assessment method is</w:t>
      </w:r>
      <w:r>
        <w:t xml:space="preserve"> consistent with the licensee’s </w:t>
      </w:r>
      <w:r w:rsidR="009E0CF4">
        <w:t>multi-unit dose submittal</w:t>
      </w:r>
      <w:r>
        <w:t xml:space="preserve">.  </w:t>
      </w:r>
    </w:p>
    <w:p w:rsidR="00FC188F" w:rsidRPr="00FC188F" w:rsidRDefault="00FC188F" w:rsidP="00FC188F">
      <w:pPr>
        <w:ind w:left="720"/>
        <w:contextualSpacing/>
      </w:pPr>
    </w:p>
    <w:p w:rsidR="006F7BEB" w:rsidRPr="006F10DF" w:rsidRDefault="006F7BEB" w:rsidP="006F7BEB">
      <w:pPr>
        <w:pStyle w:val="ListParagraph"/>
        <w:autoSpaceDE w:val="0"/>
        <w:autoSpaceDN w:val="0"/>
        <w:adjustRightInd w:val="0"/>
        <w:spacing w:line="240" w:lineRule="auto"/>
        <w:ind w:left="0"/>
      </w:pPr>
    </w:p>
    <w:p w:rsidR="006F7BEB" w:rsidRPr="006F10DF" w:rsidRDefault="006F7BEB" w:rsidP="006F7BEB">
      <w:pPr>
        <w:pStyle w:val="ListParagraph"/>
        <w:autoSpaceDE w:val="0"/>
        <w:autoSpaceDN w:val="0"/>
        <w:adjustRightInd w:val="0"/>
        <w:spacing w:line="240" w:lineRule="auto"/>
        <w:ind w:left="0"/>
      </w:pPr>
      <w:r w:rsidRPr="006F10DF">
        <w:t>2515/191-</w:t>
      </w:r>
      <w:proofErr w:type="gramStart"/>
      <w:r w:rsidRPr="006F10DF">
        <w:t>04  REPORTING</w:t>
      </w:r>
      <w:proofErr w:type="gramEnd"/>
      <w:r w:rsidRPr="006F10DF">
        <w:t xml:space="preserve"> REQUIREMENTS</w:t>
      </w:r>
    </w:p>
    <w:p w:rsidR="006F7BEB" w:rsidRDefault="006F7BEB" w:rsidP="006F7BEB">
      <w:pPr>
        <w:pStyle w:val="ListParagraph"/>
        <w:autoSpaceDE w:val="0"/>
        <w:autoSpaceDN w:val="0"/>
        <w:adjustRightInd w:val="0"/>
        <w:spacing w:line="240" w:lineRule="auto"/>
        <w:ind w:left="0"/>
      </w:pPr>
    </w:p>
    <w:p w:rsidR="0070488A" w:rsidRPr="00FD72A2" w:rsidRDefault="0070488A" w:rsidP="0070488A">
      <w:pPr>
        <w:pStyle w:val="ListParagraph"/>
        <w:spacing w:line="240" w:lineRule="auto"/>
        <w:ind w:left="0"/>
      </w:pPr>
      <w:r>
        <w:t xml:space="preserve">Document the completion of Appendix C of the TI as a feeder to a routine resident inspector report.    </w:t>
      </w:r>
    </w:p>
    <w:p w:rsidR="0070488A" w:rsidRDefault="0070488A" w:rsidP="009A199D">
      <w:pPr>
        <w:pStyle w:val="ListParagraph"/>
        <w:spacing w:line="240" w:lineRule="auto"/>
        <w:ind w:left="0"/>
      </w:pPr>
    </w:p>
    <w:p w:rsidR="00B74CE8" w:rsidRDefault="00B74CE8" w:rsidP="009A199D">
      <w:pPr>
        <w:pStyle w:val="ListParagraph"/>
        <w:spacing w:line="240" w:lineRule="auto"/>
        <w:ind w:left="0"/>
        <w:rPr>
          <w:rFonts w:eastAsia="Times New Roman"/>
        </w:rPr>
      </w:pPr>
      <w:r>
        <w:rPr>
          <w:color w:val="000000"/>
        </w:rPr>
        <w:t xml:space="preserve">Inspectors should notify </w:t>
      </w:r>
      <w:r w:rsidR="00693306" w:rsidRPr="00F53DB4">
        <w:rPr>
          <w:color w:val="000000"/>
        </w:rPr>
        <w:t>NRR/</w:t>
      </w:r>
      <w:r w:rsidR="00693306">
        <w:t xml:space="preserve">JLD/JOMB </w:t>
      </w:r>
      <w:r>
        <w:rPr>
          <w:color w:val="000000"/>
        </w:rPr>
        <w:t>of any issues of concern and such issues will be screened through a cross-regional panel.  Following consultation with</w:t>
      </w:r>
      <w:r w:rsidR="00693306" w:rsidRPr="00693306">
        <w:rPr>
          <w:color w:val="000000"/>
        </w:rPr>
        <w:t xml:space="preserve"> </w:t>
      </w:r>
      <w:r w:rsidR="00693306" w:rsidRPr="00F53DB4">
        <w:rPr>
          <w:color w:val="000000"/>
        </w:rPr>
        <w:t>NRR/</w:t>
      </w:r>
      <w:r w:rsidR="00693306">
        <w:t>JLD/JOMB</w:t>
      </w:r>
      <w:r>
        <w:rPr>
          <w:color w:val="000000"/>
        </w:rPr>
        <w:t xml:space="preserve">, and conduct of a cross-regional screening panel, document any issues in accordance with IMC 0612, “Power Reactor Inspection Reports” in Section 4OA5 of a quarterly inspection report. </w:t>
      </w:r>
    </w:p>
    <w:p w:rsidR="00B74CE8" w:rsidRPr="00F53DB4" w:rsidRDefault="00B74CE8" w:rsidP="00B74CE8">
      <w:pPr>
        <w:tabs>
          <w:tab w:val="left" w:pos="274"/>
          <w:tab w:val="left" w:pos="806"/>
          <w:tab w:val="left" w:pos="1440"/>
          <w:tab w:val="left" w:pos="2074"/>
        </w:tabs>
        <w:autoSpaceDE w:val="0"/>
        <w:autoSpaceDN w:val="0"/>
        <w:adjustRightInd w:val="0"/>
        <w:spacing w:line="240" w:lineRule="auto"/>
        <w:rPr>
          <w:rFonts w:eastAsia="Times New Roman"/>
        </w:rPr>
      </w:pPr>
    </w:p>
    <w:p w:rsidR="00B74CE8" w:rsidRPr="00F53DB4" w:rsidRDefault="00B74CE8" w:rsidP="00B74CE8">
      <w:pPr>
        <w:autoSpaceDE w:val="0"/>
        <w:autoSpaceDN w:val="0"/>
        <w:adjustRightInd w:val="0"/>
        <w:spacing w:line="240" w:lineRule="auto"/>
        <w:rPr>
          <w:color w:val="000000"/>
        </w:rPr>
      </w:pPr>
      <w:r>
        <w:rPr>
          <w:color w:val="000000"/>
        </w:rPr>
        <w:t xml:space="preserve">If no more-than-minor issues of concern are identified, </w:t>
      </w:r>
      <w:r w:rsidRPr="00F53DB4">
        <w:rPr>
          <w:color w:val="000000"/>
        </w:rPr>
        <w:t>the following statements</w:t>
      </w:r>
      <w:r>
        <w:rPr>
          <w:color w:val="000000"/>
        </w:rPr>
        <w:t xml:space="preserve"> should be included in Section 4OA5 of a quarterly inspection report</w:t>
      </w:r>
      <w:r w:rsidRPr="00F53DB4">
        <w:rPr>
          <w:color w:val="000000"/>
        </w:rPr>
        <w:t>:</w:t>
      </w:r>
    </w:p>
    <w:p w:rsidR="00D50871" w:rsidRDefault="00D50871" w:rsidP="00B74CE8">
      <w:pPr>
        <w:autoSpaceDE w:val="0"/>
        <w:autoSpaceDN w:val="0"/>
        <w:adjustRightInd w:val="0"/>
        <w:spacing w:line="240" w:lineRule="auto"/>
        <w:rPr>
          <w:color w:val="000000"/>
        </w:rPr>
      </w:pPr>
    </w:p>
    <w:p w:rsidR="005C5A36" w:rsidRPr="008210A8" w:rsidRDefault="00B74CE8" w:rsidP="005C5A36">
      <w:pPr>
        <w:autoSpaceDE w:val="0"/>
        <w:autoSpaceDN w:val="0"/>
        <w:adjustRightInd w:val="0"/>
        <w:spacing w:line="240" w:lineRule="auto"/>
        <w:rPr>
          <w:color w:val="000000"/>
        </w:rPr>
      </w:pPr>
      <w:r w:rsidRPr="00F53DB4">
        <w:rPr>
          <w:color w:val="000000"/>
        </w:rPr>
        <w:t>“</w:t>
      </w:r>
      <w:r w:rsidR="00EB213D">
        <w:rPr>
          <w:color w:val="000000"/>
        </w:rPr>
        <w:t>T</w:t>
      </w:r>
      <w:r>
        <w:rPr>
          <w:color w:val="000000"/>
        </w:rPr>
        <w:t>he i</w:t>
      </w:r>
      <w:r w:rsidRPr="00F53DB4">
        <w:rPr>
          <w:color w:val="000000"/>
        </w:rPr>
        <w:t xml:space="preserve">nspector(s) </w:t>
      </w:r>
      <w:r w:rsidR="00EB213D">
        <w:rPr>
          <w:color w:val="000000"/>
        </w:rPr>
        <w:t xml:space="preserve">reviewed information provided </w:t>
      </w:r>
      <w:r w:rsidR="00471FB3">
        <w:rPr>
          <w:color w:val="000000"/>
        </w:rPr>
        <w:t xml:space="preserve">in the licensee’s multi-unit dose submittal and </w:t>
      </w:r>
      <w:r w:rsidR="00EB213D">
        <w:rPr>
          <w:color w:val="000000"/>
        </w:rPr>
        <w:t xml:space="preserve">in response to </w:t>
      </w:r>
      <w:r w:rsidR="00D50871">
        <w:rPr>
          <w:color w:val="000000"/>
        </w:rPr>
        <w:t xml:space="preserve">the NRC’s </w:t>
      </w:r>
      <w:r w:rsidR="00D50871" w:rsidRPr="00FC188F">
        <w:t>March 12, 2012</w:t>
      </w:r>
      <w:r w:rsidR="00330B5E">
        <w:t>,</w:t>
      </w:r>
      <w:r w:rsidR="00D50871" w:rsidRPr="00FC188F">
        <w:t xml:space="preserve"> request for information letter (</w:t>
      </w:r>
      <w:hyperlink r:id="rId35" w:history="1">
        <w:r w:rsidR="00D50871" w:rsidRPr="00FC188F">
          <w:rPr>
            <w:color w:val="0000FF" w:themeColor="hyperlink"/>
          </w:rPr>
          <w:t>ML12053A340</w:t>
        </w:r>
      </w:hyperlink>
      <w:r w:rsidR="00D50871" w:rsidRPr="00FC188F">
        <w:rPr>
          <w:color w:val="0000FF" w:themeColor="hyperlink"/>
        </w:rPr>
        <w:t xml:space="preserve">), </w:t>
      </w:r>
      <w:r w:rsidR="00EB213D" w:rsidRPr="00471FB3">
        <w:rPr>
          <w:color w:val="000000"/>
        </w:rPr>
        <w:t>and</w:t>
      </w:r>
      <w:r w:rsidRPr="00471FB3">
        <w:rPr>
          <w:color w:val="000000"/>
        </w:rPr>
        <w:t xml:space="preserve"> </w:t>
      </w:r>
      <w:r w:rsidR="00EB213D" w:rsidRPr="00471FB3">
        <w:rPr>
          <w:color w:val="000000"/>
        </w:rPr>
        <w:t>verified</w:t>
      </w:r>
      <w:r w:rsidRPr="00471FB3">
        <w:rPr>
          <w:color w:val="000000"/>
        </w:rPr>
        <w:t xml:space="preserve"> that the licensee satisfactorily</w:t>
      </w:r>
      <w:r w:rsidR="00D50871" w:rsidRPr="00471FB3">
        <w:rPr>
          <w:color w:val="000000"/>
        </w:rPr>
        <w:t xml:space="preserve"> </w:t>
      </w:r>
      <w:r w:rsidR="00471FB3" w:rsidRPr="00471FB3">
        <w:rPr>
          <w:color w:val="000000"/>
        </w:rPr>
        <w:t xml:space="preserve">implemented enhancements </w:t>
      </w:r>
      <w:r w:rsidR="00D50871" w:rsidRPr="00471FB3">
        <w:t>pertaining to Near-Term Task Force (N</w:t>
      </w:r>
      <w:r w:rsidR="002012F7" w:rsidRPr="00471FB3">
        <w:t>T</w:t>
      </w:r>
      <w:r w:rsidR="00D50871" w:rsidRPr="00471FB3">
        <w:t>TF) Recommendation 9.3 response to a large scale natural emergency event that results in an extended loss of all ac power to all site units and impede</w:t>
      </w:r>
      <w:r w:rsidR="0057729C">
        <w:t>s</w:t>
      </w:r>
      <w:r w:rsidR="00D50871" w:rsidRPr="00471FB3">
        <w:t xml:space="preserve"> access to the site</w:t>
      </w:r>
      <w:r w:rsidR="00471FB3" w:rsidRPr="00471FB3">
        <w:t>.</w:t>
      </w:r>
      <w:r w:rsidR="005C5A36" w:rsidRPr="00471FB3">
        <w:t xml:space="preserve"> </w:t>
      </w:r>
    </w:p>
    <w:p w:rsidR="00B74CE8" w:rsidRPr="008210A8" w:rsidRDefault="00B74CE8" w:rsidP="00B74CE8">
      <w:pPr>
        <w:autoSpaceDE w:val="0"/>
        <w:autoSpaceDN w:val="0"/>
        <w:adjustRightInd w:val="0"/>
        <w:spacing w:line="240" w:lineRule="auto"/>
        <w:rPr>
          <w:color w:val="000000"/>
        </w:rPr>
      </w:pPr>
    </w:p>
    <w:p w:rsidR="00D50871" w:rsidRPr="00D50871" w:rsidRDefault="00D50871" w:rsidP="00D50871">
      <w:pPr>
        <w:autoSpaceDE w:val="0"/>
        <w:autoSpaceDN w:val="0"/>
        <w:adjustRightInd w:val="0"/>
        <w:spacing w:line="240" w:lineRule="auto"/>
        <w:rPr>
          <w:color w:val="000000"/>
        </w:rPr>
      </w:pPr>
      <w:r w:rsidRPr="00D50871">
        <w:rPr>
          <w:color w:val="000000"/>
        </w:rPr>
        <w:t>The inspectors</w:t>
      </w:r>
      <w:r>
        <w:rPr>
          <w:color w:val="000000"/>
        </w:rPr>
        <w:t xml:space="preserve"> verified the following:</w:t>
      </w:r>
    </w:p>
    <w:p w:rsidR="00D50871" w:rsidRPr="00D50871" w:rsidRDefault="00D50871" w:rsidP="00D50871">
      <w:pPr>
        <w:autoSpaceDE w:val="0"/>
        <w:autoSpaceDN w:val="0"/>
        <w:adjustRightInd w:val="0"/>
        <w:spacing w:line="240" w:lineRule="auto"/>
        <w:rPr>
          <w:color w:val="000000"/>
        </w:rPr>
      </w:pPr>
    </w:p>
    <w:p w:rsidR="00D50871" w:rsidRPr="00D50871" w:rsidRDefault="00D50871" w:rsidP="00D50871">
      <w:pPr>
        <w:numPr>
          <w:ilvl w:val="0"/>
          <w:numId w:val="33"/>
        </w:numPr>
        <w:autoSpaceDE w:val="0"/>
        <w:autoSpaceDN w:val="0"/>
        <w:adjustRightInd w:val="0"/>
        <w:spacing w:line="240" w:lineRule="auto"/>
        <w:contextualSpacing/>
      </w:pPr>
      <w:r>
        <w:t>Licensee satisfactorily i</w:t>
      </w:r>
      <w:r w:rsidRPr="00D50871">
        <w:t xml:space="preserve">mplemented required staffing change(s) to support </w:t>
      </w:r>
      <w:r w:rsidR="0057729C">
        <w:t xml:space="preserve">a </w:t>
      </w:r>
      <w:r w:rsidRPr="00D50871">
        <w:t>multi</w:t>
      </w:r>
      <w:r w:rsidR="00693306">
        <w:t>-</w:t>
      </w:r>
      <w:r w:rsidRPr="00D50871">
        <w:t xml:space="preserve">unit </w:t>
      </w:r>
      <w:r w:rsidR="00C33C05">
        <w:t>ELAP</w:t>
      </w:r>
      <w:r w:rsidRPr="00D50871">
        <w:t xml:space="preserve"> scenario</w:t>
      </w:r>
      <w:r w:rsidR="00693306">
        <w:t>.</w:t>
      </w:r>
    </w:p>
    <w:p w:rsidR="00D50871" w:rsidRPr="00D50871" w:rsidRDefault="00D50871" w:rsidP="00D50871">
      <w:pPr>
        <w:autoSpaceDE w:val="0"/>
        <w:autoSpaceDN w:val="0"/>
        <w:adjustRightInd w:val="0"/>
        <w:spacing w:line="240" w:lineRule="auto"/>
        <w:ind w:left="720"/>
        <w:contextualSpacing/>
        <w:rPr>
          <w:u w:val="single"/>
        </w:rPr>
      </w:pPr>
    </w:p>
    <w:p w:rsidR="00D50871" w:rsidRPr="00D50871" w:rsidRDefault="00D50871" w:rsidP="00D50871">
      <w:pPr>
        <w:numPr>
          <w:ilvl w:val="0"/>
          <w:numId w:val="33"/>
        </w:numPr>
        <w:autoSpaceDE w:val="0"/>
        <w:autoSpaceDN w:val="0"/>
        <w:adjustRightInd w:val="0"/>
        <w:spacing w:line="240" w:lineRule="auto"/>
        <w:contextualSpacing/>
      </w:pPr>
      <w:r w:rsidRPr="00D50871">
        <w:t xml:space="preserve">EP communications equipment and facilities are sufficient for dealing with </w:t>
      </w:r>
      <w:r w:rsidR="0057729C">
        <w:t xml:space="preserve">a </w:t>
      </w:r>
      <w:r w:rsidRPr="00D50871">
        <w:t>multi</w:t>
      </w:r>
      <w:r w:rsidR="00693306">
        <w:t>-</w:t>
      </w:r>
      <w:r w:rsidR="00C33C05">
        <w:t xml:space="preserve">unit ELAP </w:t>
      </w:r>
      <w:r w:rsidRPr="00D50871">
        <w:t>scenario.</w:t>
      </w:r>
    </w:p>
    <w:p w:rsidR="00D50871" w:rsidRPr="00D50871" w:rsidRDefault="00D50871" w:rsidP="0010273F"/>
    <w:p w:rsidR="006F10DF" w:rsidRDefault="0042787C" w:rsidP="00D50871">
      <w:pPr>
        <w:numPr>
          <w:ilvl w:val="0"/>
          <w:numId w:val="33"/>
        </w:numPr>
        <w:autoSpaceDE w:val="0"/>
        <w:autoSpaceDN w:val="0"/>
        <w:adjustRightInd w:val="0"/>
        <w:spacing w:line="240" w:lineRule="auto"/>
        <w:contextualSpacing/>
        <w:sectPr w:rsidR="006F10DF" w:rsidSect="00EF54C4">
          <w:pgSz w:w="12240" w:h="15840" w:code="1"/>
          <w:pgMar w:top="1440" w:right="1440" w:bottom="1440" w:left="1440" w:header="1440" w:footer="1440" w:gutter="0"/>
          <w:pgNumType w:chapStyle="1"/>
          <w:cols w:space="720"/>
          <w:docGrid w:linePitch="360"/>
        </w:sectPr>
      </w:pPr>
      <w:r>
        <w:t xml:space="preserve">[For multi-unit sites] </w:t>
      </w:r>
      <w:r w:rsidR="00471FB3">
        <w:t>Implemented multi-unit dose assessment capabilities</w:t>
      </w:r>
      <w:r w:rsidR="00D50871" w:rsidRPr="00D50871">
        <w:t xml:space="preserve"> (including releases from spent fuel pools) using the licensee’s site-specific dose assessment software and approach</w:t>
      </w:r>
      <w:r w:rsidR="0032370F">
        <w:t>.</w:t>
      </w:r>
    </w:p>
    <w:p w:rsidR="00D50871" w:rsidRDefault="00D50871" w:rsidP="00B74CE8">
      <w:pPr>
        <w:autoSpaceDE w:val="0"/>
        <w:autoSpaceDN w:val="0"/>
        <w:adjustRightInd w:val="0"/>
        <w:spacing w:line="240" w:lineRule="auto"/>
      </w:pPr>
    </w:p>
    <w:p w:rsidR="00AE2306" w:rsidRDefault="00B74CE8" w:rsidP="00D50871">
      <w:pPr>
        <w:autoSpaceDE w:val="0"/>
        <w:autoSpaceDN w:val="0"/>
        <w:adjustRightInd w:val="0"/>
        <w:spacing w:line="240" w:lineRule="auto"/>
        <w:rPr>
          <w:color w:val="000000"/>
        </w:rPr>
      </w:pPr>
      <w:r w:rsidRPr="00F53DB4">
        <w:rPr>
          <w:color w:val="000000"/>
        </w:rPr>
        <w:t>The inspectors verified that noncompliances with current licensing requirements, and other issues identified during the inspection were entered into the licensee's corrective action program (list the correction action document(s) number).</w:t>
      </w:r>
      <w:r w:rsidR="00DE0F56">
        <w:rPr>
          <w:color w:val="000000"/>
        </w:rPr>
        <w:t>”</w:t>
      </w:r>
      <w:r w:rsidRPr="00F53DB4">
        <w:rPr>
          <w:color w:val="000000"/>
        </w:rPr>
        <w:t xml:space="preserve"> </w:t>
      </w:r>
    </w:p>
    <w:p w:rsidR="00BB53BB" w:rsidRDefault="00BB53BB" w:rsidP="00D50871">
      <w:pPr>
        <w:autoSpaceDE w:val="0"/>
        <w:autoSpaceDN w:val="0"/>
        <w:adjustRightInd w:val="0"/>
        <w:spacing w:line="240" w:lineRule="auto"/>
        <w:rPr>
          <w:color w:val="000000"/>
        </w:rPr>
      </w:pPr>
    </w:p>
    <w:p w:rsidR="006F10DF" w:rsidRDefault="00BB53BB" w:rsidP="00330B5E">
      <w:pPr>
        <w:pStyle w:val="ListParagraph"/>
        <w:autoSpaceDE w:val="0"/>
        <w:autoSpaceDN w:val="0"/>
        <w:adjustRightInd w:val="0"/>
        <w:spacing w:line="240" w:lineRule="auto"/>
        <w:ind w:left="0"/>
        <w:rPr>
          <w:color w:val="000000"/>
        </w:rPr>
      </w:pPr>
      <w:r>
        <w:rPr>
          <w:color w:val="000000"/>
        </w:rPr>
        <w:t xml:space="preserve">Alternately, at the discretion of the Region, completion of Appendix C of the TI may be documented in a stand-alone inspection report. </w:t>
      </w:r>
    </w:p>
    <w:p w:rsidR="00B9215D" w:rsidRDefault="00B9215D" w:rsidP="00330B5E">
      <w:pPr>
        <w:pStyle w:val="ListParagraph"/>
        <w:autoSpaceDE w:val="0"/>
        <w:autoSpaceDN w:val="0"/>
        <w:adjustRightInd w:val="0"/>
        <w:spacing w:line="240" w:lineRule="auto"/>
        <w:ind w:left="0"/>
        <w:rPr>
          <w:color w:val="000000"/>
        </w:rPr>
      </w:pPr>
    </w:p>
    <w:p w:rsidR="00B9215D" w:rsidRDefault="00B9215D" w:rsidP="00330B5E">
      <w:pPr>
        <w:pStyle w:val="ListParagraph"/>
        <w:autoSpaceDE w:val="0"/>
        <w:autoSpaceDN w:val="0"/>
        <w:adjustRightInd w:val="0"/>
        <w:spacing w:line="240" w:lineRule="auto"/>
        <w:ind w:left="0"/>
        <w:rPr>
          <w:color w:val="000000"/>
        </w:rPr>
      </w:pPr>
    </w:p>
    <w:p w:rsidR="00B9215D" w:rsidRDefault="00B9215D" w:rsidP="00B9215D">
      <w:pPr>
        <w:pStyle w:val="ListParagraph"/>
        <w:autoSpaceDE w:val="0"/>
        <w:autoSpaceDN w:val="0"/>
        <w:adjustRightInd w:val="0"/>
        <w:spacing w:line="240" w:lineRule="auto"/>
        <w:ind w:left="0"/>
        <w:jc w:val="center"/>
        <w:rPr>
          <w:color w:val="000000"/>
        </w:rPr>
        <w:sectPr w:rsidR="00B9215D" w:rsidSect="00EF54C4">
          <w:pgSz w:w="12240" w:h="15840" w:code="1"/>
          <w:pgMar w:top="1440" w:right="1440" w:bottom="1440" w:left="1440" w:header="1440" w:footer="1440" w:gutter="0"/>
          <w:pgNumType w:chapStyle="1"/>
          <w:cols w:space="720"/>
          <w:docGrid w:linePitch="360"/>
        </w:sectPr>
      </w:pPr>
      <w:r>
        <w:rPr>
          <w:color w:val="000000"/>
        </w:rPr>
        <w:t>END</w:t>
      </w:r>
    </w:p>
    <w:p w:rsidR="00950534" w:rsidRDefault="00AE2306" w:rsidP="00AE2306">
      <w:pPr>
        <w:pStyle w:val="ListParagraph"/>
        <w:autoSpaceDE w:val="0"/>
        <w:autoSpaceDN w:val="0"/>
        <w:adjustRightInd w:val="0"/>
        <w:spacing w:line="240" w:lineRule="auto"/>
        <w:ind w:left="0"/>
        <w:jc w:val="center"/>
      </w:pPr>
      <w:r>
        <w:lastRenderedPageBreak/>
        <w:t>Attachment 1 – Revision History</w:t>
      </w:r>
    </w:p>
    <w:p w:rsidR="00AE2306" w:rsidRDefault="00AE2306" w:rsidP="00AE2306">
      <w:pPr>
        <w:pStyle w:val="ListParagraph"/>
        <w:autoSpaceDE w:val="0"/>
        <w:autoSpaceDN w:val="0"/>
        <w:adjustRightInd w:val="0"/>
        <w:spacing w:line="240" w:lineRule="auto"/>
        <w:ind w:left="0"/>
        <w:jc w:val="center"/>
      </w:pPr>
      <w:r>
        <w:t>TI 2515/191</w:t>
      </w:r>
    </w:p>
    <w:p w:rsidR="00AE2306" w:rsidRDefault="00AE2306" w:rsidP="00AE2306">
      <w:pPr>
        <w:pStyle w:val="ListParagraph"/>
        <w:autoSpaceDE w:val="0"/>
        <w:autoSpaceDN w:val="0"/>
        <w:adjustRightInd w:val="0"/>
        <w:spacing w:line="240" w:lineRule="auto"/>
        <w:ind w:left="0"/>
        <w:jc w:val="cente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4410"/>
        <w:gridCol w:w="2340"/>
        <w:gridCol w:w="2520"/>
      </w:tblGrid>
      <w:tr w:rsidR="00AE2306" w:rsidRPr="00401D64" w:rsidTr="000C1051">
        <w:tc>
          <w:tcPr>
            <w:tcW w:w="1710" w:type="dxa"/>
            <w:tcBorders>
              <w:top w:val="single" w:sz="7" w:space="0" w:color="000000"/>
              <w:left w:val="single" w:sz="7" w:space="0" w:color="000000"/>
              <w:bottom w:val="single" w:sz="7" w:space="0" w:color="000000"/>
              <w:right w:val="single" w:sz="7" w:space="0" w:color="000000"/>
            </w:tcBorders>
          </w:tcPr>
          <w:p w:rsidR="00AE2306" w:rsidRDefault="00AE2306" w:rsidP="00AE23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auto"/>
              <w:outlineLvl w:val="1"/>
            </w:pPr>
            <w:r w:rsidRPr="00401D64">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AE2306" w:rsidRDefault="00AE2306" w:rsidP="00AE23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auto"/>
              <w:jc w:val="center"/>
              <w:outlineLvl w:val="1"/>
            </w:pPr>
            <w:r>
              <w:t>Accession Number</w:t>
            </w:r>
            <w:r w:rsidRPr="00401D64" w:rsidDel="000714E0">
              <w:t xml:space="preserve"> </w:t>
            </w:r>
          </w:p>
          <w:p w:rsidR="00AE2306" w:rsidRDefault="00AE2306" w:rsidP="00AE23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auto"/>
              <w:jc w:val="center"/>
              <w:outlineLvl w:val="1"/>
            </w:pPr>
            <w:r>
              <w:t>Issue Date</w:t>
            </w:r>
          </w:p>
          <w:p w:rsidR="00AE2306" w:rsidRDefault="00AE2306" w:rsidP="00AE23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auto"/>
              <w:jc w:val="center"/>
              <w:outlineLvl w:val="1"/>
            </w:pPr>
            <w:r>
              <w:t>Change Notice</w:t>
            </w:r>
          </w:p>
        </w:tc>
        <w:tc>
          <w:tcPr>
            <w:tcW w:w="4410" w:type="dxa"/>
            <w:tcBorders>
              <w:top w:val="single" w:sz="7" w:space="0" w:color="000000"/>
              <w:left w:val="single" w:sz="7" w:space="0" w:color="000000"/>
              <w:bottom w:val="single" w:sz="7" w:space="0" w:color="000000"/>
              <w:right w:val="single" w:sz="7" w:space="0" w:color="000000"/>
            </w:tcBorders>
          </w:tcPr>
          <w:p w:rsidR="00AE2306" w:rsidRDefault="00AE2306" w:rsidP="00AE23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auto"/>
              <w:jc w:val="center"/>
              <w:outlineLvl w:val="1"/>
            </w:pPr>
            <w:r w:rsidRPr="00401D64">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AE2306" w:rsidRDefault="00AE2306" w:rsidP="00AE23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auto"/>
              <w:outlineLvl w:val="1"/>
            </w:pPr>
            <w:r>
              <w:t xml:space="preserve">Description of </w:t>
            </w:r>
            <w:r w:rsidRPr="00401D64">
              <w:t>Training Required</w:t>
            </w:r>
            <w:r>
              <w:t xml:space="preserve"> and Completion Date </w:t>
            </w:r>
          </w:p>
        </w:tc>
        <w:tc>
          <w:tcPr>
            <w:tcW w:w="2520" w:type="dxa"/>
            <w:tcBorders>
              <w:top w:val="single" w:sz="7" w:space="0" w:color="000000"/>
              <w:left w:val="single" w:sz="7" w:space="0" w:color="000000"/>
              <w:bottom w:val="single" w:sz="7" w:space="0" w:color="000000"/>
              <w:right w:val="single" w:sz="7" w:space="0" w:color="000000"/>
            </w:tcBorders>
          </w:tcPr>
          <w:p w:rsidR="00AE2306" w:rsidRDefault="00AE2306" w:rsidP="00AE230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auto"/>
              <w:outlineLvl w:val="1"/>
            </w:pPr>
            <w:r w:rsidRPr="00401D64">
              <w:t xml:space="preserve">Comment </w:t>
            </w:r>
            <w:r>
              <w:t xml:space="preserve">and Feedback </w:t>
            </w:r>
            <w:r w:rsidRPr="00401D64">
              <w:t>Resolution Accession Number</w:t>
            </w:r>
          </w:p>
        </w:tc>
      </w:tr>
      <w:tr w:rsidR="00AE2306" w:rsidRPr="00401D64" w:rsidTr="000C1051">
        <w:tc>
          <w:tcPr>
            <w:tcW w:w="171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890" w:type="dxa"/>
            <w:tcBorders>
              <w:top w:val="single" w:sz="7" w:space="0" w:color="000000"/>
              <w:left w:val="single" w:sz="7" w:space="0" w:color="000000"/>
              <w:bottom w:val="single" w:sz="7" w:space="0" w:color="000000"/>
              <w:right w:val="single" w:sz="7" w:space="0" w:color="000000"/>
            </w:tcBorders>
          </w:tcPr>
          <w:p w:rsidR="00AE2306" w:rsidRDefault="00AE2306" w:rsidP="00493F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auto"/>
              <w:outlineLvl w:val="1"/>
            </w:pPr>
            <w:r w:rsidRPr="00401D64">
              <w:t>ML</w:t>
            </w:r>
            <w:r>
              <w:t>13336A744</w:t>
            </w:r>
          </w:p>
          <w:p w:rsidR="00AE2306" w:rsidRDefault="00B9215D" w:rsidP="00493F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auto"/>
              <w:outlineLvl w:val="1"/>
            </w:pPr>
            <w:r>
              <w:t>10/06/14</w:t>
            </w:r>
          </w:p>
          <w:p w:rsidR="00AE2306" w:rsidRDefault="00AE2306" w:rsidP="00493F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auto"/>
              <w:outlineLvl w:val="1"/>
            </w:pPr>
            <w:r w:rsidRPr="00401D64">
              <w:t xml:space="preserve">CN </w:t>
            </w:r>
            <w:r w:rsidR="00186FA5">
              <w:t>14</w:t>
            </w:r>
            <w:r w:rsidR="00B9215D">
              <w:t>-023</w:t>
            </w:r>
          </w:p>
        </w:tc>
        <w:tc>
          <w:tcPr>
            <w:tcW w:w="4410" w:type="dxa"/>
            <w:tcBorders>
              <w:top w:val="single" w:sz="7" w:space="0" w:color="000000"/>
              <w:left w:val="single" w:sz="7" w:space="0" w:color="000000"/>
              <w:bottom w:val="single" w:sz="7" w:space="0" w:color="000000"/>
              <w:right w:val="single" w:sz="7" w:space="0" w:color="000000"/>
            </w:tcBorders>
          </w:tcPr>
          <w:p w:rsidR="00AE2306" w:rsidRPr="00186FA5" w:rsidRDefault="00186FA5" w:rsidP="00186FA5">
            <w:pPr>
              <w:pStyle w:val="PlainText"/>
              <w:rPr>
                <w:sz w:val="22"/>
                <w:szCs w:val="22"/>
              </w:rPr>
            </w:pPr>
            <w:r w:rsidRPr="00186FA5">
              <w:rPr>
                <w:color w:val="auto"/>
                <w:sz w:val="22"/>
                <w:szCs w:val="22"/>
              </w:rPr>
              <w:t>This is the initial issuance of a Temporary Instruction which will be used to verify licensee's satisfactory implementation of NRC Order EA-12-049, which added requirements for mitigation strategies for Beyond-Design-Basis external events; NRC Order EA-12-051, which added requirements for spent fuel pool instrumentation; and communications and staffing plans needed to respond to a large-scale event as requested in the NRC's March 12, 2012 request for information letter.</w:t>
            </w:r>
          </w:p>
        </w:tc>
        <w:tc>
          <w:tcPr>
            <w:tcW w:w="234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2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firstLine="244"/>
              <w:outlineLvl w:val="1"/>
            </w:pPr>
          </w:p>
        </w:tc>
      </w:tr>
      <w:tr w:rsidR="00AE2306" w:rsidRPr="00401D64" w:rsidTr="000C1051">
        <w:tc>
          <w:tcPr>
            <w:tcW w:w="171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89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441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4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2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r w:rsidR="00AE2306" w:rsidRPr="00401D64" w:rsidTr="000C1051">
        <w:tc>
          <w:tcPr>
            <w:tcW w:w="171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189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441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34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c>
          <w:tcPr>
            <w:tcW w:w="2520" w:type="dxa"/>
            <w:tcBorders>
              <w:top w:val="single" w:sz="7" w:space="0" w:color="000000"/>
              <w:left w:val="single" w:sz="7" w:space="0" w:color="000000"/>
              <w:bottom w:val="single" w:sz="7" w:space="0" w:color="000000"/>
              <w:right w:val="single" w:sz="7" w:space="0" w:color="000000"/>
            </w:tcBorders>
          </w:tcPr>
          <w:p w:rsidR="00AE2306" w:rsidRDefault="00AE2306" w:rsidP="000C105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p>
        </w:tc>
      </w:tr>
    </w:tbl>
    <w:p w:rsidR="00AE2306" w:rsidRPr="00130EF9" w:rsidRDefault="00AE2306" w:rsidP="00AE2306">
      <w:pPr>
        <w:pStyle w:val="ListParagraph"/>
        <w:autoSpaceDE w:val="0"/>
        <w:autoSpaceDN w:val="0"/>
        <w:adjustRightInd w:val="0"/>
        <w:spacing w:line="240" w:lineRule="auto"/>
        <w:ind w:left="0"/>
        <w:jc w:val="center"/>
      </w:pPr>
    </w:p>
    <w:sectPr w:rsidR="00AE2306" w:rsidRPr="00130EF9" w:rsidSect="00AE2306">
      <w:footerReference w:type="default" r:id="rId36"/>
      <w:pgSz w:w="15840" w:h="12240" w:orient="landscape" w:code="1"/>
      <w:pgMar w:top="1440" w:right="1440" w:bottom="1440" w:left="1440" w:header="1440" w:footer="144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D5D" w:rsidRDefault="00465D5D" w:rsidP="0096321E">
      <w:pPr>
        <w:spacing w:line="240" w:lineRule="auto"/>
      </w:pPr>
      <w:r>
        <w:separator/>
      </w:r>
    </w:p>
  </w:endnote>
  <w:endnote w:type="continuationSeparator" w:id="0">
    <w:p w:rsidR="00465D5D" w:rsidRDefault="00465D5D" w:rsidP="009632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Letter Gothic 12cpi">
    <w:panose1 w:val="00000000000000000000"/>
    <w:charset w:val="00"/>
    <w:family w:val="modern"/>
    <w:notTrueType/>
    <w:pitch w:val="fixed"/>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299750"/>
      <w:docPartObj>
        <w:docPartGallery w:val="Page Numbers (Bottom of Page)"/>
        <w:docPartUnique/>
      </w:docPartObj>
    </w:sdtPr>
    <w:sdtEndPr>
      <w:rPr>
        <w:noProof/>
      </w:rPr>
    </w:sdtEndPr>
    <w:sdtContent>
      <w:p w:rsidR="00C7628C" w:rsidRDefault="00C7628C" w:rsidP="006F10DF">
        <w:pPr>
          <w:pStyle w:val="Footer"/>
        </w:pPr>
        <w:r>
          <w:t xml:space="preserve">Issue Date:  </w:t>
        </w:r>
        <w:r w:rsidR="00B9215D">
          <w:t>10/06/14</w:t>
        </w:r>
        <w:r>
          <w:tab/>
        </w:r>
        <w:r>
          <w:fldChar w:fldCharType="begin"/>
        </w:r>
        <w:r>
          <w:instrText xml:space="preserve"> PAGE   \* MERGEFORMAT </w:instrText>
        </w:r>
        <w:r>
          <w:fldChar w:fldCharType="separate"/>
        </w:r>
        <w:r w:rsidR="007F4E84">
          <w:rPr>
            <w:noProof/>
          </w:rPr>
          <w:t>1</w:t>
        </w:r>
        <w:r>
          <w:rPr>
            <w:noProof/>
          </w:rPr>
          <w:fldChar w:fldCharType="end"/>
        </w:r>
        <w:r>
          <w:rPr>
            <w:noProof/>
          </w:rPr>
          <w:tab/>
          <w:t>2515/191</w:t>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28C" w:rsidRDefault="00C7628C">
    <w:pPr>
      <w:pStyle w:val="Footer"/>
    </w:pPr>
    <w:r>
      <w:t xml:space="preserve">Issue Date:  </w:t>
    </w:r>
    <w:r w:rsidR="00B9215D">
      <w:t>10/06/14</w:t>
    </w:r>
    <w:r>
      <w:ptab w:relativeTo="margin" w:alignment="center" w:leader="none"/>
    </w:r>
    <w:proofErr w:type="spellStart"/>
    <w:r>
      <w:t>Att</w:t>
    </w:r>
    <w:proofErr w:type="spellEnd"/>
    <w:r>
      <w:t xml:space="preserve"> 1-1</w:t>
    </w:r>
    <w:r>
      <w:ptab w:relativeTo="margin" w:alignment="right" w:leader="none"/>
    </w:r>
    <w:r>
      <w:t>2515/191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02824"/>
      <w:docPartObj>
        <w:docPartGallery w:val="Page Numbers (Bottom of Page)"/>
        <w:docPartUnique/>
      </w:docPartObj>
    </w:sdtPr>
    <w:sdtEndPr>
      <w:rPr>
        <w:noProof/>
      </w:rPr>
    </w:sdtEndPr>
    <w:sdtContent>
      <w:p w:rsidR="00C7628C" w:rsidRDefault="00C7628C" w:rsidP="00994188">
        <w:pPr>
          <w:pStyle w:val="Footer"/>
        </w:pPr>
        <w:r>
          <w:t xml:space="preserve">Issue Date:  </w:t>
        </w:r>
        <w:r w:rsidR="00B9215D">
          <w:t>10/06/14</w:t>
        </w:r>
        <w:r>
          <w:tab/>
        </w:r>
        <w:r>
          <w:fldChar w:fldCharType="begin"/>
        </w:r>
        <w:r>
          <w:instrText xml:space="preserve"> PAGE   \* MERGEFORMAT </w:instrText>
        </w:r>
        <w:r>
          <w:fldChar w:fldCharType="separate"/>
        </w:r>
        <w:r w:rsidR="007F4E84">
          <w:rPr>
            <w:noProof/>
          </w:rPr>
          <w:t>2</w:t>
        </w:r>
        <w:r>
          <w:rPr>
            <w:noProof/>
          </w:rPr>
          <w:fldChar w:fldCharType="end"/>
        </w:r>
        <w:r>
          <w:rPr>
            <w:noProof/>
          </w:rPr>
          <w:tab/>
          <w:t>2515/191</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3513753"/>
      <w:docPartObj>
        <w:docPartGallery w:val="Page Numbers (Bottom of Page)"/>
        <w:docPartUnique/>
      </w:docPartObj>
    </w:sdtPr>
    <w:sdtEndPr>
      <w:rPr>
        <w:noProof/>
      </w:rPr>
    </w:sdtEndPr>
    <w:sdtContent>
      <w:p w:rsidR="00C7628C" w:rsidRDefault="00C7628C" w:rsidP="00994188">
        <w:pPr>
          <w:pStyle w:val="Footer"/>
        </w:pPr>
        <w:r>
          <w:t xml:space="preserve">Issue Date:  </w:t>
        </w:r>
        <w:r w:rsidR="00B9215D">
          <w:t>10/06/14</w:t>
        </w:r>
        <w:r>
          <w:tab/>
        </w:r>
        <w:r>
          <w:fldChar w:fldCharType="begin"/>
        </w:r>
        <w:r>
          <w:instrText xml:space="preserve"> PAGE   \* MERGEFORMAT </w:instrText>
        </w:r>
        <w:r>
          <w:fldChar w:fldCharType="separate"/>
        </w:r>
        <w:r w:rsidR="007F4E84">
          <w:rPr>
            <w:noProof/>
          </w:rPr>
          <w:t>3</w:t>
        </w:r>
        <w:r>
          <w:rPr>
            <w:noProof/>
          </w:rPr>
          <w:fldChar w:fldCharType="end"/>
        </w:r>
        <w:r>
          <w:rPr>
            <w:noProof/>
          </w:rPr>
          <w:tab/>
          <w:t>2515/191</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263579"/>
      <w:docPartObj>
        <w:docPartGallery w:val="Page Numbers (Bottom of Page)"/>
        <w:docPartUnique/>
      </w:docPartObj>
    </w:sdtPr>
    <w:sdtEndPr>
      <w:rPr>
        <w:noProof/>
      </w:rPr>
    </w:sdtEndPr>
    <w:sdtContent>
      <w:p w:rsidR="00C7628C" w:rsidRDefault="00C7628C" w:rsidP="00994188">
        <w:pPr>
          <w:pStyle w:val="Footer"/>
        </w:pPr>
        <w:r>
          <w:t xml:space="preserve">Issue Date:  </w:t>
        </w:r>
        <w:r w:rsidR="00B9215D">
          <w:t>10/06/14</w:t>
        </w:r>
        <w:r>
          <w:tab/>
          <w:t>App A-</w:t>
        </w:r>
        <w:r>
          <w:fldChar w:fldCharType="begin"/>
        </w:r>
        <w:r>
          <w:instrText xml:space="preserve"> PAGE   \* MERGEFORMAT </w:instrText>
        </w:r>
        <w:r>
          <w:fldChar w:fldCharType="separate"/>
        </w:r>
        <w:r w:rsidR="007F4E84">
          <w:rPr>
            <w:noProof/>
          </w:rPr>
          <w:t>2</w:t>
        </w:r>
        <w:r>
          <w:rPr>
            <w:noProof/>
          </w:rPr>
          <w:fldChar w:fldCharType="end"/>
        </w:r>
        <w:r>
          <w:rPr>
            <w:noProof/>
          </w:rPr>
          <w:tab/>
          <w:t>2515/191</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1763295"/>
      <w:docPartObj>
        <w:docPartGallery w:val="Page Numbers (Bottom of Page)"/>
        <w:docPartUnique/>
      </w:docPartObj>
    </w:sdtPr>
    <w:sdtEndPr>
      <w:rPr>
        <w:noProof/>
      </w:rPr>
    </w:sdtEndPr>
    <w:sdtContent>
      <w:p w:rsidR="00C7628C" w:rsidRDefault="00C7628C" w:rsidP="00994188">
        <w:pPr>
          <w:pStyle w:val="Footer"/>
        </w:pPr>
        <w:r>
          <w:t xml:space="preserve">Issue Date:  </w:t>
        </w:r>
        <w:r w:rsidR="00B9215D">
          <w:t>10/06/14</w:t>
        </w:r>
        <w:r>
          <w:tab/>
          <w:t>App A-</w:t>
        </w:r>
        <w:r>
          <w:fldChar w:fldCharType="begin"/>
        </w:r>
        <w:r>
          <w:instrText xml:space="preserve"> PAGE   \* MERGEFORMAT </w:instrText>
        </w:r>
        <w:r>
          <w:fldChar w:fldCharType="separate"/>
        </w:r>
        <w:r w:rsidR="007F4E84">
          <w:rPr>
            <w:noProof/>
          </w:rPr>
          <w:t>8</w:t>
        </w:r>
        <w:r>
          <w:rPr>
            <w:noProof/>
          </w:rPr>
          <w:fldChar w:fldCharType="end"/>
        </w:r>
        <w:r>
          <w:rPr>
            <w:noProof/>
          </w:rPr>
          <w:tab/>
          <w:t>2515/191</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4987681"/>
      <w:docPartObj>
        <w:docPartGallery w:val="Page Numbers (Bottom of Page)"/>
        <w:docPartUnique/>
      </w:docPartObj>
    </w:sdtPr>
    <w:sdtEndPr>
      <w:rPr>
        <w:noProof/>
      </w:rPr>
    </w:sdtEndPr>
    <w:sdtContent>
      <w:p w:rsidR="00C7628C" w:rsidRDefault="00C7628C" w:rsidP="00994188">
        <w:pPr>
          <w:pStyle w:val="Footer"/>
        </w:pPr>
        <w:r>
          <w:t>Issue Date:</w:t>
        </w:r>
        <w:r w:rsidR="00B9215D">
          <w:t xml:space="preserve">  10/06/14</w:t>
        </w:r>
        <w:r>
          <w:tab/>
          <w:t>App A-</w:t>
        </w:r>
        <w:r>
          <w:fldChar w:fldCharType="begin"/>
        </w:r>
        <w:r>
          <w:instrText xml:space="preserve"> PAGE   \* MERGEFORMAT </w:instrText>
        </w:r>
        <w:r>
          <w:fldChar w:fldCharType="separate"/>
        </w:r>
        <w:r w:rsidR="007F4E84">
          <w:rPr>
            <w:noProof/>
          </w:rPr>
          <w:t>9</w:t>
        </w:r>
        <w:r>
          <w:rPr>
            <w:noProof/>
          </w:rPr>
          <w:fldChar w:fldCharType="end"/>
        </w:r>
        <w:r>
          <w:rPr>
            <w:noProof/>
          </w:rPr>
          <w:tab/>
          <w:t>2515/191</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341513"/>
      <w:docPartObj>
        <w:docPartGallery w:val="Page Numbers (Bottom of Page)"/>
        <w:docPartUnique/>
      </w:docPartObj>
    </w:sdtPr>
    <w:sdtEndPr>
      <w:rPr>
        <w:noProof/>
      </w:rPr>
    </w:sdtEndPr>
    <w:sdtContent>
      <w:p w:rsidR="00C7628C" w:rsidRDefault="00C7628C" w:rsidP="00994188">
        <w:pPr>
          <w:pStyle w:val="Footer"/>
        </w:pPr>
        <w:r>
          <w:t xml:space="preserve">Issue Date:  </w:t>
        </w:r>
        <w:r w:rsidR="00B9215D">
          <w:t>10/06/14</w:t>
        </w:r>
        <w:r>
          <w:tab/>
          <w:t>App B-</w:t>
        </w:r>
        <w:r>
          <w:fldChar w:fldCharType="begin"/>
        </w:r>
        <w:r>
          <w:instrText xml:space="preserve"> PAGE   \* MERGEFORMAT </w:instrText>
        </w:r>
        <w:r>
          <w:fldChar w:fldCharType="separate"/>
        </w:r>
        <w:r w:rsidR="007F4E84">
          <w:rPr>
            <w:noProof/>
          </w:rPr>
          <w:t>1</w:t>
        </w:r>
        <w:r>
          <w:rPr>
            <w:noProof/>
          </w:rPr>
          <w:fldChar w:fldCharType="end"/>
        </w:r>
        <w:r>
          <w:rPr>
            <w:noProof/>
          </w:rPr>
          <w:tab/>
          <w:t>2515/191</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96198"/>
      <w:docPartObj>
        <w:docPartGallery w:val="Page Numbers (Bottom of Page)"/>
        <w:docPartUnique/>
      </w:docPartObj>
    </w:sdtPr>
    <w:sdtEndPr>
      <w:rPr>
        <w:noProof/>
      </w:rPr>
    </w:sdtEndPr>
    <w:sdtContent>
      <w:p w:rsidR="00C7628C" w:rsidRDefault="00C7628C" w:rsidP="00994188">
        <w:pPr>
          <w:pStyle w:val="Footer"/>
        </w:pPr>
        <w:r>
          <w:t>Issue Date:</w:t>
        </w:r>
        <w:r w:rsidR="00B9215D">
          <w:t xml:space="preserve">  10/06/14</w:t>
        </w:r>
        <w:r>
          <w:tab/>
          <w:t>App B-</w:t>
        </w:r>
        <w:r>
          <w:fldChar w:fldCharType="begin"/>
        </w:r>
        <w:r>
          <w:instrText xml:space="preserve"> PAGE   \* MERGEFORMAT </w:instrText>
        </w:r>
        <w:r>
          <w:fldChar w:fldCharType="separate"/>
        </w:r>
        <w:r w:rsidR="007F4E84">
          <w:rPr>
            <w:noProof/>
          </w:rPr>
          <w:t>2</w:t>
        </w:r>
        <w:r>
          <w:rPr>
            <w:noProof/>
          </w:rPr>
          <w:fldChar w:fldCharType="end"/>
        </w:r>
        <w:r>
          <w:rPr>
            <w:noProof/>
          </w:rPr>
          <w:tab/>
          <w:t>2515/191</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6857890"/>
      <w:docPartObj>
        <w:docPartGallery w:val="Page Numbers (Bottom of Page)"/>
        <w:docPartUnique/>
      </w:docPartObj>
    </w:sdtPr>
    <w:sdtEndPr>
      <w:rPr>
        <w:noProof/>
      </w:rPr>
    </w:sdtEndPr>
    <w:sdtContent>
      <w:p w:rsidR="00C7628C" w:rsidRDefault="00C7628C" w:rsidP="00994188">
        <w:pPr>
          <w:pStyle w:val="Footer"/>
        </w:pPr>
        <w:r>
          <w:t xml:space="preserve">Issue Date:  </w:t>
        </w:r>
        <w:r w:rsidR="00B9215D">
          <w:t>10/06/14</w:t>
        </w:r>
        <w:r>
          <w:tab/>
          <w:t>App C-</w:t>
        </w:r>
        <w:r>
          <w:fldChar w:fldCharType="begin"/>
        </w:r>
        <w:r>
          <w:instrText xml:space="preserve"> PAGE   \* MERGEFORMAT </w:instrText>
        </w:r>
        <w:r>
          <w:fldChar w:fldCharType="separate"/>
        </w:r>
        <w:r w:rsidR="007F4E84">
          <w:rPr>
            <w:noProof/>
          </w:rPr>
          <w:t>4</w:t>
        </w:r>
        <w:r>
          <w:rPr>
            <w:noProof/>
          </w:rPr>
          <w:fldChar w:fldCharType="end"/>
        </w:r>
        <w:r>
          <w:rPr>
            <w:noProof/>
          </w:rPr>
          <w:tab/>
          <w:t>2515/191</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D5D" w:rsidRDefault="00465D5D" w:rsidP="0096321E">
      <w:pPr>
        <w:spacing w:line="240" w:lineRule="auto"/>
      </w:pPr>
      <w:r>
        <w:separator/>
      </w:r>
    </w:p>
  </w:footnote>
  <w:footnote w:type="continuationSeparator" w:id="0">
    <w:p w:rsidR="00465D5D" w:rsidRDefault="00465D5D" w:rsidP="0096321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FDB"/>
    <w:multiLevelType w:val="hybridMultilevel"/>
    <w:tmpl w:val="FBA22112"/>
    <w:lvl w:ilvl="0" w:tplc="E0C44D0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783161"/>
    <w:multiLevelType w:val="hybridMultilevel"/>
    <w:tmpl w:val="9376A7FA"/>
    <w:lvl w:ilvl="0" w:tplc="8D44E5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2E61A2"/>
    <w:multiLevelType w:val="hybridMultilevel"/>
    <w:tmpl w:val="86A26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56040"/>
    <w:multiLevelType w:val="hybridMultilevel"/>
    <w:tmpl w:val="C6F401C2"/>
    <w:lvl w:ilvl="0" w:tplc="63982C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DFE0804"/>
    <w:multiLevelType w:val="hybridMultilevel"/>
    <w:tmpl w:val="E0F0E66A"/>
    <w:lvl w:ilvl="0" w:tplc="8A94B6E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E627D8D"/>
    <w:multiLevelType w:val="hybridMultilevel"/>
    <w:tmpl w:val="A0D0BCC0"/>
    <w:lvl w:ilvl="0" w:tplc="2A4CF5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7F6249"/>
    <w:multiLevelType w:val="hybridMultilevel"/>
    <w:tmpl w:val="B8D8BEE6"/>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00E0AA5"/>
    <w:multiLevelType w:val="hybridMultilevel"/>
    <w:tmpl w:val="F2065EBE"/>
    <w:lvl w:ilvl="0" w:tplc="8A94B6E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190048BF"/>
    <w:multiLevelType w:val="multilevel"/>
    <w:tmpl w:val="C56E86C2"/>
    <w:lvl w:ilvl="0">
      <w:start w:val="3"/>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CBE48D3"/>
    <w:multiLevelType w:val="hybridMultilevel"/>
    <w:tmpl w:val="EC74AFE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B6CC4036">
      <w:start w:val="7"/>
      <w:numFmt w:val="lowerLetter"/>
      <w:lvlText w:val="(%3)"/>
      <w:lvlJc w:val="left"/>
      <w:pPr>
        <w:ind w:left="2700" w:hanging="360"/>
      </w:pPr>
      <w:rPr>
        <w:rFonts w:hint="default"/>
      </w:rPr>
    </w:lvl>
    <w:lvl w:ilvl="3" w:tplc="34A86484">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0173A9E"/>
    <w:multiLevelType w:val="hybridMultilevel"/>
    <w:tmpl w:val="DC067C0A"/>
    <w:lvl w:ilvl="0" w:tplc="EF24C5EC">
      <w:start w:val="1"/>
      <w:numFmt w:val="decimal"/>
      <w:lvlText w:val="(%1)"/>
      <w:lvlJc w:val="left"/>
      <w:pPr>
        <w:ind w:left="1440" w:hanging="360"/>
      </w:pPr>
      <w:rPr>
        <w:rFonts w:ascii="Arial" w:eastAsiaTheme="minorHAns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47967AE"/>
    <w:multiLevelType w:val="hybridMultilevel"/>
    <w:tmpl w:val="95822824"/>
    <w:lvl w:ilvl="0" w:tplc="EBD4A1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473714"/>
    <w:multiLevelType w:val="hybridMultilevel"/>
    <w:tmpl w:val="7A3E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F5093D"/>
    <w:multiLevelType w:val="hybridMultilevel"/>
    <w:tmpl w:val="622C98E8"/>
    <w:lvl w:ilvl="0" w:tplc="ED022A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159543E"/>
    <w:multiLevelType w:val="hybridMultilevel"/>
    <w:tmpl w:val="5F56E6E4"/>
    <w:lvl w:ilvl="0" w:tplc="E0C44D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1F07A4A"/>
    <w:multiLevelType w:val="hybridMultilevel"/>
    <w:tmpl w:val="D95885DA"/>
    <w:lvl w:ilvl="0" w:tplc="95DEE07C">
      <w:start w:val="1"/>
      <w:numFmt w:val="decimal"/>
      <w:lvlText w:val="(%1)"/>
      <w:lvlJc w:val="left"/>
      <w:pPr>
        <w:ind w:left="1440" w:hanging="360"/>
      </w:pPr>
      <w:rPr>
        <w:rFonts w:ascii="Arial" w:hAnsi="Arial" w:cs="Arial"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277352C"/>
    <w:multiLevelType w:val="hybridMultilevel"/>
    <w:tmpl w:val="DAB02A68"/>
    <w:lvl w:ilvl="0" w:tplc="6D141E6A">
      <w:start w:val="1"/>
      <w:numFmt w:val="lowerLetter"/>
      <w:lvlText w:val="%1."/>
      <w:lvlJc w:val="left"/>
      <w:pPr>
        <w:ind w:left="720" w:hanging="360"/>
      </w:pPr>
      <w:rPr>
        <w:rFonts w:ascii="Arial" w:eastAsiaTheme="minorHAnsi" w:hAnsi="Arial" w:cs="Arial"/>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5E1218"/>
    <w:multiLevelType w:val="hybridMultilevel"/>
    <w:tmpl w:val="1970581C"/>
    <w:lvl w:ilvl="0" w:tplc="AABEA93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589084D"/>
    <w:multiLevelType w:val="hybridMultilevel"/>
    <w:tmpl w:val="4094D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587100"/>
    <w:multiLevelType w:val="multilevel"/>
    <w:tmpl w:val="C56E86C2"/>
    <w:lvl w:ilvl="0">
      <w:start w:val="3"/>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35A15C5"/>
    <w:multiLevelType w:val="hybridMultilevel"/>
    <w:tmpl w:val="B29EDBFC"/>
    <w:lvl w:ilvl="0" w:tplc="EBD4A13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55932A7"/>
    <w:multiLevelType w:val="hybridMultilevel"/>
    <w:tmpl w:val="DB2A5A66"/>
    <w:lvl w:ilvl="0" w:tplc="CDFCE2E2">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7FA1630"/>
    <w:multiLevelType w:val="hybridMultilevel"/>
    <w:tmpl w:val="8BF6EF88"/>
    <w:lvl w:ilvl="0" w:tplc="8D44E57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2165DBF"/>
    <w:multiLevelType w:val="hybridMultilevel"/>
    <w:tmpl w:val="7E643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D67176"/>
    <w:multiLevelType w:val="hybridMultilevel"/>
    <w:tmpl w:val="DBEEF692"/>
    <w:lvl w:ilvl="0" w:tplc="E0C44D0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5F81D40"/>
    <w:multiLevelType w:val="hybridMultilevel"/>
    <w:tmpl w:val="1970581C"/>
    <w:lvl w:ilvl="0" w:tplc="AABEA93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68E22DC"/>
    <w:multiLevelType w:val="hybridMultilevel"/>
    <w:tmpl w:val="0B76F7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84448D0"/>
    <w:multiLevelType w:val="hybridMultilevel"/>
    <w:tmpl w:val="3C866F1E"/>
    <w:lvl w:ilvl="0" w:tplc="5CC2E8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BDF1FC1"/>
    <w:multiLevelType w:val="hybridMultilevel"/>
    <w:tmpl w:val="A4E8FB48"/>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BFC7CA6"/>
    <w:multiLevelType w:val="hybridMultilevel"/>
    <w:tmpl w:val="E7C87448"/>
    <w:lvl w:ilvl="0" w:tplc="49DE1D6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6DF76A20"/>
    <w:multiLevelType w:val="hybridMultilevel"/>
    <w:tmpl w:val="59FC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9E5EEC"/>
    <w:multiLevelType w:val="hybridMultilevel"/>
    <w:tmpl w:val="86A26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B95B15"/>
    <w:multiLevelType w:val="hybridMultilevel"/>
    <w:tmpl w:val="0382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840156"/>
    <w:multiLevelType w:val="hybridMultilevel"/>
    <w:tmpl w:val="F3AC9F64"/>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7B9444A"/>
    <w:multiLevelType w:val="hybridMultilevel"/>
    <w:tmpl w:val="FFC28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4C18DC"/>
    <w:multiLevelType w:val="hybridMultilevel"/>
    <w:tmpl w:val="E43A36AA"/>
    <w:lvl w:ilvl="0" w:tplc="4BC07F6C">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E5377B0"/>
    <w:multiLevelType w:val="hybridMultilevel"/>
    <w:tmpl w:val="57D4C6D4"/>
    <w:lvl w:ilvl="0" w:tplc="4DCE4E8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841A3CFC">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E96086F"/>
    <w:multiLevelType w:val="hybridMultilevel"/>
    <w:tmpl w:val="7EC6FC7C"/>
    <w:lvl w:ilvl="0" w:tplc="EBD4A1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16"/>
  </w:num>
  <w:num w:numId="3">
    <w:abstractNumId w:val="9"/>
  </w:num>
  <w:num w:numId="4">
    <w:abstractNumId w:val="28"/>
  </w:num>
  <w:num w:numId="5">
    <w:abstractNumId w:val="31"/>
  </w:num>
  <w:num w:numId="6">
    <w:abstractNumId w:val="33"/>
  </w:num>
  <w:num w:numId="7">
    <w:abstractNumId w:val="19"/>
  </w:num>
  <w:num w:numId="8">
    <w:abstractNumId w:val="26"/>
  </w:num>
  <w:num w:numId="9">
    <w:abstractNumId w:val="23"/>
  </w:num>
  <w:num w:numId="10">
    <w:abstractNumId w:val="27"/>
  </w:num>
  <w:num w:numId="11">
    <w:abstractNumId w:val="3"/>
  </w:num>
  <w:num w:numId="12">
    <w:abstractNumId w:val="36"/>
  </w:num>
  <w:num w:numId="13">
    <w:abstractNumId w:val="13"/>
  </w:num>
  <w:num w:numId="14">
    <w:abstractNumId w:val="1"/>
  </w:num>
  <w:num w:numId="15">
    <w:abstractNumId w:val="10"/>
  </w:num>
  <w:num w:numId="16">
    <w:abstractNumId w:val="22"/>
  </w:num>
  <w:num w:numId="17">
    <w:abstractNumId w:val="11"/>
  </w:num>
  <w:num w:numId="18">
    <w:abstractNumId w:val="37"/>
  </w:num>
  <w:num w:numId="19">
    <w:abstractNumId w:val="20"/>
  </w:num>
  <w:num w:numId="20">
    <w:abstractNumId w:val="8"/>
  </w:num>
  <w:num w:numId="21">
    <w:abstractNumId w:val="4"/>
  </w:num>
  <w:num w:numId="22">
    <w:abstractNumId w:val="7"/>
  </w:num>
  <w:num w:numId="23">
    <w:abstractNumId w:val="25"/>
  </w:num>
  <w:num w:numId="24">
    <w:abstractNumId w:val="29"/>
  </w:num>
  <w:num w:numId="25">
    <w:abstractNumId w:val="15"/>
  </w:num>
  <w:num w:numId="26">
    <w:abstractNumId w:val="17"/>
  </w:num>
  <w:num w:numId="27">
    <w:abstractNumId w:val="0"/>
  </w:num>
  <w:num w:numId="28">
    <w:abstractNumId w:val="14"/>
  </w:num>
  <w:num w:numId="29">
    <w:abstractNumId w:val="35"/>
  </w:num>
  <w:num w:numId="30">
    <w:abstractNumId w:val="18"/>
  </w:num>
  <w:num w:numId="31">
    <w:abstractNumId w:val="6"/>
  </w:num>
  <w:num w:numId="32">
    <w:abstractNumId w:val="21"/>
  </w:num>
  <w:num w:numId="33">
    <w:abstractNumId w:val="32"/>
  </w:num>
  <w:num w:numId="34">
    <w:abstractNumId w:val="24"/>
  </w:num>
  <w:num w:numId="35">
    <w:abstractNumId w:val="2"/>
  </w:num>
  <w:num w:numId="36">
    <w:abstractNumId w:val="5"/>
  </w:num>
  <w:num w:numId="37">
    <w:abstractNumId w:val="34"/>
  </w:num>
  <w:num w:numId="38">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BAE"/>
    <w:rsid w:val="00001190"/>
    <w:rsid w:val="00014831"/>
    <w:rsid w:val="00014899"/>
    <w:rsid w:val="000330FD"/>
    <w:rsid w:val="0003428F"/>
    <w:rsid w:val="00035FAD"/>
    <w:rsid w:val="000511B4"/>
    <w:rsid w:val="00053218"/>
    <w:rsid w:val="00060C53"/>
    <w:rsid w:val="00064CD3"/>
    <w:rsid w:val="00080442"/>
    <w:rsid w:val="00086D45"/>
    <w:rsid w:val="00091D8D"/>
    <w:rsid w:val="00093F58"/>
    <w:rsid w:val="00095D77"/>
    <w:rsid w:val="00096BEB"/>
    <w:rsid w:val="000A5C49"/>
    <w:rsid w:val="000B26FC"/>
    <w:rsid w:val="000C1051"/>
    <w:rsid w:val="000D1357"/>
    <w:rsid w:val="000D326F"/>
    <w:rsid w:val="000E4F3C"/>
    <w:rsid w:val="000F0270"/>
    <w:rsid w:val="000F2B1F"/>
    <w:rsid w:val="000F2FBD"/>
    <w:rsid w:val="000F5306"/>
    <w:rsid w:val="000F6864"/>
    <w:rsid w:val="000F7A63"/>
    <w:rsid w:val="0010273F"/>
    <w:rsid w:val="00104258"/>
    <w:rsid w:val="001044DF"/>
    <w:rsid w:val="00104D03"/>
    <w:rsid w:val="00112EB0"/>
    <w:rsid w:val="00116CBA"/>
    <w:rsid w:val="00117A39"/>
    <w:rsid w:val="001204E3"/>
    <w:rsid w:val="00122ABF"/>
    <w:rsid w:val="001265F2"/>
    <w:rsid w:val="00130C96"/>
    <w:rsid w:val="00130EF9"/>
    <w:rsid w:val="00131A25"/>
    <w:rsid w:val="001330A2"/>
    <w:rsid w:val="00140931"/>
    <w:rsid w:val="00146DB5"/>
    <w:rsid w:val="0015085C"/>
    <w:rsid w:val="00150B88"/>
    <w:rsid w:val="00151EE8"/>
    <w:rsid w:val="0015510F"/>
    <w:rsid w:val="00156545"/>
    <w:rsid w:val="001609C4"/>
    <w:rsid w:val="00173E48"/>
    <w:rsid w:val="00181489"/>
    <w:rsid w:val="00183F36"/>
    <w:rsid w:val="00184CC4"/>
    <w:rsid w:val="00184E17"/>
    <w:rsid w:val="00185D6E"/>
    <w:rsid w:val="00186FA5"/>
    <w:rsid w:val="001871B7"/>
    <w:rsid w:val="001872CA"/>
    <w:rsid w:val="001954AA"/>
    <w:rsid w:val="00196F5D"/>
    <w:rsid w:val="001A0330"/>
    <w:rsid w:val="001B21BF"/>
    <w:rsid w:val="001B72FE"/>
    <w:rsid w:val="001C4BEF"/>
    <w:rsid w:val="001D1695"/>
    <w:rsid w:val="001D6076"/>
    <w:rsid w:val="001F1E28"/>
    <w:rsid w:val="001F29AB"/>
    <w:rsid w:val="001F3474"/>
    <w:rsid w:val="001F7C21"/>
    <w:rsid w:val="002012F7"/>
    <w:rsid w:val="0020489A"/>
    <w:rsid w:val="00207E4B"/>
    <w:rsid w:val="00211255"/>
    <w:rsid w:val="00211B07"/>
    <w:rsid w:val="00223C8C"/>
    <w:rsid w:val="002249D4"/>
    <w:rsid w:val="0023050E"/>
    <w:rsid w:val="00231E6E"/>
    <w:rsid w:val="00233875"/>
    <w:rsid w:val="00235F08"/>
    <w:rsid w:val="0024066E"/>
    <w:rsid w:val="00252E49"/>
    <w:rsid w:val="00261653"/>
    <w:rsid w:val="002665B8"/>
    <w:rsid w:val="002819A9"/>
    <w:rsid w:val="00291853"/>
    <w:rsid w:val="00292ED2"/>
    <w:rsid w:val="00296343"/>
    <w:rsid w:val="00297F88"/>
    <w:rsid w:val="002A5EEE"/>
    <w:rsid w:val="002A66E2"/>
    <w:rsid w:val="002A6911"/>
    <w:rsid w:val="002A7204"/>
    <w:rsid w:val="002B4AD9"/>
    <w:rsid w:val="002B5D9B"/>
    <w:rsid w:val="002B7EF4"/>
    <w:rsid w:val="002D3F69"/>
    <w:rsid w:val="002D6B63"/>
    <w:rsid w:val="002E133C"/>
    <w:rsid w:val="002E75C3"/>
    <w:rsid w:val="002F2EE8"/>
    <w:rsid w:val="002F39BD"/>
    <w:rsid w:val="002F5D75"/>
    <w:rsid w:val="002F65F6"/>
    <w:rsid w:val="002F6E57"/>
    <w:rsid w:val="00304815"/>
    <w:rsid w:val="003057CB"/>
    <w:rsid w:val="00306057"/>
    <w:rsid w:val="003063E6"/>
    <w:rsid w:val="00312829"/>
    <w:rsid w:val="003173E1"/>
    <w:rsid w:val="00317832"/>
    <w:rsid w:val="0032370F"/>
    <w:rsid w:val="00324440"/>
    <w:rsid w:val="00325DE2"/>
    <w:rsid w:val="00330B5E"/>
    <w:rsid w:val="00334CC6"/>
    <w:rsid w:val="00337692"/>
    <w:rsid w:val="00345AEA"/>
    <w:rsid w:val="00345DFD"/>
    <w:rsid w:val="003536C5"/>
    <w:rsid w:val="00357428"/>
    <w:rsid w:val="00361B45"/>
    <w:rsid w:val="00361D77"/>
    <w:rsid w:val="00371D75"/>
    <w:rsid w:val="0037307A"/>
    <w:rsid w:val="00374690"/>
    <w:rsid w:val="00382033"/>
    <w:rsid w:val="00382A02"/>
    <w:rsid w:val="00396D9A"/>
    <w:rsid w:val="00396F3C"/>
    <w:rsid w:val="0039703C"/>
    <w:rsid w:val="003A1CA2"/>
    <w:rsid w:val="003A6DBD"/>
    <w:rsid w:val="003A6F50"/>
    <w:rsid w:val="003B1A2A"/>
    <w:rsid w:val="003B5DC5"/>
    <w:rsid w:val="003C77D3"/>
    <w:rsid w:val="003C7A51"/>
    <w:rsid w:val="003D3170"/>
    <w:rsid w:val="003E0A9D"/>
    <w:rsid w:val="003E581A"/>
    <w:rsid w:val="003F1F0F"/>
    <w:rsid w:val="00400A42"/>
    <w:rsid w:val="0040241E"/>
    <w:rsid w:val="004045A0"/>
    <w:rsid w:val="00410973"/>
    <w:rsid w:val="004109F8"/>
    <w:rsid w:val="0042787C"/>
    <w:rsid w:val="00430116"/>
    <w:rsid w:val="004342E2"/>
    <w:rsid w:val="00450353"/>
    <w:rsid w:val="00465D5D"/>
    <w:rsid w:val="00470549"/>
    <w:rsid w:val="00471FB3"/>
    <w:rsid w:val="00481A63"/>
    <w:rsid w:val="00482F90"/>
    <w:rsid w:val="004839F4"/>
    <w:rsid w:val="00490CF2"/>
    <w:rsid w:val="00493FCD"/>
    <w:rsid w:val="004A5146"/>
    <w:rsid w:val="004B65FB"/>
    <w:rsid w:val="004D2D5D"/>
    <w:rsid w:val="004D51CE"/>
    <w:rsid w:val="004D682B"/>
    <w:rsid w:val="004D6862"/>
    <w:rsid w:val="00500F47"/>
    <w:rsid w:val="00502500"/>
    <w:rsid w:val="00504FA6"/>
    <w:rsid w:val="00514FFE"/>
    <w:rsid w:val="00524813"/>
    <w:rsid w:val="00526C7A"/>
    <w:rsid w:val="00527685"/>
    <w:rsid w:val="005304BA"/>
    <w:rsid w:val="00533B6A"/>
    <w:rsid w:val="0053562A"/>
    <w:rsid w:val="00545F41"/>
    <w:rsid w:val="00547683"/>
    <w:rsid w:val="00553669"/>
    <w:rsid w:val="00556AF4"/>
    <w:rsid w:val="00566214"/>
    <w:rsid w:val="00572F9F"/>
    <w:rsid w:val="0057729C"/>
    <w:rsid w:val="00581690"/>
    <w:rsid w:val="00586F04"/>
    <w:rsid w:val="00590C64"/>
    <w:rsid w:val="005A107C"/>
    <w:rsid w:val="005A1E90"/>
    <w:rsid w:val="005A3F2B"/>
    <w:rsid w:val="005A5312"/>
    <w:rsid w:val="005B237E"/>
    <w:rsid w:val="005B26B9"/>
    <w:rsid w:val="005B7E53"/>
    <w:rsid w:val="005C0385"/>
    <w:rsid w:val="005C4CEB"/>
    <w:rsid w:val="005C5A36"/>
    <w:rsid w:val="005D2093"/>
    <w:rsid w:val="005D6D39"/>
    <w:rsid w:val="005F2979"/>
    <w:rsid w:val="005F637E"/>
    <w:rsid w:val="005F6C5A"/>
    <w:rsid w:val="005F7153"/>
    <w:rsid w:val="005F720E"/>
    <w:rsid w:val="006052DC"/>
    <w:rsid w:val="00605EF5"/>
    <w:rsid w:val="00606AD9"/>
    <w:rsid w:val="00613131"/>
    <w:rsid w:val="00615A3F"/>
    <w:rsid w:val="0064054D"/>
    <w:rsid w:val="0065482C"/>
    <w:rsid w:val="00661E43"/>
    <w:rsid w:val="00664543"/>
    <w:rsid w:val="00664818"/>
    <w:rsid w:val="00681258"/>
    <w:rsid w:val="006825F5"/>
    <w:rsid w:val="006831FA"/>
    <w:rsid w:val="00686400"/>
    <w:rsid w:val="00691820"/>
    <w:rsid w:val="00693306"/>
    <w:rsid w:val="0069439A"/>
    <w:rsid w:val="0069466D"/>
    <w:rsid w:val="00695057"/>
    <w:rsid w:val="00695F37"/>
    <w:rsid w:val="00696662"/>
    <w:rsid w:val="006A43A3"/>
    <w:rsid w:val="006A4AEB"/>
    <w:rsid w:val="006A585D"/>
    <w:rsid w:val="006A786D"/>
    <w:rsid w:val="006B0D17"/>
    <w:rsid w:val="006B1046"/>
    <w:rsid w:val="006B3F26"/>
    <w:rsid w:val="006B55F8"/>
    <w:rsid w:val="006B787E"/>
    <w:rsid w:val="006C395E"/>
    <w:rsid w:val="006C5A2A"/>
    <w:rsid w:val="006D3E3A"/>
    <w:rsid w:val="006D41C7"/>
    <w:rsid w:val="006D51AB"/>
    <w:rsid w:val="006E08DB"/>
    <w:rsid w:val="006E34CD"/>
    <w:rsid w:val="006F10DF"/>
    <w:rsid w:val="006F7BEB"/>
    <w:rsid w:val="00701438"/>
    <w:rsid w:val="0070488A"/>
    <w:rsid w:val="0071031C"/>
    <w:rsid w:val="007104E0"/>
    <w:rsid w:val="00717B58"/>
    <w:rsid w:val="0072273D"/>
    <w:rsid w:val="007268CE"/>
    <w:rsid w:val="0075028A"/>
    <w:rsid w:val="00750871"/>
    <w:rsid w:val="00754E6C"/>
    <w:rsid w:val="00761B50"/>
    <w:rsid w:val="007631E6"/>
    <w:rsid w:val="007647F7"/>
    <w:rsid w:val="0076507E"/>
    <w:rsid w:val="00772EB8"/>
    <w:rsid w:val="007737F4"/>
    <w:rsid w:val="00774729"/>
    <w:rsid w:val="00776D26"/>
    <w:rsid w:val="007829DF"/>
    <w:rsid w:val="0078657B"/>
    <w:rsid w:val="007906E8"/>
    <w:rsid w:val="00791A2B"/>
    <w:rsid w:val="007924BF"/>
    <w:rsid w:val="00792887"/>
    <w:rsid w:val="007930B0"/>
    <w:rsid w:val="00795838"/>
    <w:rsid w:val="007B6D28"/>
    <w:rsid w:val="007C061E"/>
    <w:rsid w:val="007C2737"/>
    <w:rsid w:val="007C7399"/>
    <w:rsid w:val="007D6292"/>
    <w:rsid w:val="007E1FBF"/>
    <w:rsid w:val="007F4E84"/>
    <w:rsid w:val="007F51DE"/>
    <w:rsid w:val="00804027"/>
    <w:rsid w:val="00804C6E"/>
    <w:rsid w:val="00806E90"/>
    <w:rsid w:val="0081016B"/>
    <w:rsid w:val="008172AA"/>
    <w:rsid w:val="00822645"/>
    <w:rsid w:val="00832BD7"/>
    <w:rsid w:val="00833F3C"/>
    <w:rsid w:val="00850E47"/>
    <w:rsid w:val="0085106D"/>
    <w:rsid w:val="008510B1"/>
    <w:rsid w:val="008538B2"/>
    <w:rsid w:val="00853F61"/>
    <w:rsid w:val="00861AE3"/>
    <w:rsid w:val="008631CC"/>
    <w:rsid w:val="00863788"/>
    <w:rsid w:val="0086705A"/>
    <w:rsid w:val="00867C0F"/>
    <w:rsid w:val="00872FE7"/>
    <w:rsid w:val="0087593A"/>
    <w:rsid w:val="00882BBE"/>
    <w:rsid w:val="0088413A"/>
    <w:rsid w:val="0089648B"/>
    <w:rsid w:val="00896EC1"/>
    <w:rsid w:val="008A44B8"/>
    <w:rsid w:val="008A6AD4"/>
    <w:rsid w:val="008A6CEC"/>
    <w:rsid w:val="008A718F"/>
    <w:rsid w:val="008B69E8"/>
    <w:rsid w:val="008C4A6D"/>
    <w:rsid w:val="008C5927"/>
    <w:rsid w:val="008E26E2"/>
    <w:rsid w:val="008E30F9"/>
    <w:rsid w:val="008E5611"/>
    <w:rsid w:val="008E7515"/>
    <w:rsid w:val="008F3981"/>
    <w:rsid w:val="009021AB"/>
    <w:rsid w:val="00902BC6"/>
    <w:rsid w:val="0090422E"/>
    <w:rsid w:val="00915651"/>
    <w:rsid w:val="00920350"/>
    <w:rsid w:val="009229B6"/>
    <w:rsid w:val="009240A5"/>
    <w:rsid w:val="0093294D"/>
    <w:rsid w:val="00936E51"/>
    <w:rsid w:val="009456E8"/>
    <w:rsid w:val="00946BAD"/>
    <w:rsid w:val="0094727B"/>
    <w:rsid w:val="00950534"/>
    <w:rsid w:val="00953DBB"/>
    <w:rsid w:val="0096268B"/>
    <w:rsid w:val="0096321E"/>
    <w:rsid w:val="009653AC"/>
    <w:rsid w:val="009757F4"/>
    <w:rsid w:val="00980C3B"/>
    <w:rsid w:val="0098342A"/>
    <w:rsid w:val="00983D2C"/>
    <w:rsid w:val="00987426"/>
    <w:rsid w:val="0098780A"/>
    <w:rsid w:val="00987B44"/>
    <w:rsid w:val="00990896"/>
    <w:rsid w:val="00992994"/>
    <w:rsid w:val="00994188"/>
    <w:rsid w:val="009956E7"/>
    <w:rsid w:val="00997E81"/>
    <w:rsid w:val="009A199D"/>
    <w:rsid w:val="009A442C"/>
    <w:rsid w:val="009A5E72"/>
    <w:rsid w:val="009B1E3A"/>
    <w:rsid w:val="009B2086"/>
    <w:rsid w:val="009C4510"/>
    <w:rsid w:val="009C743F"/>
    <w:rsid w:val="009D0814"/>
    <w:rsid w:val="009D0DAC"/>
    <w:rsid w:val="009D2EF8"/>
    <w:rsid w:val="009D62B2"/>
    <w:rsid w:val="009E0CF4"/>
    <w:rsid w:val="009E37EC"/>
    <w:rsid w:val="009E6E37"/>
    <w:rsid w:val="00A00A5D"/>
    <w:rsid w:val="00A10A5B"/>
    <w:rsid w:val="00A13CA9"/>
    <w:rsid w:val="00A2433F"/>
    <w:rsid w:val="00A25157"/>
    <w:rsid w:val="00A25E48"/>
    <w:rsid w:val="00A26CFE"/>
    <w:rsid w:val="00A302B3"/>
    <w:rsid w:val="00A33567"/>
    <w:rsid w:val="00A35BB2"/>
    <w:rsid w:val="00A35DCD"/>
    <w:rsid w:val="00A401FE"/>
    <w:rsid w:val="00A45290"/>
    <w:rsid w:val="00A47E5A"/>
    <w:rsid w:val="00A55DD2"/>
    <w:rsid w:val="00A56763"/>
    <w:rsid w:val="00A653D4"/>
    <w:rsid w:val="00A665B1"/>
    <w:rsid w:val="00A76FE7"/>
    <w:rsid w:val="00A81A2B"/>
    <w:rsid w:val="00A86BAE"/>
    <w:rsid w:val="00A942EC"/>
    <w:rsid w:val="00A95ED7"/>
    <w:rsid w:val="00A97FDC"/>
    <w:rsid w:val="00AA00EB"/>
    <w:rsid w:val="00AA730C"/>
    <w:rsid w:val="00AB409E"/>
    <w:rsid w:val="00AC5868"/>
    <w:rsid w:val="00AC5F9A"/>
    <w:rsid w:val="00AD5F5A"/>
    <w:rsid w:val="00AD7EDA"/>
    <w:rsid w:val="00AE2306"/>
    <w:rsid w:val="00AF3863"/>
    <w:rsid w:val="00AF62DC"/>
    <w:rsid w:val="00B05ECE"/>
    <w:rsid w:val="00B12621"/>
    <w:rsid w:val="00B13A80"/>
    <w:rsid w:val="00B13B81"/>
    <w:rsid w:val="00B24761"/>
    <w:rsid w:val="00B351D1"/>
    <w:rsid w:val="00B42858"/>
    <w:rsid w:val="00B43A72"/>
    <w:rsid w:val="00B470E4"/>
    <w:rsid w:val="00B51641"/>
    <w:rsid w:val="00B64A27"/>
    <w:rsid w:val="00B71F7E"/>
    <w:rsid w:val="00B74CE8"/>
    <w:rsid w:val="00B76D0E"/>
    <w:rsid w:val="00B839C4"/>
    <w:rsid w:val="00B83E85"/>
    <w:rsid w:val="00B9215D"/>
    <w:rsid w:val="00B96733"/>
    <w:rsid w:val="00B969FD"/>
    <w:rsid w:val="00BA4E16"/>
    <w:rsid w:val="00BA603C"/>
    <w:rsid w:val="00BA6986"/>
    <w:rsid w:val="00BB53BB"/>
    <w:rsid w:val="00BB7F07"/>
    <w:rsid w:val="00BC5088"/>
    <w:rsid w:val="00BC664A"/>
    <w:rsid w:val="00BD7A8B"/>
    <w:rsid w:val="00BE30B0"/>
    <w:rsid w:val="00BE52E9"/>
    <w:rsid w:val="00BE5C86"/>
    <w:rsid w:val="00BF2542"/>
    <w:rsid w:val="00BF2926"/>
    <w:rsid w:val="00BF409A"/>
    <w:rsid w:val="00BF46C6"/>
    <w:rsid w:val="00C158D2"/>
    <w:rsid w:val="00C21FFF"/>
    <w:rsid w:val="00C24696"/>
    <w:rsid w:val="00C2648D"/>
    <w:rsid w:val="00C26DD5"/>
    <w:rsid w:val="00C277AD"/>
    <w:rsid w:val="00C337ED"/>
    <w:rsid w:val="00C33C05"/>
    <w:rsid w:val="00C50A35"/>
    <w:rsid w:val="00C6315F"/>
    <w:rsid w:val="00C67083"/>
    <w:rsid w:val="00C743B3"/>
    <w:rsid w:val="00C7628C"/>
    <w:rsid w:val="00C77A48"/>
    <w:rsid w:val="00C803C7"/>
    <w:rsid w:val="00C82ECA"/>
    <w:rsid w:val="00C830D6"/>
    <w:rsid w:val="00C97271"/>
    <w:rsid w:val="00CA3335"/>
    <w:rsid w:val="00CB0402"/>
    <w:rsid w:val="00CB117A"/>
    <w:rsid w:val="00CB38D6"/>
    <w:rsid w:val="00CB4264"/>
    <w:rsid w:val="00CC0898"/>
    <w:rsid w:val="00CC629E"/>
    <w:rsid w:val="00CC6E54"/>
    <w:rsid w:val="00CC7276"/>
    <w:rsid w:val="00CD03C1"/>
    <w:rsid w:val="00CE1910"/>
    <w:rsid w:val="00CE3AEE"/>
    <w:rsid w:val="00CF2AED"/>
    <w:rsid w:val="00CF2FF1"/>
    <w:rsid w:val="00CF3E53"/>
    <w:rsid w:val="00CF4E0A"/>
    <w:rsid w:val="00CF4ED8"/>
    <w:rsid w:val="00CF73C0"/>
    <w:rsid w:val="00D0360D"/>
    <w:rsid w:val="00D04252"/>
    <w:rsid w:val="00D10785"/>
    <w:rsid w:val="00D16AD0"/>
    <w:rsid w:val="00D2022E"/>
    <w:rsid w:val="00D22AAF"/>
    <w:rsid w:val="00D3192E"/>
    <w:rsid w:val="00D350C1"/>
    <w:rsid w:val="00D35BAA"/>
    <w:rsid w:val="00D418FC"/>
    <w:rsid w:val="00D50871"/>
    <w:rsid w:val="00D519A8"/>
    <w:rsid w:val="00D53CD2"/>
    <w:rsid w:val="00D57D3C"/>
    <w:rsid w:val="00D627B9"/>
    <w:rsid w:val="00D75011"/>
    <w:rsid w:val="00D7633F"/>
    <w:rsid w:val="00D8499C"/>
    <w:rsid w:val="00D9175F"/>
    <w:rsid w:val="00D920D3"/>
    <w:rsid w:val="00D94DD7"/>
    <w:rsid w:val="00D9735C"/>
    <w:rsid w:val="00DB11E9"/>
    <w:rsid w:val="00DB27E9"/>
    <w:rsid w:val="00DB4CD2"/>
    <w:rsid w:val="00DB75AA"/>
    <w:rsid w:val="00DC08AE"/>
    <w:rsid w:val="00DD4CCD"/>
    <w:rsid w:val="00DE0F56"/>
    <w:rsid w:val="00DE4BC2"/>
    <w:rsid w:val="00DF044D"/>
    <w:rsid w:val="00E01543"/>
    <w:rsid w:val="00E05C68"/>
    <w:rsid w:val="00E12DE8"/>
    <w:rsid w:val="00E21AD8"/>
    <w:rsid w:val="00E243C6"/>
    <w:rsid w:val="00E31C85"/>
    <w:rsid w:val="00E37324"/>
    <w:rsid w:val="00E37A8D"/>
    <w:rsid w:val="00E402F1"/>
    <w:rsid w:val="00E453AF"/>
    <w:rsid w:val="00E5280F"/>
    <w:rsid w:val="00E57F1D"/>
    <w:rsid w:val="00E71128"/>
    <w:rsid w:val="00E7309B"/>
    <w:rsid w:val="00E730CE"/>
    <w:rsid w:val="00E754AC"/>
    <w:rsid w:val="00E77614"/>
    <w:rsid w:val="00E779DC"/>
    <w:rsid w:val="00E91838"/>
    <w:rsid w:val="00E945B4"/>
    <w:rsid w:val="00E96EA4"/>
    <w:rsid w:val="00E97A9A"/>
    <w:rsid w:val="00EA24E4"/>
    <w:rsid w:val="00EA3569"/>
    <w:rsid w:val="00EA547E"/>
    <w:rsid w:val="00EB20B9"/>
    <w:rsid w:val="00EB213D"/>
    <w:rsid w:val="00EB244F"/>
    <w:rsid w:val="00EB742C"/>
    <w:rsid w:val="00EC0C8D"/>
    <w:rsid w:val="00EC2BA3"/>
    <w:rsid w:val="00EC2D31"/>
    <w:rsid w:val="00EC7881"/>
    <w:rsid w:val="00ED1F9F"/>
    <w:rsid w:val="00ED545F"/>
    <w:rsid w:val="00EE20BC"/>
    <w:rsid w:val="00EE2115"/>
    <w:rsid w:val="00EE4A71"/>
    <w:rsid w:val="00EE629A"/>
    <w:rsid w:val="00EF2387"/>
    <w:rsid w:val="00EF287E"/>
    <w:rsid w:val="00EF54C4"/>
    <w:rsid w:val="00EF5E97"/>
    <w:rsid w:val="00F046CE"/>
    <w:rsid w:val="00F11965"/>
    <w:rsid w:val="00F12BDD"/>
    <w:rsid w:val="00F20EBA"/>
    <w:rsid w:val="00F24FD2"/>
    <w:rsid w:val="00F2766D"/>
    <w:rsid w:val="00F32116"/>
    <w:rsid w:val="00F32CCE"/>
    <w:rsid w:val="00F53DB4"/>
    <w:rsid w:val="00F61782"/>
    <w:rsid w:val="00F7078D"/>
    <w:rsid w:val="00F841E2"/>
    <w:rsid w:val="00F844B3"/>
    <w:rsid w:val="00F94D47"/>
    <w:rsid w:val="00F97103"/>
    <w:rsid w:val="00FA76B9"/>
    <w:rsid w:val="00FB79FF"/>
    <w:rsid w:val="00FC188F"/>
    <w:rsid w:val="00FC7D91"/>
    <w:rsid w:val="00FD0207"/>
    <w:rsid w:val="00FD53D7"/>
    <w:rsid w:val="00FD72A2"/>
    <w:rsid w:val="00FF53FE"/>
    <w:rsid w:val="00FF7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BAE"/>
    <w:pPr>
      <w:ind w:left="720"/>
      <w:contextualSpacing/>
    </w:pPr>
  </w:style>
  <w:style w:type="character" w:styleId="LineNumber">
    <w:name w:val="line number"/>
    <w:basedOn w:val="DefaultParagraphFont"/>
    <w:uiPriority w:val="99"/>
    <w:semiHidden/>
    <w:unhideWhenUsed/>
    <w:rsid w:val="0086705A"/>
  </w:style>
  <w:style w:type="paragraph" w:customStyle="1" w:styleId="Default">
    <w:name w:val="Default"/>
    <w:rsid w:val="008538B2"/>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53F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3F61"/>
    <w:rPr>
      <w:rFonts w:ascii="Tahoma" w:hAnsi="Tahoma" w:cs="Tahoma"/>
      <w:sz w:val="16"/>
      <w:szCs w:val="16"/>
    </w:rPr>
  </w:style>
  <w:style w:type="paragraph" w:styleId="Header">
    <w:name w:val="header"/>
    <w:basedOn w:val="Normal"/>
    <w:link w:val="HeaderChar"/>
    <w:uiPriority w:val="99"/>
    <w:unhideWhenUsed/>
    <w:rsid w:val="0096321E"/>
    <w:pPr>
      <w:tabs>
        <w:tab w:val="center" w:pos="4680"/>
        <w:tab w:val="right" w:pos="9360"/>
      </w:tabs>
      <w:spacing w:line="240" w:lineRule="auto"/>
    </w:pPr>
  </w:style>
  <w:style w:type="character" w:customStyle="1" w:styleId="HeaderChar">
    <w:name w:val="Header Char"/>
    <w:basedOn w:val="DefaultParagraphFont"/>
    <w:link w:val="Header"/>
    <w:uiPriority w:val="99"/>
    <w:rsid w:val="0096321E"/>
  </w:style>
  <w:style w:type="paragraph" w:styleId="Footer">
    <w:name w:val="footer"/>
    <w:basedOn w:val="Normal"/>
    <w:link w:val="FooterChar"/>
    <w:uiPriority w:val="99"/>
    <w:unhideWhenUsed/>
    <w:rsid w:val="0096321E"/>
    <w:pPr>
      <w:tabs>
        <w:tab w:val="center" w:pos="4680"/>
        <w:tab w:val="right" w:pos="9360"/>
      </w:tabs>
      <w:spacing w:line="240" w:lineRule="auto"/>
    </w:pPr>
  </w:style>
  <w:style w:type="character" w:customStyle="1" w:styleId="FooterChar">
    <w:name w:val="Footer Char"/>
    <w:basedOn w:val="DefaultParagraphFont"/>
    <w:link w:val="Footer"/>
    <w:uiPriority w:val="99"/>
    <w:rsid w:val="0096321E"/>
  </w:style>
  <w:style w:type="character" w:styleId="Hyperlink">
    <w:name w:val="Hyperlink"/>
    <w:basedOn w:val="DefaultParagraphFont"/>
    <w:uiPriority w:val="99"/>
    <w:unhideWhenUsed/>
    <w:rsid w:val="00A665B1"/>
    <w:rPr>
      <w:color w:val="0000FF" w:themeColor="hyperlink"/>
      <w:u w:val="single"/>
    </w:rPr>
  </w:style>
  <w:style w:type="character" w:styleId="FollowedHyperlink">
    <w:name w:val="FollowedHyperlink"/>
    <w:basedOn w:val="DefaultParagraphFont"/>
    <w:uiPriority w:val="99"/>
    <w:semiHidden/>
    <w:unhideWhenUsed/>
    <w:rsid w:val="00A665B1"/>
    <w:rPr>
      <w:color w:val="800080" w:themeColor="followedHyperlink"/>
      <w:u w:val="single"/>
    </w:rPr>
  </w:style>
  <w:style w:type="table" w:styleId="TableGrid">
    <w:name w:val="Table Grid"/>
    <w:basedOn w:val="TableNormal"/>
    <w:uiPriority w:val="59"/>
    <w:rsid w:val="00E05C6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7C0F"/>
    <w:rPr>
      <w:sz w:val="16"/>
      <w:szCs w:val="16"/>
    </w:rPr>
  </w:style>
  <w:style w:type="paragraph" w:styleId="CommentText">
    <w:name w:val="annotation text"/>
    <w:basedOn w:val="Normal"/>
    <w:link w:val="CommentTextChar"/>
    <w:uiPriority w:val="99"/>
    <w:semiHidden/>
    <w:unhideWhenUsed/>
    <w:rsid w:val="00867C0F"/>
    <w:pPr>
      <w:spacing w:line="240" w:lineRule="auto"/>
    </w:pPr>
    <w:rPr>
      <w:sz w:val="20"/>
      <w:szCs w:val="20"/>
    </w:rPr>
  </w:style>
  <w:style w:type="character" w:customStyle="1" w:styleId="CommentTextChar">
    <w:name w:val="Comment Text Char"/>
    <w:basedOn w:val="DefaultParagraphFont"/>
    <w:link w:val="CommentText"/>
    <w:uiPriority w:val="99"/>
    <w:semiHidden/>
    <w:rsid w:val="00867C0F"/>
    <w:rPr>
      <w:sz w:val="20"/>
      <w:szCs w:val="20"/>
    </w:rPr>
  </w:style>
  <w:style w:type="paragraph" w:styleId="CommentSubject">
    <w:name w:val="annotation subject"/>
    <w:basedOn w:val="CommentText"/>
    <w:next w:val="CommentText"/>
    <w:link w:val="CommentSubjectChar"/>
    <w:uiPriority w:val="99"/>
    <w:semiHidden/>
    <w:unhideWhenUsed/>
    <w:rsid w:val="00867C0F"/>
    <w:rPr>
      <w:b/>
      <w:bCs/>
    </w:rPr>
  </w:style>
  <w:style w:type="character" w:customStyle="1" w:styleId="CommentSubjectChar">
    <w:name w:val="Comment Subject Char"/>
    <w:basedOn w:val="CommentTextChar"/>
    <w:link w:val="CommentSubject"/>
    <w:uiPriority w:val="99"/>
    <w:semiHidden/>
    <w:rsid w:val="00867C0F"/>
    <w:rPr>
      <w:b/>
      <w:bCs/>
      <w:sz w:val="20"/>
      <w:szCs w:val="20"/>
    </w:rPr>
  </w:style>
  <w:style w:type="paragraph" w:styleId="Revision">
    <w:name w:val="Revision"/>
    <w:hidden/>
    <w:uiPriority w:val="99"/>
    <w:semiHidden/>
    <w:rsid w:val="00CB4264"/>
    <w:pPr>
      <w:spacing w:line="240" w:lineRule="auto"/>
    </w:pPr>
  </w:style>
  <w:style w:type="paragraph" w:styleId="PlainText">
    <w:name w:val="Plain Text"/>
    <w:basedOn w:val="Normal"/>
    <w:link w:val="PlainTextChar"/>
    <w:uiPriority w:val="99"/>
    <w:unhideWhenUsed/>
    <w:rsid w:val="00186FA5"/>
    <w:pPr>
      <w:spacing w:line="240" w:lineRule="auto"/>
    </w:pPr>
    <w:rPr>
      <w:rFonts w:cs="Consolas"/>
      <w:color w:val="1F497D" w:themeColor="text2"/>
      <w:sz w:val="20"/>
      <w:szCs w:val="21"/>
    </w:rPr>
  </w:style>
  <w:style w:type="character" w:customStyle="1" w:styleId="PlainTextChar">
    <w:name w:val="Plain Text Char"/>
    <w:basedOn w:val="DefaultParagraphFont"/>
    <w:link w:val="PlainText"/>
    <w:uiPriority w:val="99"/>
    <w:rsid w:val="00186FA5"/>
    <w:rPr>
      <w:rFonts w:cs="Consolas"/>
      <w:color w:val="1F497D" w:themeColor="text2"/>
      <w:sz w:val="2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BAE"/>
    <w:pPr>
      <w:ind w:left="720"/>
      <w:contextualSpacing/>
    </w:pPr>
  </w:style>
  <w:style w:type="character" w:styleId="LineNumber">
    <w:name w:val="line number"/>
    <w:basedOn w:val="DefaultParagraphFont"/>
    <w:uiPriority w:val="99"/>
    <w:semiHidden/>
    <w:unhideWhenUsed/>
    <w:rsid w:val="0086705A"/>
  </w:style>
  <w:style w:type="paragraph" w:customStyle="1" w:styleId="Default">
    <w:name w:val="Default"/>
    <w:rsid w:val="008538B2"/>
    <w:pPr>
      <w:autoSpaceDE w:val="0"/>
      <w:autoSpaceDN w:val="0"/>
      <w:adjustRightInd w:val="0"/>
      <w:spacing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853F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3F61"/>
    <w:rPr>
      <w:rFonts w:ascii="Tahoma" w:hAnsi="Tahoma" w:cs="Tahoma"/>
      <w:sz w:val="16"/>
      <w:szCs w:val="16"/>
    </w:rPr>
  </w:style>
  <w:style w:type="paragraph" w:styleId="Header">
    <w:name w:val="header"/>
    <w:basedOn w:val="Normal"/>
    <w:link w:val="HeaderChar"/>
    <w:uiPriority w:val="99"/>
    <w:unhideWhenUsed/>
    <w:rsid w:val="0096321E"/>
    <w:pPr>
      <w:tabs>
        <w:tab w:val="center" w:pos="4680"/>
        <w:tab w:val="right" w:pos="9360"/>
      </w:tabs>
      <w:spacing w:line="240" w:lineRule="auto"/>
    </w:pPr>
  </w:style>
  <w:style w:type="character" w:customStyle="1" w:styleId="HeaderChar">
    <w:name w:val="Header Char"/>
    <w:basedOn w:val="DefaultParagraphFont"/>
    <w:link w:val="Header"/>
    <w:uiPriority w:val="99"/>
    <w:rsid w:val="0096321E"/>
  </w:style>
  <w:style w:type="paragraph" w:styleId="Footer">
    <w:name w:val="footer"/>
    <w:basedOn w:val="Normal"/>
    <w:link w:val="FooterChar"/>
    <w:uiPriority w:val="99"/>
    <w:unhideWhenUsed/>
    <w:rsid w:val="0096321E"/>
    <w:pPr>
      <w:tabs>
        <w:tab w:val="center" w:pos="4680"/>
        <w:tab w:val="right" w:pos="9360"/>
      </w:tabs>
      <w:spacing w:line="240" w:lineRule="auto"/>
    </w:pPr>
  </w:style>
  <w:style w:type="character" w:customStyle="1" w:styleId="FooterChar">
    <w:name w:val="Footer Char"/>
    <w:basedOn w:val="DefaultParagraphFont"/>
    <w:link w:val="Footer"/>
    <w:uiPriority w:val="99"/>
    <w:rsid w:val="0096321E"/>
  </w:style>
  <w:style w:type="character" w:styleId="Hyperlink">
    <w:name w:val="Hyperlink"/>
    <w:basedOn w:val="DefaultParagraphFont"/>
    <w:uiPriority w:val="99"/>
    <w:unhideWhenUsed/>
    <w:rsid w:val="00A665B1"/>
    <w:rPr>
      <w:color w:val="0000FF" w:themeColor="hyperlink"/>
      <w:u w:val="single"/>
    </w:rPr>
  </w:style>
  <w:style w:type="character" w:styleId="FollowedHyperlink">
    <w:name w:val="FollowedHyperlink"/>
    <w:basedOn w:val="DefaultParagraphFont"/>
    <w:uiPriority w:val="99"/>
    <w:semiHidden/>
    <w:unhideWhenUsed/>
    <w:rsid w:val="00A665B1"/>
    <w:rPr>
      <w:color w:val="800080" w:themeColor="followedHyperlink"/>
      <w:u w:val="single"/>
    </w:rPr>
  </w:style>
  <w:style w:type="table" w:styleId="TableGrid">
    <w:name w:val="Table Grid"/>
    <w:basedOn w:val="TableNormal"/>
    <w:uiPriority w:val="59"/>
    <w:rsid w:val="00E05C6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7C0F"/>
    <w:rPr>
      <w:sz w:val="16"/>
      <w:szCs w:val="16"/>
    </w:rPr>
  </w:style>
  <w:style w:type="paragraph" w:styleId="CommentText">
    <w:name w:val="annotation text"/>
    <w:basedOn w:val="Normal"/>
    <w:link w:val="CommentTextChar"/>
    <w:uiPriority w:val="99"/>
    <w:semiHidden/>
    <w:unhideWhenUsed/>
    <w:rsid w:val="00867C0F"/>
    <w:pPr>
      <w:spacing w:line="240" w:lineRule="auto"/>
    </w:pPr>
    <w:rPr>
      <w:sz w:val="20"/>
      <w:szCs w:val="20"/>
    </w:rPr>
  </w:style>
  <w:style w:type="character" w:customStyle="1" w:styleId="CommentTextChar">
    <w:name w:val="Comment Text Char"/>
    <w:basedOn w:val="DefaultParagraphFont"/>
    <w:link w:val="CommentText"/>
    <w:uiPriority w:val="99"/>
    <w:semiHidden/>
    <w:rsid w:val="00867C0F"/>
    <w:rPr>
      <w:sz w:val="20"/>
      <w:szCs w:val="20"/>
    </w:rPr>
  </w:style>
  <w:style w:type="paragraph" w:styleId="CommentSubject">
    <w:name w:val="annotation subject"/>
    <w:basedOn w:val="CommentText"/>
    <w:next w:val="CommentText"/>
    <w:link w:val="CommentSubjectChar"/>
    <w:uiPriority w:val="99"/>
    <w:semiHidden/>
    <w:unhideWhenUsed/>
    <w:rsid w:val="00867C0F"/>
    <w:rPr>
      <w:b/>
      <w:bCs/>
    </w:rPr>
  </w:style>
  <w:style w:type="character" w:customStyle="1" w:styleId="CommentSubjectChar">
    <w:name w:val="Comment Subject Char"/>
    <w:basedOn w:val="CommentTextChar"/>
    <w:link w:val="CommentSubject"/>
    <w:uiPriority w:val="99"/>
    <w:semiHidden/>
    <w:rsid w:val="00867C0F"/>
    <w:rPr>
      <w:b/>
      <w:bCs/>
      <w:sz w:val="20"/>
      <w:szCs w:val="20"/>
    </w:rPr>
  </w:style>
  <w:style w:type="paragraph" w:styleId="Revision">
    <w:name w:val="Revision"/>
    <w:hidden/>
    <w:uiPriority w:val="99"/>
    <w:semiHidden/>
    <w:rsid w:val="00CB4264"/>
    <w:pPr>
      <w:spacing w:line="240" w:lineRule="auto"/>
    </w:pPr>
  </w:style>
  <w:style w:type="paragraph" w:styleId="PlainText">
    <w:name w:val="Plain Text"/>
    <w:basedOn w:val="Normal"/>
    <w:link w:val="PlainTextChar"/>
    <w:uiPriority w:val="99"/>
    <w:unhideWhenUsed/>
    <w:rsid w:val="00186FA5"/>
    <w:pPr>
      <w:spacing w:line="240" w:lineRule="auto"/>
    </w:pPr>
    <w:rPr>
      <w:rFonts w:cs="Consolas"/>
      <w:color w:val="1F497D" w:themeColor="text2"/>
      <w:sz w:val="20"/>
      <w:szCs w:val="21"/>
    </w:rPr>
  </w:style>
  <w:style w:type="character" w:customStyle="1" w:styleId="PlainTextChar">
    <w:name w:val="Plain Text Char"/>
    <w:basedOn w:val="DefaultParagraphFont"/>
    <w:link w:val="PlainText"/>
    <w:uiPriority w:val="99"/>
    <w:rsid w:val="00186FA5"/>
    <w:rPr>
      <w:rFonts w:cs="Consolas"/>
      <w:color w:val="1F497D" w:themeColor="text2"/>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40215">
      <w:bodyDiv w:val="1"/>
      <w:marLeft w:val="0"/>
      <w:marRight w:val="0"/>
      <w:marTop w:val="0"/>
      <w:marBottom w:val="0"/>
      <w:divBdr>
        <w:top w:val="none" w:sz="0" w:space="0" w:color="auto"/>
        <w:left w:val="none" w:sz="0" w:space="0" w:color="auto"/>
        <w:bottom w:val="none" w:sz="0" w:space="0" w:color="auto"/>
        <w:right w:val="none" w:sz="0" w:space="0" w:color="auto"/>
      </w:divBdr>
    </w:div>
    <w:div w:id="8505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adamsxt.nrc.gov/WorkplaceXT/getContent?id=release&amp;vsId=%7B749267BF-F9F1-4085-B173-DAC50B90BABD%7D&amp;objectStoreName=Main.__.Library&amp;objectType=document"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adamsxt.nrc.gov/WorkplaceXT/getContent?id=release&amp;vsId=%7B34F1553D-310C-4C5E-A829-0C22FCC40FC3%7D&amp;objectStoreName=Main.__.Library&amp;objectType=document" TargetMode="External"/><Relationship Id="rId34"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yperlink" Target="https://adamsxt.nrc.gov/WorkplaceXT/IBMgetContent?vsId=%7bB8E5F783-9DEE-4D27-91A9-0AAAF7D7E79D%7d&amp;objectType=document&amp;id=%7b2803EBA8-AA4E-4D02-AC2C-CD052BFD5D89%7d&amp;objectStoreName=Main.__.Library" TargetMode="External"/><Relationship Id="rId17" Type="http://schemas.openxmlformats.org/officeDocument/2006/relationships/hyperlink" Target="https://adamsxt.nrc.gov/WorkplaceXT/getContent?id=release&amp;vsId=%7B078C0A7B-2E02-4A13-8FBD-59674CF055AC%7D&amp;objectStoreName=Main.__.Library&amp;objectType=document" TargetMode="External"/><Relationship Id="rId25" Type="http://schemas.openxmlformats.org/officeDocument/2006/relationships/hyperlink" Target="https://adamsxt.nrc.gov/WorkplaceXT/getContent?id=release&amp;vsId=%7B749267BF-F9F1-4085-B173-DAC50B90BABD%7D&amp;objectStoreName=Main.__.Library&amp;objectType=document" TargetMode="External"/><Relationship Id="rId33" Type="http://schemas.openxmlformats.org/officeDocument/2006/relationships/hyperlink" Target="https://adamsxt.nrc.gov/WorkplaceXT/getContent?id=release&amp;vsId=%7B13AC0C9D-8842-441F-878B-36CF4D768A1A%7D&amp;objectStoreName=Main.__.Library&amp;objectType=document"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damsxt.nrc.gov/WorkplaceXT/getContent?id=release&amp;vsId=%7B656F8D8D-4029-465D-96D4-6EEC270AA984%7D&amp;objectStoreName=Main.__.Library&amp;objectType=document" TargetMode="Externa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amsxt.nrc.gov/WorkplaceXT/getContent?id=release&amp;vsId=%7B13AC0C9D-8842-441F-878B-36CF4D768A1A%7D&amp;objectStoreName=Main.__.Library&amp;objectType=document" TargetMode="External"/><Relationship Id="rId24" Type="http://schemas.openxmlformats.org/officeDocument/2006/relationships/hyperlink" Target="https://adamsxt.nrc.gov/WorkplaceXT/getContent?id=release&amp;vsId=%7B078C0A7B-2E02-4A13-8FBD-59674CF055AC%7D&amp;objectStoreName=Main.__.Library&amp;objectType=document" TargetMode="Externa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adamsxt.nrc.gov/WorkplaceXT/getContent?id=release&amp;vsId=%7BF705A993-0CB1-46C2-89F9-AB0E3A7D03D9%7D&amp;objectStoreName=Main.__.Library&amp;objectType=document" TargetMode="External"/><Relationship Id="rId23" Type="http://schemas.openxmlformats.org/officeDocument/2006/relationships/hyperlink" Target="https://adamsxt.nrc.gov/WorkplaceXT/getContent?id=release&amp;vsId=%7B886C3BE9-698D-4F6F-B5A8-9026210DB99A%7D&amp;objectStoreName=Main.__.Library&amp;objectType=document" TargetMode="External"/><Relationship Id="rId28" Type="http://schemas.openxmlformats.org/officeDocument/2006/relationships/hyperlink" Target="https://adamsxt.nrc.gov/WorkplaceXT/getContent?id=release&amp;vsId=%7B078C0A7B-2E02-4A13-8FBD-59674CF055AC%7D&amp;objectStoreName=Main.__.Library&amp;objectType=document" TargetMode="External"/><Relationship Id="rId36" Type="http://schemas.openxmlformats.org/officeDocument/2006/relationships/footer" Target="footer10.xml"/><Relationship Id="rId10" Type="http://schemas.openxmlformats.org/officeDocument/2006/relationships/hyperlink" Target="https://adamsxt.nrc.gov/WorkplaceXT/getContent?id=release&amp;vsId=%7B37A3CBEC-EC12-4403-9022-5B3FC5BE26CA%7D&amp;objectStoreName=Main.__.Library&amp;objectType=document" TargetMode="External"/><Relationship Id="rId19" Type="http://schemas.openxmlformats.org/officeDocument/2006/relationships/footer" Target="footer2.xml"/><Relationship Id="rId31" Type="http://schemas.openxmlformats.org/officeDocument/2006/relationships/hyperlink" Target="https://adamsxt.nrc.gov/WorkplaceXT/getContent?id=release&amp;vsId=%7B37A3CBEC-EC12-4403-9022-5B3FC5BE26CA%7D&amp;objectStoreName=Main.__.Library&amp;objectType=document" TargetMode="External"/><Relationship Id="rId4" Type="http://schemas.microsoft.com/office/2007/relationships/stylesWithEffects" Target="stylesWithEffects.xml"/><Relationship Id="rId9" Type="http://schemas.openxmlformats.org/officeDocument/2006/relationships/hyperlink" Target="https://adamsxt.nrc.gov/WorkplaceXT/getContent?id=release&amp;vsId=%7B8C6BBDA1-9D5B-46A4-95F3-86D6A483BD78%7D&amp;objectStoreName=Main.__.Library&amp;objectType=document" TargetMode="External"/><Relationship Id="rId14" Type="http://schemas.openxmlformats.org/officeDocument/2006/relationships/hyperlink" Target="https://adamsxt.nrc.gov/WorkplaceXT/getContent?id=release&amp;vsId=%7BFA9458CB-4B90-4E4E-A407-E97611E4B423%7D&amp;objectStoreName=Main.__.Library&amp;objectType=document" TargetMode="External"/><Relationship Id="rId22" Type="http://schemas.openxmlformats.org/officeDocument/2006/relationships/hyperlink" Target="https://adamsxt.nrc.gov/WorkplaceXT/getContent?id=release&amp;vsId=%7B749267BF-F9F1-4085-B173-DAC50B90BABD%7D&amp;objectStoreName=Main.__.Library&amp;objectType=document" TargetMode="Externa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hyperlink" Target="https://adamsxt.nrc.gov/WorkplaceXT/getContent?id=release&amp;vsId=%7B13AC0C9D-8842-441F-878B-36CF4D768A1A%7D&amp;objectStoreName=Main.__.Library&amp;objectType=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0AB69-C672-4B26-99B9-29F82955E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7000</Words>
  <Characters>39904</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Nuclear Regulatory Commission</Company>
  <LinksUpToDate>false</LinksUpToDate>
  <CharactersWithSpaces>46811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vgc1</dc:creator>
  <cp:lastModifiedBy>btc1</cp:lastModifiedBy>
  <cp:revision>2</cp:revision>
  <cp:lastPrinted>2014-10-01T11:24:00Z</cp:lastPrinted>
  <dcterms:created xsi:type="dcterms:W3CDTF">2014-10-06T12:04:00Z</dcterms:created>
  <dcterms:modified xsi:type="dcterms:W3CDTF">2014-10-06T12:04:00Z</dcterms:modified>
</cp:coreProperties>
</file>