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bookmarkStart w:id="0" w:name="_GoBack"/>
      <w:bookmarkEnd w:id="0"/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587793">
              <w:rPr>
                <w:rFonts w:ascii="Arial" w:hAnsi="Arial" w:cs="Arial"/>
                <w:sz w:val="22"/>
                <w:szCs w:val="22"/>
              </w:rPr>
              <w:t>1</w:t>
            </w:r>
            <w:r w:rsidR="00664BBE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64BBE">
        <w:rPr>
          <w:rFonts w:ascii="Arial" w:hAnsi="Arial" w:cs="Arial"/>
          <w:sz w:val="22"/>
          <w:szCs w:val="22"/>
        </w:rPr>
        <w:tab/>
      </w:r>
      <w:r w:rsidR="00664BBE">
        <w:rPr>
          <w:rFonts w:ascii="Arial" w:hAnsi="Arial" w:cs="Arial"/>
          <w:sz w:val="22"/>
          <w:szCs w:val="22"/>
        </w:rPr>
        <w:tab/>
      </w:r>
      <w:r w:rsidR="00664BBE">
        <w:rPr>
          <w:rFonts w:ascii="Arial" w:hAnsi="Arial" w:cs="Arial"/>
          <w:sz w:val="22"/>
          <w:szCs w:val="22"/>
        </w:rPr>
        <w:tab/>
        <w:t xml:space="preserve">IMC 0308 </w:t>
      </w:r>
      <w:proofErr w:type="spellStart"/>
      <w:r w:rsidR="00664BBE">
        <w:rPr>
          <w:rFonts w:ascii="Arial" w:hAnsi="Arial" w:cs="Arial"/>
          <w:sz w:val="22"/>
          <w:szCs w:val="22"/>
        </w:rPr>
        <w:t>Att</w:t>
      </w:r>
      <w:proofErr w:type="spellEnd"/>
      <w:r w:rsidR="00664BBE">
        <w:rPr>
          <w:rFonts w:ascii="Arial" w:hAnsi="Arial" w:cs="Arial"/>
          <w:sz w:val="22"/>
          <w:szCs w:val="22"/>
        </w:rPr>
        <w:t xml:space="preserve"> 3 App M</w:t>
      </w:r>
      <w:r w:rsidR="00664BBE">
        <w:rPr>
          <w:rFonts w:ascii="Arial" w:hAnsi="Arial" w:cs="Arial"/>
          <w:sz w:val="22"/>
          <w:szCs w:val="22"/>
        </w:rPr>
        <w:tab/>
        <w:t>06/11</w:t>
      </w:r>
      <w:r w:rsidR="003859AC">
        <w:rPr>
          <w:rFonts w:ascii="Arial" w:hAnsi="Arial" w:cs="Arial"/>
          <w:sz w:val="22"/>
          <w:szCs w:val="22"/>
        </w:rPr>
        <w:t>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IMC 1247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02/18/09</w:t>
      </w:r>
      <w:r>
        <w:rPr>
          <w:rFonts w:ascii="Arial" w:hAnsi="Arial" w:cs="Arial"/>
          <w:sz w:val="22"/>
          <w:szCs w:val="22"/>
        </w:rPr>
        <w:tab/>
        <w:t>IMC 1247</w:t>
      </w:r>
      <w:r>
        <w:rPr>
          <w:rFonts w:ascii="Arial" w:hAnsi="Arial" w:cs="Arial"/>
          <w:sz w:val="22"/>
          <w:szCs w:val="22"/>
        </w:rPr>
        <w:tab/>
        <w:t>06/11/14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IMC 1247 App B</w:t>
      </w:r>
      <w:r>
        <w:rPr>
          <w:rFonts w:ascii="Arial" w:hAnsi="Arial" w:cs="Arial"/>
          <w:sz w:val="22"/>
          <w:szCs w:val="22"/>
        </w:rPr>
        <w:tab/>
        <w:t>02/18/09</w:t>
      </w:r>
      <w:r>
        <w:rPr>
          <w:rFonts w:ascii="Arial" w:hAnsi="Arial" w:cs="Arial"/>
          <w:sz w:val="22"/>
          <w:szCs w:val="22"/>
        </w:rPr>
        <w:tab/>
        <w:t>IMC 1247 App B</w:t>
      </w:r>
      <w:r>
        <w:rPr>
          <w:rFonts w:ascii="Arial" w:hAnsi="Arial" w:cs="Arial"/>
          <w:sz w:val="22"/>
          <w:szCs w:val="22"/>
        </w:rPr>
        <w:tab/>
        <w:t>06/11/14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IMC 1247 App C1</w:t>
      </w:r>
      <w:r>
        <w:rPr>
          <w:rFonts w:ascii="Arial" w:hAnsi="Arial" w:cs="Arial"/>
          <w:sz w:val="22"/>
          <w:szCs w:val="22"/>
        </w:rPr>
        <w:tab/>
        <w:t>02/18/09</w:t>
      </w:r>
      <w:r>
        <w:rPr>
          <w:rFonts w:ascii="Arial" w:hAnsi="Arial" w:cs="Arial"/>
          <w:sz w:val="22"/>
          <w:szCs w:val="22"/>
        </w:rPr>
        <w:tab/>
        <w:t>IMC 1247 App C1</w:t>
      </w:r>
      <w:r>
        <w:rPr>
          <w:rFonts w:ascii="Arial" w:hAnsi="Arial" w:cs="Arial"/>
          <w:sz w:val="22"/>
          <w:szCs w:val="22"/>
        </w:rPr>
        <w:tab/>
        <w:t>06/11/14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  <w:t>IMC 1247 App C3</w:t>
      </w:r>
      <w:r>
        <w:rPr>
          <w:rFonts w:ascii="Arial" w:hAnsi="Arial" w:cs="Arial"/>
          <w:sz w:val="22"/>
          <w:szCs w:val="22"/>
        </w:rPr>
        <w:tab/>
        <w:t>02/18/09</w:t>
      </w:r>
      <w:r>
        <w:rPr>
          <w:rFonts w:ascii="Arial" w:hAnsi="Arial" w:cs="Arial"/>
          <w:sz w:val="22"/>
          <w:szCs w:val="22"/>
        </w:rPr>
        <w:tab/>
        <w:t>IMC 1247 App C3</w:t>
      </w:r>
      <w:r>
        <w:rPr>
          <w:rFonts w:ascii="Arial" w:hAnsi="Arial" w:cs="Arial"/>
          <w:sz w:val="22"/>
          <w:szCs w:val="22"/>
        </w:rPr>
        <w:tab/>
        <w:t>06/11/14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  <w:t>IMC 1247 App C5</w:t>
      </w:r>
      <w:r>
        <w:rPr>
          <w:rFonts w:ascii="Arial" w:hAnsi="Arial" w:cs="Arial"/>
          <w:sz w:val="22"/>
          <w:szCs w:val="22"/>
        </w:rPr>
        <w:tab/>
        <w:t>02/18/09</w:t>
      </w:r>
      <w:r>
        <w:rPr>
          <w:rFonts w:ascii="Arial" w:hAnsi="Arial" w:cs="Arial"/>
          <w:sz w:val="22"/>
          <w:szCs w:val="22"/>
        </w:rPr>
        <w:tab/>
        <w:t>IMC 1247 App C5</w:t>
      </w:r>
      <w:r>
        <w:rPr>
          <w:rFonts w:ascii="Arial" w:hAnsi="Arial" w:cs="Arial"/>
          <w:sz w:val="22"/>
          <w:szCs w:val="22"/>
        </w:rPr>
        <w:tab/>
        <w:t>06/11/14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IMC 1247 App C6</w:t>
      </w:r>
      <w:r>
        <w:rPr>
          <w:rFonts w:ascii="Arial" w:hAnsi="Arial" w:cs="Arial"/>
          <w:sz w:val="22"/>
          <w:szCs w:val="22"/>
        </w:rPr>
        <w:tab/>
        <w:t>06/11/14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  <w:t>IMC 2515 App C</w:t>
      </w:r>
      <w:r>
        <w:rPr>
          <w:rFonts w:ascii="Arial" w:hAnsi="Arial" w:cs="Arial"/>
          <w:sz w:val="22"/>
          <w:szCs w:val="22"/>
        </w:rPr>
        <w:tab/>
        <w:t>09/25/13</w:t>
      </w:r>
      <w:r>
        <w:rPr>
          <w:rFonts w:ascii="Arial" w:hAnsi="Arial" w:cs="Arial"/>
          <w:sz w:val="22"/>
          <w:szCs w:val="22"/>
        </w:rPr>
        <w:tab/>
        <w:t>IMC 2515 App C</w:t>
      </w:r>
      <w:r>
        <w:rPr>
          <w:rFonts w:ascii="Arial" w:hAnsi="Arial" w:cs="Arial"/>
          <w:sz w:val="22"/>
          <w:szCs w:val="22"/>
        </w:rPr>
        <w:tab/>
        <w:t>06/11/14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146288" w:rsidRPr="00220726" w:rsidRDefault="003C4073" w:rsidP="00664BBE">
      <w:pPr>
        <w:tabs>
          <w:tab w:val="left" w:pos="1440"/>
        </w:tabs>
        <w:ind w:left="1440" w:hanging="1440"/>
        <w:rPr>
          <w:rFonts w:ascii="Arial" w:hAnsi="Arial" w:cs="Arial"/>
          <w:color w:val="000000" w:themeColor="text1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664BBE">
        <w:rPr>
          <w:rFonts w:ascii="Arial" w:hAnsi="Arial" w:cs="Arial"/>
          <w:sz w:val="22"/>
          <w:szCs w:val="22"/>
        </w:rPr>
        <w:t xml:space="preserve">IMC 0308 </w:t>
      </w:r>
      <w:proofErr w:type="spellStart"/>
      <w:r w:rsidR="00664BBE">
        <w:rPr>
          <w:rFonts w:ascii="Arial" w:hAnsi="Arial" w:cs="Arial"/>
          <w:sz w:val="22"/>
          <w:szCs w:val="22"/>
        </w:rPr>
        <w:t>Att</w:t>
      </w:r>
      <w:proofErr w:type="spellEnd"/>
      <w:r w:rsidR="00664BBE">
        <w:rPr>
          <w:rFonts w:ascii="Arial" w:hAnsi="Arial" w:cs="Arial"/>
          <w:sz w:val="22"/>
          <w:szCs w:val="22"/>
        </w:rPr>
        <w:t xml:space="preserve"> 3 App M, “</w:t>
      </w:r>
      <w:r w:rsidR="00220726" w:rsidRPr="00220726">
        <w:rPr>
          <w:rFonts w:ascii="Arial" w:hAnsi="Arial" w:cs="Arial"/>
          <w:color w:val="000000" w:themeColor="text1"/>
          <w:sz w:val="22"/>
          <w:szCs w:val="22"/>
        </w:rPr>
        <w:t>Technical Basis for the Significance Determination Process (SDP) Using Qualitative Criteria</w:t>
      </w:r>
      <w:r w:rsidR="00220726">
        <w:rPr>
          <w:rFonts w:ascii="Arial" w:hAnsi="Arial" w:cs="Arial"/>
          <w:color w:val="000000" w:themeColor="text1"/>
          <w:sz w:val="22"/>
          <w:szCs w:val="22"/>
        </w:rPr>
        <w:t>,” is an initial issuance.</w:t>
      </w:r>
    </w:p>
    <w:p w:rsidR="00BE4959" w:rsidRDefault="00BE4959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BE4959" w:rsidRDefault="0022072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1247, “</w:t>
      </w:r>
      <w:r w:rsidRPr="00220726">
        <w:rPr>
          <w:rFonts w:ascii="Arial" w:hAnsi="Arial" w:cs="Arial"/>
          <w:sz w:val="22"/>
          <w:szCs w:val="22"/>
        </w:rPr>
        <w:t>Qualification Program for Fuel Facility Inspectors in the Nuclear Material Safety and Safeguards Program Area</w:t>
      </w:r>
      <w:r>
        <w:rPr>
          <w:rFonts w:ascii="Arial" w:hAnsi="Arial" w:cs="Arial"/>
          <w:sz w:val="22"/>
          <w:szCs w:val="22"/>
        </w:rPr>
        <w:t>,” has been revised to reflect changes in IMC 1247 appendices and to include new 1247 App C6.</w:t>
      </w:r>
    </w:p>
    <w:p w:rsidR="00220726" w:rsidRDefault="0022072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20726" w:rsidRDefault="0022072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1247 App B, “</w:t>
      </w:r>
      <w:r w:rsidRPr="00220726">
        <w:rPr>
          <w:rFonts w:ascii="Arial" w:hAnsi="Arial" w:cs="Arial"/>
          <w:sz w:val="22"/>
          <w:szCs w:val="22"/>
        </w:rPr>
        <w:t>General Proficiency Level Training and Qualification Journal</w:t>
      </w:r>
      <w:r>
        <w:rPr>
          <w:rFonts w:ascii="Arial" w:hAnsi="Arial" w:cs="Arial"/>
          <w:sz w:val="22"/>
          <w:szCs w:val="22"/>
        </w:rPr>
        <w:t>,” has been revised to update required training and study guides for staff who are qualifying as a fuel facility inspector.</w:t>
      </w:r>
    </w:p>
    <w:p w:rsidR="00220726" w:rsidRDefault="0022072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20726" w:rsidRDefault="0022072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1247 App C1, “</w:t>
      </w:r>
      <w:r w:rsidRPr="00220726">
        <w:rPr>
          <w:rFonts w:ascii="Arial" w:hAnsi="Arial" w:cs="Arial"/>
          <w:sz w:val="22"/>
          <w:szCs w:val="22"/>
        </w:rPr>
        <w:t>Fuel Facility Operations Inspector Technical Proficiency Training and Qualification Journal</w:t>
      </w:r>
      <w:r>
        <w:rPr>
          <w:rFonts w:ascii="Arial" w:hAnsi="Arial" w:cs="Arial"/>
          <w:sz w:val="22"/>
          <w:szCs w:val="22"/>
        </w:rPr>
        <w:t>,” has been revised to update the required and refresher training requirements.</w:t>
      </w:r>
    </w:p>
    <w:p w:rsidR="00220726" w:rsidRDefault="0022072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20726" w:rsidRDefault="0022072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1247 App C3, “</w:t>
      </w:r>
      <w:r w:rsidRPr="00220726">
        <w:rPr>
          <w:rFonts w:ascii="Arial" w:hAnsi="Arial" w:cs="Arial"/>
          <w:sz w:val="22"/>
          <w:szCs w:val="22"/>
        </w:rPr>
        <w:t>Fuel Facility Emergency Preparedness Inspector Technical Proficiency Training and Qualification Journal</w:t>
      </w:r>
      <w:r>
        <w:rPr>
          <w:rFonts w:ascii="Arial" w:hAnsi="Arial" w:cs="Arial"/>
          <w:sz w:val="22"/>
          <w:szCs w:val="22"/>
        </w:rPr>
        <w:t>,” has been revised to update the refresher training requirements.</w:t>
      </w:r>
    </w:p>
    <w:p w:rsidR="00220726" w:rsidRDefault="0022072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20726" w:rsidRDefault="0022072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1247 App C5, “</w:t>
      </w:r>
      <w:r w:rsidRPr="00220726">
        <w:rPr>
          <w:rFonts w:ascii="Arial" w:hAnsi="Arial" w:cs="Arial"/>
          <w:sz w:val="22"/>
          <w:szCs w:val="22"/>
        </w:rPr>
        <w:t>Fuel Facility Material Control and Accounting Inspector Technical Proficiency Training and Qualification Journal</w:t>
      </w:r>
      <w:r>
        <w:rPr>
          <w:rFonts w:ascii="Arial" w:hAnsi="Arial" w:cs="Arial"/>
          <w:sz w:val="22"/>
          <w:szCs w:val="22"/>
        </w:rPr>
        <w:t>,” has been revised to update the required, refresher and post-qualification training requirements.</w:t>
      </w:r>
    </w:p>
    <w:p w:rsidR="00AC5A62" w:rsidRDefault="00AC5A62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  <w:sectPr w:rsidR="00AC5A62" w:rsidSect="00A972BD">
          <w:footerReference w:type="default" r:id="rId9"/>
          <w:pgSz w:w="12240" w:h="15838" w:code="1"/>
          <w:pgMar w:top="1440" w:right="1440" w:bottom="1440" w:left="1440" w:header="1440" w:footer="1440" w:gutter="0"/>
          <w:cols w:space="720"/>
          <w:docGrid w:linePitch="272"/>
        </w:sectPr>
      </w:pPr>
    </w:p>
    <w:p w:rsidR="00220726" w:rsidRDefault="0022072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20726" w:rsidRDefault="00220726" w:rsidP="00A972BD">
      <w:pPr>
        <w:tabs>
          <w:tab w:val="left" w:pos="1440"/>
        </w:tabs>
        <w:ind w:left="1440" w:hanging="144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IMC </w:t>
      </w:r>
      <w:r w:rsidR="00AC5A62">
        <w:rPr>
          <w:rFonts w:ascii="Arial" w:hAnsi="Arial" w:cs="Arial"/>
          <w:sz w:val="22"/>
          <w:szCs w:val="22"/>
        </w:rPr>
        <w:t xml:space="preserve">1247 App C6, </w:t>
      </w:r>
      <w:r w:rsidR="00AC5A62" w:rsidRPr="00AC5A62">
        <w:rPr>
          <w:rFonts w:ascii="Arial" w:hAnsi="Arial" w:cs="Arial"/>
          <w:color w:val="000000" w:themeColor="text1"/>
          <w:sz w:val="22"/>
          <w:szCs w:val="22"/>
        </w:rPr>
        <w:t>“</w:t>
      </w:r>
      <w:r w:rsidR="00AC5A62" w:rsidRPr="00AC5A62">
        <w:rPr>
          <w:rFonts w:ascii="Arial" w:hAnsi="Arial" w:cs="Arial"/>
          <w:color w:val="000000" w:themeColor="text1"/>
          <w:sz w:val="22"/>
          <w:szCs w:val="22"/>
        </w:rPr>
        <w:t>Fuel Facility Nuclear Criticality Safety Inspector Technical Proficiency Training and Qualification Journal</w:t>
      </w:r>
      <w:r w:rsidR="00AC5A62">
        <w:rPr>
          <w:rFonts w:ascii="Arial" w:hAnsi="Arial" w:cs="Arial"/>
          <w:color w:val="000000" w:themeColor="text1"/>
          <w:sz w:val="22"/>
          <w:szCs w:val="22"/>
        </w:rPr>
        <w:t>,” is an initial issuance to specify qualification requirements for NRC criticality safety inspectors.</w:t>
      </w:r>
    </w:p>
    <w:p w:rsidR="00AC5A62" w:rsidRDefault="00AC5A62" w:rsidP="00A972BD">
      <w:pPr>
        <w:tabs>
          <w:tab w:val="left" w:pos="1440"/>
        </w:tabs>
        <w:ind w:left="1440" w:hanging="1440"/>
        <w:rPr>
          <w:rFonts w:ascii="Arial" w:hAnsi="Arial" w:cs="Arial"/>
          <w:color w:val="000000" w:themeColor="text1"/>
          <w:sz w:val="22"/>
          <w:szCs w:val="22"/>
        </w:rPr>
      </w:pPr>
    </w:p>
    <w:p w:rsidR="00AC5A62" w:rsidRDefault="00AC5A62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  <w:t>IMC 2515 App C, “</w:t>
      </w:r>
      <w:r w:rsidRPr="00AC5A62">
        <w:rPr>
          <w:rFonts w:ascii="Arial" w:hAnsi="Arial" w:cs="Arial"/>
          <w:sz w:val="22"/>
          <w:szCs w:val="22"/>
        </w:rPr>
        <w:t>Special and Infrequently Performed Inspections</w:t>
      </w:r>
      <w:r>
        <w:rPr>
          <w:rFonts w:ascii="Arial" w:hAnsi="Arial" w:cs="Arial"/>
          <w:sz w:val="22"/>
          <w:szCs w:val="22"/>
        </w:rPr>
        <w:t>,” has been revised to clarify requirements to show that Regional Administrator approval is not required to perform ISFSI procedures listed in this manual chapter appendix.</w:t>
      </w:r>
    </w:p>
    <w:p w:rsidR="00AC5A62" w:rsidRDefault="00AC5A62" w:rsidP="00A972BD">
      <w:pPr>
        <w:tabs>
          <w:tab w:val="left" w:pos="1440"/>
        </w:tabs>
        <w:ind w:left="1440" w:hanging="1440"/>
        <w:rPr>
          <w:rFonts w:ascii="Arial" w:hAnsi="Arial" w:cs="Arial"/>
          <w:color w:val="000000" w:themeColor="text1"/>
          <w:sz w:val="22"/>
          <w:szCs w:val="22"/>
        </w:rPr>
      </w:pPr>
    </w:p>
    <w:p w:rsidR="00AC5A62" w:rsidRPr="00AC5A62" w:rsidRDefault="00AC5A62" w:rsidP="00A972BD">
      <w:pPr>
        <w:tabs>
          <w:tab w:val="left" w:pos="1440"/>
        </w:tabs>
        <w:ind w:left="1440" w:hanging="1440"/>
        <w:rPr>
          <w:rFonts w:ascii="Arial" w:hAnsi="Arial" w:cs="Arial"/>
          <w:color w:val="000000" w:themeColor="text1"/>
          <w:sz w:val="22"/>
          <w:szCs w:val="22"/>
        </w:rPr>
      </w:pPr>
    </w:p>
    <w:p w:rsidR="00EA1075" w:rsidRDefault="00664BBE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  Standard</w:t>
      </w:r>
    </w:p>
    <w:p w:rsidR="00F95FC9" w:rsidRDefault="00F95FC9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781AEA" w:rsidRDefault="00781AEA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972BD">
      <w:footerReference w:type="default" r:id="rId10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726" w:rsidRDefault="00220726">
      <w:r>
        <w:separator/>
      </w:r>
    </w:p>
  </w:endnote>
  <w:endnote w:type="continuationSeparator" w:id="0">
    <w:p w:rsidR="00220726" w:rsidRDefault="0022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6" w:rsidRPr="00A31474" w:rsidRDefault="00220726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06/11/14</w:t>
    </w:r>
    <w:r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ab/>
      <w:t>14-012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A62" w:rsidRPr="00A31474" w:rsidRDefault="00AC5A62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06/11/14</w:t>
    </w:r>
    <w:r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2</w:t>
    </w:r>
    <w:r>
      <w:rPr>
        <w:rFonts w:ascii="Arial" w:hAnsi="Arial" w:cs="Arial"/>
        <w:sz w:val="22"/>
        <w:szCs w:val="22"/>
      </w:rPr>
      <w:tab/>
      <w:t>14-012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726" w:rsidRDefault="00220726">
      <w:r>
        <w:separator/>
      </w:r>
    </w:p>
  </w:footnote>
  <w:footnote w:type="continuationSeparator" w:id="0">
    <w:p w:rsidR="00220726" w:rsidRDefault="00220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30720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0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DEDA8-FB42-44AD-B33E-23F07F7C7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2014-02-25T16:16:00Z</cp:lastPrinted>
  <dcterms:created xsi:type="dcterms:W3CDTF">2014-06-05T15:25:00Z</dcterms:created>
  <dcterms:modified xsi:type="dcterms:W3CDTF">2014-06-05T15:25:00Z</dcterms:modified>
</cp:coreProperties>
</file>