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F3E" w:rsidRDefault="002447F4">
      <w:pPr>
        <w:tabs>
          <w:tab w:val="center" w:pos="4680"/>
          <w:tab w:val="right" w:pos="9360"/>
        </w:tabs>
        <w:jc w:val="center"/>
        <w:rPr>
          <w:b/>
          <w:sz w:val="36"/>
          <w:szCs w:val="36"/>
        </w:rPr>
      </w:pPr>
      <w:r>
        <w:rPr>
          <w:b/>
          <w:sz w:val="36"/>
          <w:szCs w:val="36"/>
        </w:rPr>
        <w:tab/>
      </w:r>
      <w:r w:rsidR="00510629" w:rsidRPr="002C0994">
        <w:rPr>
          <w:b/>
          <w:sz w:val="38"/>
          <w:szCs w:val="38"/>
        </w:rPr>
        <w:t>NRC INSPECTION MANUAL</w:t>
      </w:r>
      <w:r>
        <w:rPr>
          <w:color w:val="FF0000"/>
        </w:rPr>
        <w:tab/>
      </w:r>
      <w:r w:rsidR="00E177FD" w:rsidRPr="002C0994">
        <w:rPr>
          <w:sz w:val="20"/>
          <w:szCs w:val="20"/>
        </w:rPr>
        <w:t>SPRA</w:t>
      </w:r>
    </w:p>
    <w:p w:rsidR="00510629" w:rsidRPr="002C0994" w:rsidRDefault="00510629" w:rsidP="00CF2CB3">
      <w:pPr>
        <w:pBdr>
          <w:top w:val="single" w:sz="6" w:space="1" w:color="auto"/>
          <w:bottom w:val="single" w:sz="6" w:space="1" w:color="auto"/>
        </w:pBdr>
        <w:jc w:val="center"/>
      </w:pPr>
      <w:r w:rsidRPr="002C0994">
        <w:t xml:space="preserve">INSPECTION PROCEDURE </w:t>
      </w:r>
      <w:r w:rsidR="00C3191A" w:rsidRPr="002C0994">
        <w:t>62712</w:t>
      </w:r>
    </w:p>
    <w:p w:rsidR="00510629" w:rsidRPr="00093CDE" w:rsidRDefault="00510629" w:rsidP="00093CDE">
      <w:pPr>
        <w:spacing w:line="240" w:lineRule="auto"/>
        <w:jc w:val="center"/>
      </w:pPr>
    </w:p>
    <w:p w:rsidR="005413B0" w:rsidRPr="00093CDE" w:rsidRDefault="005413B0" w:rsidP="00093CDE">
      <w:pPr>
        <w:spacing w:line="240" w:lineRule="auto"/>
        <w:jc w:val="center"/>
      </w:pPr>
    </w:p>
    <w:p w:rsidR="009D2F3E" w:rsidRPr="002C0994" w:rsidRDefault="002447F4" w:rsidP="00093CDE">
      <w:pPr>
        <w:spacing w:line="240" w:lineRule="auto"/>
        <w:jc w:val="center"/>
      </w:pPr>
      <w:r w:rsidRPr="002C0994">
        <w:t xml:space="preserve">PART 52, </w:t>
      </w:r>
      <w:r w:rsidR="00510629" w:rsidRPr="002C0994">
        <w:t xml:space="preserve">MAINTENANCE RULE </w:t>
      </w:r>
    </w:p>
    <w:p w:rsidR="006A50CB" w:rsidRPr="001264D7" w:rsidRDefault="006A50CB" w:rsidP="00093CDE">
      <w:pPr>
        <w:spacing w:line="240" w:lineRule="auto"/>
        <w:jc w:val="both"/>
      </w:pPr>
      <w:bookmarkStart w:id="0" w:name="_GoBack"/>
      <w:bookmarkEnd w:id="0"/>
    </w:p>
    <w:p w:rsidR="006A50CB" w:rsidRPr="001264D7" w:rsidRDefault="006A50CB" w:rsidP="00710A62">
      <w:pPr>
        <w:spacing w:line="240" w:lineRule="auto"/>
      </w:pPr>
      <w:r w:rsidRPr="001264D7">
        <w:t>PROGRAM APPLICABILITY:</w:t>
      </w:r>
      <w:r w:rsidR="00093CDE">
        <w:t xml:space="preserve"> </w:t>
      </w:r>
      <w:r w:rsidRPr="001264D7">
        <w:t xml:space="preserve"> </w:t>
      </w:r>
      <w:r w:rsidR="00510629" w:rsidRPr="001264D7">
        <w:t>2504</w:t>
      </w:r>
      <w:r w:rsidRPr="001264D7">
        <w:t xml:space="preserve"> </w:t>
      </w:r>
    </w:p>
    <w:p w:rsidR="006A50CB" w:rsidRDefault="006A50CB" w:rsidP="00710A62">
      <w:pPr>
        <w:spacing w:line="240" w:lineRule="auto"/>
      </w:pPr>
    </w:p>
    <w:p w:rsidR="00093CDE" w:rsidRPr="001264D7" w:rsidRDefault="00093CDE" w:rsidP="00710A62">
      <w:pPr>
        <w:spacing w:line="240" w:lineRule="auto"/>
      </w:pPr>
    </w:p>
    <w:p w:rsidR="006A50CB" w:rsidRPr="001264D7" w:rsidRDefault="00C3191A" w:rsidP="00710A62">
      <w:pPr>
        <w:spacing w:line="240" w:lineRule="auto"/>
      </w:pPr>
      <w:r>
        <w:t>62712</w:t>
      </w:r>
      <w:r w:rsidR="00510629" w:rsidRPr="001264D7">
        <w:t>-</w:t>
      </w:r>
      <w:r w:rsidR="006A50CB" w:rsidRPr="001264D7">
        <w:t>01</w:t>
      </w:r>
      <w:r w:rsidR="006A50CB" w:rsidRPr="001264D7">
        <w:tab/>
        <w:t>INSPECTION OBJECTIVE</w:t>
      </w:r>
    </w:p>
    <w:p w:rsidR="006A50CB" w:rsidRPr="001264D7" w:rsidRDefault="006A50CB" w:rsidP="00710A62">
      <w:pPr>
        <w:spacing w:line="240" w:lineRule="auto"/>
      </w:pPr>
    </w:p>
    <w:p w:rsidR="00694F3D" w:rsidRDefault="00CF2CB3" w:rsidP="002654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auto"/>
      </w:pPr>
      <w:r w:rsidRPr="001264D7">
        <w:t>01.01</w:t>
      </w:r>
      <w:r w:rsidR="00B31476" w:rsidRPr="001264D7">
        <w:tab/>
      </w:r>
      <w:r w:rsidRPr="001264D7">
        <w:t xml:space="preserve"> </w:t>
      </w:r>
      <w:r w:rsidR="001E19CB" w:rsidRPr="001264D7">
        <w:t xml:space="preserve"> To d</w:t>
      </w:r>
      <w:r w:rsidR="00510629" w:rsidRPr="001264D7">
        <w:t xml:space="preserve">etermine </w:t>
      </w:r>
      <w:r w:rsidR="007258B1">
        <w:t>whether</w:t>
      </w:r>
      <w:r w:rsidRPr="001264D7">
        <w:t xml:space="preserve"> there is reasonable assurance that the</w:t>
      </w:r>
      <w:r w:rsidR="00510629" w:rsidRPr="001264D7">
        <w:t xml:space="preserve"> licensee’s</w:t>
      </w:r>
      <w:r w:rsidR="00F7371F">
        <w:t xml:space="preserve"> M</w:t>
      </w:r>
      <w:r w:rsidR="006A50CB" w:rsidRPr="001264D7">
        <w:t xml:space="preserve">aintenance Rule </w:t>
      </w:r>
      <w:r w:rsidRPr="001264D7">
        <w:t>(MR) program will</w:t>
      </w:r>
      <w:r w:rsidR="00510629" w:rsidRPr="001264D7">
        <w:t xml:space="preserve"> </w:t>
      </w:r>
      <w:r w:rsidRPr="001264D7">
        <w:t xml:space="preserve">meet </w:t>
      </w:r>
      <w:r w:rsidR="00510629" w:rsidRPr="001264D7">
        <w:t>the require</w:t>
      </w:r>
      <w:r w:rsidRPr="001264D7">
        <w:t>ments set forth by 10 CFR 50.65</w:t>
      </w:r>
      <w:r w:rsidR="00F7371F">
        <w:t xml:space="preserve">, </w:t>
      </w:r>
      <w:r w:rsidR="00F7371F" w:rsidRPr="001264D7">
        <w:t>Requirements for monitoring the effectiveness of maintenance at</w:t>
      </w:r>
      <w:r w:rsidR="00F7371F">
        <w:t xml:space="preserve"> </w:t>
      </w:r>
      <w:r w:rsidR="00F7371F" w:rsidRPr="001264D7">
        <w:t>nuclear power plants</w:t>
      </w:r>
      <w:r w:rsidR="009E3D63">
        <w:t xml:space="preserve"> and the maintenance rule program as specified in the FSAR</w:t>
      </w:r>
      <w:r w:rsidR="00F7371F">
        <w:t>,</w:t>
      </w:r>
      <w:r w:rsidRPr="001264D7">
        <w:t xml:space="preserve"> once it is fully implemented after </w:t>
      </w:r>
      <w:r w:rsidR="00863A7B" w:rsidRPr="001264D7">
        <w:t xml:space="preserve">the </w:t>
      </w:r>
      <w:r w:rsidR="008879A9" w:rsidRPr="001264D7">
        <w:t>Commission’s</w:t>
      </w:r>
      <w:r w:rsidR="00863A7B" w:rsidRPr="001264D7">
        <w:t xml:space="preserve"> 10 CFR 52.103(g) finding</w:t>
      </w:r>
      <w:r w:rsidR="00FF0BA6" w:rsidRPr="001264D7">
        <w:t>.</w:t>
      </w:r>
      <w:r w:rsidR="00F16D59">
        <w:t xml:space="preserve">  </w:t>
      </w:r>
    </w:p>
    <w:p w:rsidR="00277961" w:rsidRDefault="00277961" w:rsidP="00710A62">
      <w:pPr>
        <w:spacing w:line="240" w:lineRule="auto"/>
      </w:pPr>
    </w:p>
    <w:p w:rsidR="00093CDE" w:rsidRPr="001264D7" w:rsidRDefault="00093CDE" w:rsidP="00710A62">
      <w:pPr>
        <w:spacing w:line="240" w:lineRule="auto"/>
      </w:pPr>
    </w:p>
    <w:p w:rsidR="006A50CB" w:rsidRPr="001264D7" w:rsidRDefault="00C3191A" w:rsidP="00710A62">
      <w:pPr>
        <w:spacing w:line="240" w:lineRule="auto"/>
      </w:pPr>
      <w:r>
        <w:t>62712</w:t>
      </w:r>
      <w:r w:rsidR="00CF2CB3" w:rsidRPr="001264D7">
        <w:t>-02</w:t>
      </w:r>
      <w:r w:rsidR="00CF2CB3" w:rsidRPr="001264D7">
        <w:tab/>
        <w:t>INSPECTION REQUIREMENTS AND</w:t>
      </w:r>
      <w:r w:rsidR="006A50CB" w:rsidRPr="001264D7">
        <w:t xml:space="preserve"> GUIDANCE</w:t>
      </w:r>
    </w:p>
    <w:p w:rsidR="006A50CB" w:rsidRPr="001264D7" w:rsidRDefault="006A50CB" w:rsidP="00710A62">
      <w:pPr>
        <w:spacing w:line="240" w:lineRule="auto"/>
      </w:pPr>
    </w:p>
    <w:p w:rsidR="00B36149" w:rsidRPr="001264D7" w:rsidRDefault="00CF2CB3" w:rsidP="00710A62">
      <w:pPr>
        <w:spacing w:line="240" w:lineRule="auto"/>
      </w:pPr>
      <w:r w:rsidRPr="001264D7">
        <w:t>02.01</w:t>
      </w:r>
      <w:r w:rsidR="00B31476" w:rsidRPr="001264D7">
        <w:tab/>
        <w:t xml:space="preserve"> </w:t>
      </w:r>
      <w:r w:rsidR="00B36149" w:rsidRPr="001264D7">
        <w:rPr>
          <w:u w:val="single"/>
        </w:rPr>
        <w:t>General Guidance</w:t>
      </w:r>
    </w:p>
    <w:p w:rsidR="00B36149" w:rsidRPr="001264D7" w:rsidRDefault="00B36149" w:rsidP="00710A62">
      <w:pPr>
        <w:spacing w:line="240" w:lineRule="auto"/>
      </w:pPr>
    </w:p>
    <w:p w:rsidR="008F606E" w:rsidRPr="001264D7" w:rsidRDefault="00CF2CB3" w:rsidP="002654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auto"/>
      </w:pPr>
      <w:r w:rsidRPr="001264D7">
        <w:t xml:space="preserve">Combined license (COL) holders are required to have a fully functional MR program </w:t>
      </w:r>
      <w:r w:rsidR="00435B51">
        <w:t xml:space="preserve">after </w:t>
      </w:r>
      <w:r w:rsidR="00FF0BA6" w:rsidRPr="001264D7">
        <w:t>the Commission’s 10 CFR 52.103(g) finding</w:t>
      </w:r>
      <w:r w:rsidRPr="001264D7">
        <w:t>.</w:t>
      </w:r>
      <w:r w:rsidR="00E84F2B" w:rsidRPr="001264D7">
        <w:t xml:space="preserve">  C</w:t>
      </w:r>
      <w:r w:rsidR="008F606E" w:rsidRPr="001264D7">
        <w:t xml:space="preserve">ertain elements of the licensee’s MR program </w:t>
      </w:r>
      <w:r w:rsidR="00E84F2B" w:rsidRPr="001264D7">
        <w:t>can</w:t>
      </w:r>
      <w:r w:rsidR="008F606E" w:rsidRPr="001264D7">
        <w:t xml:space="preserve">not be implemented prior to startup; in these cases, the inspector should verify that there is reasonable assurance of future compliance.  This </w:t>
      </w:r>
      <w:r w:rsidR="00E84F2B" w:rsidRPr="001264D7">
        <w:t>should</w:t>
      </w:r>
      <w:r w:rsidR="008F606E" w:rsidRPr="001264D7">
        <w:t xml:space="preserve"> be done </w:t>
      </w:r>
      <w:r w:rsidR="00E84F2B" w:rsidRPr="001264D7">
        <w:t>by</w:t>
      </w:r>
      <w:r w:rsidR="008F606E" w:rsidRPr="001264D7">
        <w:t xml:space="preserve"> review</w:t>
      </w:r>
      <w:r w:rsidR="00E84F2B" w:rsidRPr="001264D7">
        <w:t>ing</w:t>
      </w:r>
      <w:r w:rsidR="008F606E" w:rsidRPr="001264D7">
        <w:t xml:space="preserve"> licensee procedures, training</w:t>
      </w:r>
      <w:r w:rsidR="004F4693" w:rsidRPr="001264D7">
        <w:t xml:space="preserve"> and qualification</w:t>
      </w:r>
      <w:r w:rsidR="008F606E" w:rsidRPr="001264D7">
        <w:t>, and</w:t>
      </w:r>
      <w:r w:rsidR="00800524" w:rsidRPr="001264D7">
        <w:t xml:space="preserve"> any other tools that the licensee will use to implement the MR</w:t>
      </w:r>
      <w:r w:rsidR="004F4693" w:rsidRPr="001264D7">
        <w:t xml:space="preserve"> program</w:t>
      </w:r>
      <w:r w:rsidR="008F606E" w:rsidRPr="001264D7">
        <w:t>.</w:t>
      </w:r>
    </w:p>
    <w:p w:rsidR="008F606E" w:rsidRPr="001264D7" w:rsidRDefault="008F606E" w:rsidP="00710A62">
      <w:pPr>
        <w:spacing w:line="240" w:lineRule="auto"/>
      </w:pPr>
    </w:p>
    <w:p w:rsidR="00CF2CB3" w:rsidRPr="001264D7" w:rsidRDefault="00B31476" w:rsidP="00710A62">
      <w:pPr>
        <w:spacing w:line="240" w:lineRule="auto"/>
      </w:pPr>
      <w:r w:rsidRPr="001264D7">
        <w:t>Inspectors should review</w:t>
      </w:r>
      <w:r w:rsidR="008F606E" w:rsidRPr="001264D7">
        <w:t xml:space="preserve"> </w:t>
      </w:r>
      <w:r w:rsidRPr="001264D7">
        <w:t>procedures to verify that they are of sufficient detail and scope to provide reasonable assurance that they can be implemented properly.</w:t>
      </w:r>
      <w:r w:rsidR="00970DC4" w:rsidRPr="001264D7">
        <w:t xml:space="preserve">  </w:t>
      </w:r>
      <w:r w:rsidRPr="001264D7">
        <w:t xml:space="preserve">For general guidance on determining the adequacy of a procedure, see </w:t>
      </w:r>
      <w:r w:rsidR="00E84F2B" w:rsidRPr="001264D7">
        <w:t>IP</w:t>
      </w:r>
      <w:r w:rsidR="00176B27" w:rsidRPr="001264D7">
        <w:t xml:space="preserve"> 42401</w:t>
      </w:r>
      <w:r w:rsidRPr="001264D7">
        <w:t>, Plant Procedures.</w:t>
      </w:r>
    </w:p>
    <w:p w:rsidR="00970DC4" w:rsidRPr="001264D7" w:rsidRDefault="00970DC4" w:rsidP="00710A62">
      <w:pPr>
        <w:spacing w:line="240" w:lineRule="auto"/>
      </w:pPr>
    </w:p>
    <w:p w:rsidR="00970DC4" w:rsidRPr="001264D7" w:rsidRDefault="00435B51" w:rsidP="00710A62">
      <w:pPr>
        <w:spacing w:line="240" w:lineRule="auto"/>
      </w:pPr>
      <w:r>
        <w:t xml:space="preserve">If the licensee has existing units on the same site, they </w:t>
      </w:r>
      <w:r w:rsidR="00970DC4" w:rsidRPr="001264D7">
        <w:t xml:space="preserve">may credit parts of their existing MR program.  If this is the case, inspectors should ensure that plant-specific differences are accounted for and </w:t>
      </w:r>
      <w:r w:rsidR="008F606E" w:rsidRPr="001264D7">
        <w:t xml:space="preserve">that </w:t>
      </w:r>
      <w:r w:rsidR="00E84F2B" w:rsidRPr="001264D7">
        <w:t>any credited</w:t>
      </w:r>
      <w:r w:rsidR="008F606E" w:rsidRPr="001264D7">
        <w:t xml:space="preserve"> aspects of the MR program are applicable to new reactors.  </w:t>
      </w:r>
      <w:r w:rsidR="004F4693" w:rsidRPr="001264D7">
        <w:t>For example, a new passive plant (AP1000 or ESBWR) may</w:t>
      </w:r>
      <w:r w:rsidR="00B20216">
        <w:t xml:space="preserve"> </w:t>
      </w:r>
      <w:r w:rsidR="004F4693" w:rsidRPr="001264D7">
        <w:t xml:space="preserve">be built next to an active PWR/BWR. </w:t>
      </w:r>
    </w:p>
    <w:p w:rsidR="006A50CB" w:rsidRPr="001264D7" w:rsidRDefault="006A50CB" w:rsidP="00710A62">
      <w:pPr>
        <w:spacing w:line="240" w:lineRule="auto"/>
      </w:pPr>
    </w:p>
    <w:p w:rsidR="00B225D8" w:rsidRDefault="0055752D" w:rsidP="00710A62">
      <w:pPr>
        <w:spacing w:line="240" w:lineRule="auto"/>
        <w:sectPr w:rsidR="00B225D8" w:rsidSect="00F3477D">
          <w:footerReference w:type="default" r:id="rId9"/>
          <w:pgSz w:w="12240" w:h="15840"/>
          <w:pgMar w:top="1440" w:right="1440" w:bottom="1440" w:left="1440" w:header="1440" w:footer="1440" w:gutter="0"/>
          <w:cols w:space="720"/>
          <w:docGrid w:linePitch="360"/>
        </w:sectPr>
      </w:pPr>
      <w:r w:rsidRPr="001264D7">
        <w:t>The</w:t>
      </w:r>
      <w:r w:rsidR="006A50CB" w:rsidRPr="001264D7">
        <w:t xml:space="preserve"> detailed</w:t>
      </w:r>
      <w:r w:rsidRPr="001264D7">
        <w:t xml:space="preserve"> description of the licensee’s</w:t>
      </w:r>
      <w:r w:rsidR="006A50CB" w:rsidRPr="001264D7">
        <w:t xml:space="preserve"> MR program should be consistent with </w:t>
      </w:r>
      <w:r w:rsidRPr="001264D7">
        <w:t>the high level programmatic requirements described by</w:t>
      </w:r>
      <w:r w:rsidR="006A50CB" w:rsidRPr="001264D7">
        <w:t xml:space="preserve"> the</w:t>
      </w:r>
      <w:r w:rsidR="005874A6" w:rsidRPr="001264D7">
        <w:t xml:space="preserve"> </w:t>
      </w:r>
      <w:r w:rsidR="002B2EB7" w:rsidRPr="001264D7">
        <w:t xml:space="preserve">COL </w:t>
      </w:r>
      <w:r w:rsidR="005874A6" w:rsidRPr="001264D7">
        <w:t>Final Safety Analysis Report (</w:t>
      </w:r>
      <w:r w:rsidR="006A50CB" w:rsidRPr="001264D7">
        <w:t>FSAR</w:t>
      </w:r>
      <w:r w:rsidR="005874A6" w:rsidRPr="001264D7">
        <w:t>)</w:t>
      </w:r>
      <w:r w:rsidR="006A50CB" w:rsidRPr="001264D7">
        <w:t xml:space="preserve">.  In general, it is expected that most licensees will adopt a program that </w:t>
      </w:r>
      <w:r w:rsidRPr="001264D7">
        <w:t>adheres to the</w:t>
      </w:r>
      <w:r w:rsidR="006A50CB" w:rsidRPr="001264D7">
        <w:t xml:space="preserve"> guidance contained in NEI 07-02A with supplementary information contained in the FSAR.</w:t>
      </w:r>
      <w:r w:rsidR="00B972B6" w:rsidRPr="001264D7">
        <w:t xml:space="preserve">  </w:t>
      </w:r>
      <w:r w:rsidR="00280460" w:rsidRPr="001264D7">
        <w:t>L</w:t>
      </w:r>
      <w:r w:rsidR="00B972B6" w:rsidRPr="001264D7">
        <w:t xml:space="preserve">icensees may supplement their MR program to include a condition monitoring program for underground </w:t>
      </w:r>
      <w:r w:rsidR="00123254" w:rsidRPr="001264D7">
        <w:t xml:space="preserve">or inaccessible </w:t>
      </w:r>
      <w:r w:rsidR="00B972B6" w:rsidRPr="001264D7">
        <w:t>cables</w:t>
      </w:r>
      <w:r w:rsidR="00280460" w:rsidRPr="001264D7">
        <w:t xml:space="preserve"> which is described in NRC Generic Letter 2007-01</w:t>
      </w:r>
      <w:r w:rsidR="00B972B6" w:rsidRPr="001264D7">
        <w:t xml:space="preserve">.  </w:t>
      </w:r>
      <w:r w:rsidRPr="001264D7">
        <w:t xml:space="preserve">The inspector should </w:t>
      </w:r>
      <w:r w:rsidR="00E84F2B" w:rsidRPr="001264D7">
        <w:t>become familiar</w:t>
      </w:r>
      <w:r w:rsidRPr="001264D7">
        <w:t xml:space="preserve"> with the specifics of the licensee’s program by reviewing the FSAR </w:t>
      </w:r>
      <w:r w:rsidR="00123254" w:rsidRPr="001264D7">
        <w:t xml:space="preserve">Section 17.6 </w:t>
      </w:r>
      <w:r w:rsidRPr="001264D7">
        <w:t>and any other applicable documentation.</w:t>
      </w:r>
    </w:p>
    <w:p w:rsidR="006A50CB" w:rsidRPr="001264D7" w:rsidRDefault="006A50CB" w:rsidP="00710A62">
      <w:pPr>
        <w:spacing w:line="240" w:lineRule="auto"/>
      </w:pPr>
    </w:p>
    <w:p w:rsidR="006A50CB" w:rsidRPr="001264D7" w:rsidRDefault="006A50CB" w:rsidP="00710A62">
      <w:pPr>
        <w:spacing w:line="240" w:lineRule="auto"/>
      </w:pPr>
      <w:r w:rsidRPr="001264D7">
        <w:t xml:space="preserve">Where the licensee's MR program deviates from what is described in the FSAR, the licensee must be able to demonstrate that such deviations or alternate methods </w:t>
      </w:r>
      <w:r w:rsidR="007B7DB4" w:rsidRPr="001264D7">
        <w:t xml:space="preserve">meet the requirements of the MR.  </w:t>
      </w:r>
      <w:r w:rsidRPr="001264D7">
        <w:t>Where deviations or alternate methods are judged to be in compliance with the MR, but are not consistent with the licensee's MR program as described in approved licensing basis documents, the licensee will be expected to resolve the discrepancies by either modifying the program or its implementation to conform to approved licensing basis documents or obtain approval for amendments to its licensing basis documents as necessary.</w:t>
      </w:r>
    </w:p>
    <w:p w:rsidR="009236D5" w:rsidRPr="001264D7" w:rsidRDefault="009236D5" w:rsidP="00710A62">
      <w:pPr>
        <w:spacing w:line="240" w:lineRule="auto"/>
      </w:pPr>
    </w:p>
    <w:p w:rsidR="009236D5" w:rsidRPr="001264D7" w:rsidRDefault="005413B0" w:rsidP="00710A62">
      <w:pPr>
        <w:spacing w:line="240" w:lineRule="auto"/>
      </w:pPr>
      <w:r w:rsidRPr="001264D7">
        <w:t xml:space="preserve">Due to the performance-based nature of the maintenance rule, all </w:t>
      </w:r>
      <w:r w:rsidR="005A66A2">
        <w:t xml:space="preserve">potential </w:t>
      </w:r>
      <w:r w:rsidRPr="001264D7">
        <w:t xml:space="preserve">violations should be carefully evaluated to ensure </w:t>
      </w:r>
      <w:r w:rsidR="000D1226" w:rsidRPr="001264D7">
        <w:t>that they are dispositioned correctly</w:t>
      </w:r>
      <w:r w:rsidRPr="001264D7">
        <w:t xml:space="preserve">.  Specific guidance about </w:t>
      </w:r>
      <w:r w:rsidR="005056E7" w:rsidRPr="001264D7">
        <w:t xml:space="preserve">actions involving the </w:t>
      </w:r>
      <w:r w:rsidRPr="001264D7">
        <w:t>maintenance rule is available in Section 7.</w:t>
      </w:r>
      <w:r w:rsidR="005056E7" w:rsidRPr="001264D7">
        <w:t>1</w:t>
      </w:r>
      <w:r w:rsidRPr="001264D7">
        <w:t>1</w:t>
      </w:r>
      <w:r w:rsidR="009A0C99" w:rsidRPr="001264D7">
        <w:t xml:space="preserve"> </w:t>
      </w:r>
      <w:r w:rsidRPr="001264D7">
        <w:t xml:space="preserve">of the </w:t>
      </w:r>
      <w:r w:rsidR="00E1579B" w:rsidRPr="001264D7">
        <w:t xml:space="preserve">U.S. NRC </w:t>
      </w:r>
      <w:r w:rsidRPr="001264D7">
        <w:t>Enforcement Manual</w:t>
      </w:r>
      <w:r w:rsidR="00D432F1" w:rsidRPr="001264D7">
        <w:t xml:space="preserve"> and </w:t>
      </w:r>
      <w:r w:rsidR="007D6316">
        <w:t xml:space="preserve">Inspection </w:t>
      </w:r>
      <w:r w:rsidR="00D432F1" w:rsidRPr="001264D7">
        <w:t>Manual Chapter</w:t>
      </w:r>
      <w:r w:rsidR="005B130D">
        <w:t>s (IMC) 0613</w:t>
      </w:r>
      <w:r w:rsidR="007D6316">
        <w:t xml:space="preserve">, </w:t>
      </w:r>
      <w:r w:rsidR="007D6316" w:rsidRPr="007D6316">
        <w:t>Power Reactor Construction Inspection Reports</w:t>
      </w:r>
      <w:r w:rsidRPr="001264D7">
        <w:t>.</w:t>
      </w:r>
    </w:p>
    <w:p w:rsidR="00921EBE" w:rsidRPr="001264D7" w:rsidRDefault="00921EBE" w:rsidP="00710A62">
      <w:pPr>
        <w:spacing w:line="240" w:lineRule="auto"/>
      </w:pPr>
    </w:p>
    <w:p w:rsidR="00921EBE" w:rsidRPr="001264D7" w:rsidRDefault="00921EBE" w:rsidP="00710A62">
      <w:pPr>
        <w:spacing w:line="240" w:lineRule="auto"/>
      </w:pPr>
      <w:r w:rsidRPr="001264D7">
        <w:t xml:space="preserve">Once a plant is operational, the implementation of the MR will be inspected </w:t>
      </w:r>
      <w:r w:rsidR="00093CDE">
        <w:t>using inspection procedures IP</w:t>
      </w:r>
      <w:r w:rsidRPr="001264D7">
        <w:t xml:space="preserve"> 62706, IP 71111.12, and IP 71111.13.</w:t>
      </w:r>
    </w:p>
    <w:p w:rsidR="006A50CB" w:rsidRPr="001264D7" w:rsidRDefault="006A50CB" w:rsidP="00710A62">
      <w:pPr>
        <w:spacing w:line="240" w:lineRule="auto"/>
      </w:pPr>
    </w:p>
    <w:p w:rsidR="00B24AD1" w:rsidRPr="001264D7" w:rsidRDefault="00E84F2B" w:rsidP="00710A62">
      <w:pPr>
        <w:spacing w:line="240" w:lineRule="auto"/>
      </w:pPr>
      <w:r w:rsidRPr="001264D7">
        <w:t>02.02</w:t>
      </w:r>
      <w:r w:rsidR="00B24AD1" w:rsidRPr="001264D7">
        <w:tab/>
        <w:t xml:space="preserve"> </w:t>
      </w:r>
      <w:r w:rsidR="007B7DB4" w:rsidRPr="001264D7">
        <w:rPr>
          <w:u w:val="single"/>
        </w:rPr>
        <w:t xml:space="preserve">Review the licensee’s MR scoping procedure and independently </w:t>
      </w:r>
      <w:proofErr w:type="gramStart"/>
      <w:r w:rsidR="006A50CB" w:rsidRPr="001264D7">
        <w:rPr>
          <w:u w:val="single"/>
        </w:rPr>
        <w:t>verify</w:t>
      </w:r>
      <w:proofErr w:type="gramEnd"/>
      <w:r w:rsidR="006A50CB" w:rsidRPr="001264D7">
        <w:rPr>
          <w:u w:val="single"/>
        </w:rPr>
        <w:t xml:space="preserve"> that the</w:t>
      </w:r>
      <w:r w:rsidRPr="001264D7">
        <w:rPr>
          <w:u w:val="single"/>
        </w:rPr>
        <w:t xml:space="preserve"> structures, systems, and components (</w:t>
      </w:r>
      <w:r w:rsidR="006A50CB" w:rsidRPr="001264D7">
        <w:rPr>
          <w:u w:val="single"/>
        </w:rPr>
        <w:t>SSCs</w:t>
      </w:r>
      <w:r w:rsidRPr="001264D7">
        <w:rPr>
          <w:u w:val="single"/>
        </w:rPr>
        <w:t>)</w:t>
      </w:r>
      <w:r w:rsidR="006A50CB" w:rsidRPr="001264D7">
        <w:rPr>
          <w:u w:val="single"/>
        </w:rPr>
        <w:t xml:space="preserve"> within the scope of the MR program include safety-related SSCs and certain nonsafety-related SSCs.</w:t>
      </w:r>
      <w:r w:rsidR="00B24AD1" w:rsidRPr="001264D7">
        <w:t xml:space="preserve">  </w:t>
      </w:r>
    </w:p>
    <w:p w:rsidR="00B24AD1" w:rsidRDefault="00B24AD1" w:rsidP="00710A62">
      <w:pPr>
        <w:spacing w:line="240" w:lineRule="auto"/>
      </w:pPr>
    </w:p>
    <w:p w:rsidR="00C52988" w:rsidRDefault="00C52988" w:rsidP="00710A62">
      <w:pPr>
        <w:spacing w:line="240" w:lineRule="auto"/>
      </w:pPr>
      <w:r>
        <w:t xml:space="preserve">Note: </w:t>
      </w:r>
      <w:r w:rsidR="004D6F05">
        <w:t xml:space="preserve"> </w:t>
      </w:r>
      <w:r>
        <w:t xml:space="preserve">This inspection requirement is on a sampling basis.  The sample size is to be determined based on the number of inspectors and </w:t>
      </w:r>
      <w:r w:rsidR="00277961">
        <w:t xml:space="preserve">duration of the inspection. </w:t>
      </w:r>
    </w:p>
    <w:p w:rsidR="00C52988" w:rsidRDefault="00C52988" w:rsidP="00710A62">
      <w:pPr>
        <w:spacing w:line="240" w:lineRule="auto"/>
      </w:pPr>
    </w:p>
    <w:p w:rsidR="006A50CB" w:rsidRPr="001264D7" w:rsidRDefault="00B24AD1" w:rsidP="00710A62">
      <w:pPr>
        <w:pStyle w:val="ListParagraph"/>
        <w:numPr>
          <w:ilvl w:val="0"/>
          <w:numId w:val="4"/>
        </w:numPr>
        <w:spacing w:line="240" w:lineRule="auto"/>
      </w:pPr>
      <w:r w:rsidRPr="001264D7">
        <w:t xml:space="preserve">Confirm that the scoping procedure </w:t>
      </w:r>
      <w:r w:rsidR="006A50CB" w:rsidRPr="001264D7">
        <w:t>address</w:t>
      </w:r>
      <w:r w:rsidRPr="001264D7">
        <w:t>es</w:t>
      </w:r>
      <w:r w:rsidR="006A50CB" w:rsidRPr="001264D7">
        <w:t>:</w:t>
      </w:r>
    </w:p>
    <w:p w:rsidR="006A50CB" w:rsidRPr="001264D7" w:rsidRDefault="006A50CB" w:rsidP="00710A62">
      <w:pPr>
        <w:spacing w:line="240" w:lineRule="auto"/>
      </w:pPr>
    </w:p>
    <w:p w:rsidR="006A50CB" w:rsidRPr="001264D7" w:rsidRDefault="000D1226" w:rsidP="00710A62">
      <w:pPr>
        <w:pStyle w:val="ListParagraph"/>
        <w:numPr>
          <w:ilvl w:val="0"/>
          <w:numId w:val="1"/>
        </w:numPr>
        <w:spacing w:line="240" w:lineRule="auto"/>
      </w:pPr>
      <w:r w:rsidRPr="001264D7">
        <w:t>Safety-related S</w:t>
      </w:r>
      <w:r w:rsidR="006A50CB" w:rsidRPr="001264D7">
        <w:t>SCs.</w:t>
      </w:r>
    </w:p>
    <w:p w:rsidR="006A50CB" w:rsidRPr="001264D7" w:rsidRDefault="006A50CB" w:rsidP="00710A62">
      <w:pPr>
        <w:pStyle w:val="ListParagraph"/>
        <w:numPr>
          <w:ilvl w:val="0"/>
          <w:numId w:val="1"/>
        </w:numPr>
        <w:spacing w:line="240" w:lineRule="auto"/>
      </w:pPr>
      <w:r w:rsidRPr="001264D7">
        <w:t>Nonsafety-related SSCs that mitigate accidents or transients.</w:t>
      </w:r>
    </w:p>
    <w:p w:rsidR="006A50CB" w:rsidRPr="001264D7" w:rsidRDefault="006A50CB" w:rsidP="00710A62">
      <w:pPr>
        <w:pStyle w:val="ListParagraph"/>
        <w:numPr>
          <w:ilvl w:val="0"/>
          <w:numId w:val="1"/>
        </w:numPr>
        <w:spacing w:line="240" w:lineRule="auto"/>
      </w:pPr>
      <w:r w:rsidRPr="001264D7">
        <w:t>Nonsafety-related SSCs that are used in Emergency Operating Procedures</w:t>
      </w:r>
      <w:r w:rsidR="00E84F2B" w:rsidRPr="001264D7">
        <w:t xml:space="preserve"> (EOPs)</w:t>
      </w:r>
      <w:r w:rsidRPr="001264D7">
        <w:t xml:space="preserve">, where ‘used’ means directly used to mitigate the accident or transient via explicit reference in the EOP or used in steps of procedures referenced by the EOP. Additionally, SSCs explicitly referenced in back-up or lower-tier methods in the EOPs and provide reasonable assurance of mitigation success, or whose use is implied in an EOP and essential to the completion of an EOP step, are considered within scope of the </w:t>
      </w:r>
      <w:r w:rsidR="00E84F2B" w:rsidRPr="001264D7">
        <w:t>MR.</w:t>
      </w:r>
    </w:p>
    <w:p w:rsidR="006A50CB" w:rsidRPr="001264D7" w:rsidRDefault="006A50CB" w:rsidP="00710A62">
      <w:pPr>
        <w:pStyle w:val="ListParagraph"/>
        <w:numPr>
          <w:ilvl w:val="0"/>
          <w:numId w:val="1"/>
        </w:numPr>
        <w:spacing w:line="240" w:lineRule="auto"/>
      </w:pPr>
      <w:r w:rsidRPr="001264D7">
        <w:t>Nonsafety-related SSCs whose failure</w:t>
      </w:r>
      <w:r w:rsidR="007B7DB4" w:rsidRPr="001264D7">
        <w:t xml:space="preserve"> would prevent</w:t>
      </w:r>
      <w:r w:rsidRPr="001264D7">
        <w:t xml:space="preserve"> safety-related SSCs from fulfilling their safety-related functions.</w:t>
      </w:r>
    </w:p>
    <w:p w:rsidR="006A50CB" w:rsidRPr="001264D7" w:rsidRDefault="006A50CB" w:rsidP="00710A62">
      <w:pPr>
        <w:pStyle w:val="ListParagraph"/>
        <w:numPr>
          <w:ilvl w:val="0"/>
          <w:numId w:val="1"/>
        </w:numPr>
        <w:spacing w:line="240" w:lineRule="auto"/>
      </w:pPr>
      <w:r w:rsidRPr="001264D7">
        <w:t xml:space="preserve">Nonsafety-related SSCs whose failure </w:t>
      </w:r>
      <w:r w:rsidR="007B7DB4" w:rsidRPr="001264D7">
        <w:t>would cause a scram or actuate</w:t>
      </w:r>
      <w:r w:rsidRPr="001264D7">
        <w:t xml:space="preserve"> safety systems.</w:t>
      </w:r>
    </w:p>
    <w:p w:rsidR="006A50CB" w:rsidRPr="001264D7" w:rsidRDefault="006A50CB" w:rsidP="00710A62">
      <w:pPr>
        <w:spacing w:line="240" w:lineRule="auto"/>
      </w:pPr>
    </w:p>
    <w:p w:rsidR="006A50CB" w:rsidRPr="001264D7" w:rsidRDefault="006A50CB" w:rsidP="00710A62">
      <w:pPr>
        <w:pStyle w:val="ListParagraph"/>
        <w:numPr>
          <w:ilvl w:val="0"/>
          <w:numId w:val="4"/>
        </w:numPr>
        <w:spacing w:line="240" w:lineRule="auto"/>
      </w:pPr>
      <w:r w:rsidRPr="001264D7">
        <w:t>Independently verify that the SSCs within the scope of the MR program are evaluated against performance criteria to determine which SSCs will have goals established and monitoring activities performed in accordance with 10 CFR 50.65(a)(1).</w:t>
      </w:r>
    </w:p>
    <w:p w:rsidR="006A50CB" w:rsidRPr="001264D7" w:rsidRDefault="006A50CB" w:rsidP="00710A62">
      <w:pPr>
        <w:spacing w:line="240" w:lineRule="auto"/>
      </w:pPr>
    </w:p>
    <w:p w:rsidR="00B225D8" w:rsidRDefault="006A50CB" w:rsidP="00710A62">
      <w:pPr>
        <w:pStyle w:val="ListParagraph"/>
        <w:numPr>
          <w:ilvl w:val="0"/>
          <w:numId w:val="4"/>
        </w:numPr>
        <w:spacing w:line="240" w:lineRule="auto"/>
        <w:sectPr w:rsidR="00B225D8" w:rsidSect="00F3477D">
          <w:pgSz w:w="12240" w:h="15840"/>
          <w:pgMar w:top="1440" w:right="1440" w:bottom="1440" w:left="1440" w:header="1440" w:footer="1440" w:gutter="0"/>
          <w:cols w:space="720"/>
          <w:docGrid w:linePitch="360"/>
        </w:sectPr>
      </w:pPr>
      <w:r w:rsidRPr="001264D7">
        <w:t>Confirm that safety significance classifications and bases of in-scope SSCs, e.g., high safety significance (HSS) o</w:t>
      </w:r>
      <w:r w:rsidR="007B7DB4" w:rsidRPr="001264D7">
        <w:t>r low safety significance (LSS)</w:t>
      </w:r>
      <w:r w:rsidRPr="001264D7">
        <w:t xml:space="preserve"> are determined using processes consistent with Section 9.3.1 of NUMARC 93-01</w:t>
      </w:r>
      <w:r w:rsidR="007B7DB4" w:rsidRPr="001264D7">
        <w:t xml:space="preserve"> or another NRC-approved </w:t>
      </w:r>
    </w:p>
    <w:p w:rsidR="006A50CB" w:rsidRPr="001264D7" w:rsidRDefault="007B7DB4" w:rsidP="00B225D8">
      <w:pPr>
        <w:pStyle w:val="ListParagraph"/>
        <w:spacing w:line="240" w:lineRule="auto"/>
      </w:pPr>
      <w:proofErr w:type="gramStart"/>
      <w:r w:rsidRPr="001264D7">
        <w:lastRenderedPageBreak/>
        <w:t>methodology</w:t>
      </w:r>
      <w:proofErr w:type="gramEnd"/>
      <w:r w:rsidR="006A50CB" w:rsidRPr="001264D7">
        <w:t xml:space="preserve">. </w:t>
      </w:r>
      <w:r w:rsidR="00FB7900" w:rsidRPr="001264D7">
        <w:t xml:space="preserve"> </w:t>
      </w:r>
      <w:r w:rsidR="006F2397" w:rsidRPr="001264D7">
        <w:t xml:space="preserve">This </w:t>
      </w:r>
      <w:r w:rsidR="006A50CB" w:rsidRPr="001264D7">
        <w:t xml:space="preserve">should include determination of risk significance criteria and appropriate consideration of operating experience, generic failure data, component reliability information, probabilistic risk assessment (PRA) </w:t>
      </w:r>
      <w:r w:rsidR="00CE57C2">
        <w:t xml:space="preserve">results and </w:t>
      </w:r>
      <w:r w:rsidR="006A50CB" w:rsidRPr="001264D7">
        <w:t>insights</w:t>
      </w:r>
      <w:r w:rsidR="00F02CE8" w:rsidRPr="00F02CE8">
        <w:t xml:space="preserve"> </w:t>
      </w:r>
      <w:r w:rsidR="00F02CE8">
        <w:t xml:space="preserve">that </w:t>
      </w:r>
      <w:r w:rsidR="00F02CE8" w:rsidRPr="00F02CE8">
        <w:t xml:space="preserve">cover the initiating events and modes of operation of the PRA required </w:t>
      </w:r>
      <w:proofErr w:type="gramStart"/>
      <w:r w:rsidR="00F02CE8" w:rsidRPr="00F02CE8">
        <w:t>under</w:t>
      </w:r>
      <w:proofErr w:type="gramEnd"/>
      <w:r w:rsidR="00F02CE8" w:rsidRPr="00F02CE8">
        <w:t xml:space="preserve"> 10 CFR 50.71(h)</w:t>
      </w:r>
      <w:r w:rsidR="006A50CB" w:rsidRPr="001264D7">
        <w:t>, and the recommendations of an expert panel.</w:t>
      </w:r>
    </w:p>
    <w:p w:rsidR="006A50CB" w:rsidRPr="001264D7" w:rsidRDefault="006A50CB" w:rsidP="00710A62">
      <w:pPr>
        <w:spacing w:line="240" w:lineRule="auto"/>
      </w:pPr>
    </w:p>
    <w:p w:rsidR="006A50CB" w:rsidRPr="001264D7" w:rsidRDefault="006A50CB" w:rsidP="00710A62">
      <w:pPr>
        <w:pStyle w:val="ListParagraph"/>
        <w:numPr>
          <w:ilvl w:val="0"/>
          <w:numId w:val="4"/>
        </w:numPr>
        <w:spacing w:line="240" w:lineRule="auto"/>
      </w:pPr>
      <w:r w:rsidRPr="001264D7">
        <w:t xml:space="preserve">Independently verify that all SSCs </w:t>
      </w:r>
      <w:r w:rsidR="007E2459">
        <w:t>within the scope of</w:t>
      </w:r>
      <w:r w:rsidRPr="001264D7">
        <w:t xml:space="preserve"> the Reliability Assurance Program </w:t>
      </w:r>
      <w:r w:rsidR="007E2459">
        <w:t xml:space="preserve">(RAP) </w:t>
      </w:r>
      <w:r w:rsidRPr="001264D7">
        <w:t>are included within the</w:t>
      </w:r>
      <w:r w:rsidR="0095786C">
        <w:t xml:space="preserve"> initial</w:t>
      </w:r>
      <w:r w:rsidRPr="001264D7">
        <w:t xml:space="preserve"> MR scope </w:t>
      </w:r>
      <w:r w:rsidR="00D82A4E">
        <w:t xml:space="preserve">and are scoped in </w:t>
      </w:r>
      <w:r w:rsidRPr="001264D7">
        <w:t>as HSS SSCs.</w:t>
      </w:r>
    </w:p>
    <w:p w:rsidR="006A50CB" w:rsidRPr="001264D7" w:rsidRDefault="006A50CB" w:rsidP="00710A62">
      <w:pPr>
        <w:spacing w:line="240" w:lineRule="auto"/>
      </w:pPr>
    </w:p>
    <w:p w:rsidR="006A50CB" w:rsidRPr="001264D7" w:rsidRDefault="006A50CB" w:rsidP="00710A62">
      <w:pPr>
        <w:pStyle w:val="ListParagraph"/>
        <w:numPr>
          <w:ilvl w:val="0"/>
          <w:numId w:val="4"/>
        </w:numPr>
        <w:spacing w:line="240" w:lineRule="auto"/>
      </w:pPr>
      <w:r w:rsidRPr="001264D7">
        <w:t>Independently verify that</w:t>
      </w:r>
      <w:r w:rsidR="00D82A4E">
        <w:t xml:space="preserve"> </w:t>
      </w:r>
      <w:r w:rsidRPr="001264D7">
        <w:t xml:space="preserve">an expert panel </w:t>
      </w:r>
      <w:r w:rsidR="00D82A4E">
        <w:t xml:space="preserve">was </w:t>
      </w:r>
      <w:r w:rsidRPr="001264D7">
        <w:t>established</w:t>
      </w:r>
      <w:r w:rsidR="00D82A4E">
        <w:t xml:space="preserve"> prior to fuel load and</w:t>
      </w:r>
      <w:r w:rsidRPr="001264D7">
        <w:t xml:space="preserve"> in accordance with NUMARC 93-01 </w:t>
      </w:r>
      <w:r w:rsidR="006F2397" w:rsidRPr="001264D7">
        <w:t>that</w:t>
      </w:r>
      <w:r w:rsidRPr="001264D7">
        <w:t xml:space="preserve"> utilizes operating, maintenance and systems expertise, PRA insights, and other applicable information to update and maintain the MR scope and SSC classifications.</w:t>
      </w:r>
    </w:p>
    <w:p w:rsidR="002D7C2C" w:rsidRPr="001264D7" w:rsidRDefault="002D7C2C" w:rsidP="00710A62">
      <w:pPr>
        <w:pStyle w:val="ListParagraph"/>
        <w:spacing w:line="240" w:lineRule="auto"/>
      </w:pPr>
    </w:p>
    <w:p w:rsidR="002D7C2C" w:rsidRPr="001264D7" w:rsidRDefault="002D7C2C" w:rsidP="00710A62">
      <w:pPr>
        <w:spacing w:line="240" w:lineRule="auto"/>
        <w:ind w:left="720"/>
      </w:pPr>
      <w:r w:rsidRPr="001264D7">
        <w:t xml:space="preserve">As part of the inspection, if possible, witness the expert panel engaged in their various responsibilities in the MR program. </w:t>
      </w:r>
      <w:r w:rsidR="00AE340F" w:rsidRPr="001264D7">
        <w:t xml:space="preserve"> If the expert panel is not engaged in MR </w:t>
      </w:r>
      <w:r w:rsidR="009A6449" w:rsidRPr="001264D7">
        <w:t>activ</w:t>
      </w:r>
      <w:r w:rsidR="009A6449">
        <w:t>ities</w:t>
      </w:r>
      <w:r w:rsidR="009A6449" w:rsidRPr="001264D7">
        <w:t xml:space="preserve"> </w:t>
      </w:r>
      <w:r w:rsidR="00AE340F" w:rsidRPr="001264D7">
        <w:t>at the time of this inspection, review meeting minutes from several expert panel meeting</w:t>
      </w:r>
      <w:r w:rsidR="00C16C6E">
        <w:t>s</w:t>
      </w:r>
      <w:r w:rsidR="00AE340F" w:rsidRPr="001264D7">
        <w:t xml:space="preserve">. </w:t>
      </w:r>
    </w:p>
    <w:p w:rsidR="006A50CB" w:rsidRPr="001264D7" w:rsidRDefault="006A50CB" w:rsidP="00710A62">
      <w:pPr>
        <w:spacing w:line="240" w:lineRule="auto"/>
      </w:pPr>
    </w:p>
    <w:p w:rsidR="006A50CB" w:rsidRPr="001264D7" w:rsidRDefault="00B24AD1" w:rsidP="00710A62">
      <w:pPr>
        <w:spacing w:line="240" w:lineRule="auto"/>
        <w:rPr>
          <w:u w:val="single"/>
        </w:rPr>
      </w:pPr>
      <w:r w:rsidRPr="001264D7">
        <w:t xml:space="preserve">02.03 </w:t>
      </w:r>
      <w:r w:rsidR="00F4019E" w:rsidRPr="001264D7">
        <w:rPr>
          <w:u w:val="single"/>
        </w:rPr>
        <w:t>Evaluate</w:t>
      </w:r>
      <w:r w:rsidRPr="001264D7">
        <w:rPr>
          <w:u w:val="single"/>
        </w:rPr>
        <w:t xml:space="preserve"> Licensee’s Plan for </w:t>
      </w:r>
      <w:r w:rsidR="006A50CB" w:rsidRPr="001264D7">
        <w:rPr>
          <w:u w:val="single"/>
        </w:rPr>
        <w:t xml:space="preserve">Monitoring and </w:t>
      </w:r>
      <w:r w:rsidRPr="001264D7">
        <w:rPr>
          <w:u w:val="single"/>
        </w:rPr>
        <w:t>C</w:t>
      </w:r>
      <w:r w:rsidR="006A50CB" w:rsidRPr="001264D7">
        <w:rPr>
          <w:u w:val="single"/>
        </w:rPr>
        <w:t xml:space="preserve">orrective </w:t>
      </w:r>
      <w:r w:rsidR="004155C1" w:rsidRPr="001264D7">
        <w:rPr>
          <w:u w:val="single"/>
        </w:rPr>
        <w:t>A</w:t>
      </w:r>
      <w:r w:rsidR="006A50CB" w:rsidRPr="001264D7">
        <w:rPr>
          <w:u w:val="single"/>
        </w:rPr>
        <w:t>ction per 10 CFR 50.65(a</w:t>
      </w:r>
      <w:proofErr w:type="gramStart"/>
      <w:r w:rsidR="006A50CB" w:rsidRPr="001264D7">
        <w:rPr>
          <w:u w:val="single"/>
        </w:rPr>
        <w:t>)(</w:t>
      </w:r>
      <w:proofErr w:type="gramEnd"/>
      <w:r w:rsidR="006A50CB" w:rsidRPr="001264D7">
        <w:rPr>
          <w:u w:val="single"/>
        </w:rPr>
        <w:t>1)</w:t>
      </w:r>
    </w:p>
    <w:p w:rsidR="00EC620C" w:rsidRPr="001264D7" w:rsidRDefault="00EC620C" w:rsidP="00710A62">
      <w:pPr>
        <w:spacing w:line="240" w:lineRule="auto"/>
      </w:pPr>
    </w:p>
    <w:p w:rsidR="006A50CB" w:rsidRPr="001264D7" w:rsidRDefault="00B24AD1" w:rsidP="00710A62">
      <w:pPr>
        <w:spacing w:line="240" w:lineRule="auto"/>
        <w:ind w:left="720"/>
      </w:pPr>
      <w:r w:rsidRPr="001264D7">
        <w:t>Note:</w:t>
      </w:r>
      <w:r w:rsidR="00093CDE">
        <w:t xml:space="preserve"> </w:t>
      </w:r>
      <w:r w:rsidRPr="001264D7">
        <w:t xml:space="preserve"> </w:t>
      </w:r>
      <w:r w:rsidR="006A50CB" w:rsidRPr="001264D7">
        <w:t>SSC</w:t>
      </w:r>
      <w:r w:rsidR="00086BFC" w:rsidRPr="001264D7">
        <w:t>s within the scope of the MR may be initially classified as (a)</w:t>
      </w:r>
      <w:r w:rsidR="006A50CB" w:rsidRPr="001264D7">
        <w:t>(2)</w:t>
      </w:r>
      <w:r w:rsidR="00EC620C" w:rsidRPr="001264D7">
        <w:t xml:space="preserve"> </w:t>
      </w:r>
      <w:r w:rsidR="006A50CB" w:rsidRPr="001264D7">
        <w:t>except where it is determined that an SSC should be initially classified as (a)(1), e.g., an</w:t>
      </w:r>
      <w:r w:rsidR="00EC620C" w:rsidRPr="001264D7">
        <w:t xml:space="preserve"> </w:t>
      </w:r>
      <w:r w:rsidR="006A50CB" w:rsidRPr="001264D7">
        <w:t>SSC that fails during start-up testing</w:t>
      </w:r>
      <w:r w:rsidR="00277961">
        <w:t>, if determined to be maintenance related</w:t>
      </w:r>
      <w:r w:rsidR="006A50CB" w:rsidRPr="001264D7">
        <w:t>.</w:t>
      </w:r>
      <w:r w:rsidR="00086BFC" w:rsidRPr="001264D7">
        <w:t xml:space="preserve">  Alth</w:t>
      </w:r>
      <w:r w:rsidRPr="001264D7">
        <w:t>ough it is expected that all in-</w:t>
      </w:r>
      <w:r w:rsidR="00086BFC" w:rsidRPr="001264D7">
        <w:t>scope SSCs will be classified as (a)(2) during this inspection, confirm that the licensee has controls in place that provide guidance about when to place an SSC into (a)(1) and clearly define appropriate corrective actions.</w:t>
      </w:r>
    </w:p>
    <w:p w:rsidR="00EC620C" w:rsidRPr="001264D7" w:rsidRDefault="00EC620C" w:rsidP="00710A62">
      <w:pPr>
        <w:spacing w:line="240" w:lineRule="auto"/>
      </w:pPr>
    </w:p>
    <w:p w:rsidR="00B24AD1" w:rsidRPr="001264D7" w:rsidRDefault="00EC620C" w:rsidP="00710A62">
      <w:pPr>
        <w:pStyle w:val="ListParagraph"/>
        <w:numPr>
          <w:ilvl w:val="0"/>
          <w:numId w:val="5"/>
        </w:numPr>
        <w:spacing w:line="240" w:lineRule="auto"/>
      </w:pPr>
      <w:r w:rsidRPr="001264D7">
        <w:t xml:space="preserve">Independently verify that </w:t>
      </w:r>
      <w:r w:rsidR="00086BFC" w:rsidRPr="001264D7">
        <w:t xml:space="preserve">procedures are in place that call for </w:t>
      </w:r>
      <w:r w:rsidR="006A50CB" w:rsidRPr="001264D7">
        <w:t xml:space="preserve">MR expert panel reviews </w:t>
      </w:r>
      <w:r w:rsidR="00086BFC" w:rsidRPr="001264D7">
        <w:t xml:space="preserve">to determine </w:t>
      </w:r>
      <w:r w:rsidR="006A50CB" w:rsidRPr="001264D7">
        <w:t>whether SSCs</w:t>
      </w:r>
      <w:r w:rsidRPr="001264D7">
        <w:t xml:space="preserve"> are to be classified as (a</w:t>
      </w:r>
      <w:proofErr w:type="gramStart"/>
      <w:r w:rsidRPr="001264D7">
        <w:t>)(</w:t>
      </w:r>
      <w:proofErr w:type="gramEnd"/>
      <w:r w:rsidRPr="001264D7">
        <w:t>1)</w:t>
      </w:r>
      <w:r w:rsidR="00B24AD1" w:rsidRPr="001264D7">
        <w:t>.</w:t>
      </w:r>
    </w:p>
    <w:p w:rsidR="00B24AD1" w:rsidRPr="001264D7" w:rsidRDefault="00B24AD1" w:rsidP="00710A62">
      <w:pPr>
        <w:pStyle w:val="ListParagraph"/>
        <w:spacing w:line="240" w:lineRule="auto"/>
      </w:pPr>
    </w:p>
    <w:p w:rsidR="004155C1" w:rsidRPr="001264D7" w:rsidRDefault="00B24AD1" w:rsidP="00710A62">
      <w:pPr>
        <w:pStyle w:val="ListParagraph"/>
        <w:numPr>
          <w:ilvl w:val="0"/>
          <w:numId w:val="5"/>
        </w:numPr>
        <w:autoSpaceDE w:val="0"/>
        <w:autoSpaceDN w:val="0"/>
        <w:adjustRightInd w:val="0"/>
        <w:spacing w:line="240" w:lineRule="auto"/>
      </w:pPr>
      <w:r w:rsidRPr="001264D7">
        <w:t xml:space="preserve">Independently verify </w:t>
      </w:r>
      <w:r w:rsidR="00EC620C" w:rsidRPr="001264D7">
        <w:t xml:space="preserve">that </w:t>
      </w:r>
      <w:r w:rsidRPr="001264D7">
        <w:t xml:space="preserve">the </w:t>
      </w:r>
      <w:r w:rsidR="00EC620C" w:rsidRPr="001264D7">
        <w:t>m</w:t>
      </w:r>
      <w:r w:rsidR="006A50CB" w:rsidRPr="001264D7">
        <w:t>onitoring goals established</w:t>
      </w:r>
      <w:r w:rsidRPr="001264D7">
        <w:t xml:space="preserve"> for SSCs classified as (a</w:t>
      </w:r>
      <w:proofErr w:type="gramStart"/>
      <w:r w:rsidRPr="001264D7">
        <w:t>)(</w:t>
      </w:r>
      <w:proofErr w:type="gramEnd"/>
      <w:r w:rsidRPr="001264D7">
        <w:t>1) are</w:t>
      </w:r>
      <w:r w:rsidR="00EC620C" w:rsidRPr="001264D7">
        <w:t xml:space="preserve"> </w:t>
      </w:r>
      <w:r w:rsidRPr="001264D7">
        <w:t xml:space="preserve">commensurate with </w:t>
      </w:r>
      <w:r w:rsidR="006A50CB" w:rsidRPr="001264D7">
        <w:t>safe</w:t>
      </w:r>
      <w:r w:rsidRPr="001264D7">
        <w:t>ty significance and consider</w:t>
      </w:r>
      <w:r w:rsidR="006A50CB" w:rsidRPr="001264D7">
        <w:t xml:space="preserve"> industry</w:t>
      </w:r>
      <w:r w:rsidR="00EC620C" w:rsidRPr="001264D7">
        <w:t xml:space="preserve"> </w:t>
      </w:r>
      <w:r w:rsidRPr="001264D7">
        <w:t>operating experience</w:t>
      </w:r>
      <w:r w:rsidR="004155C1" w:rsidRPr="001264D7">
        <w:t xml:space="preserve"> with the objective of providing reasonable assurance that the SSC is proceeding to acceptable performance levels and that the corrective actions taken were effective.</w:t>
      </w:r>
    </w:p>
    <w:p w:rsidR="00EC620C" w:rsidRPr="001264D7" w:rsidRDefault="00EC620C" w:rsidP="00710A62">
      <w:pPr>
        <w:spacing w:line="240" w:lineRule="auto"/>
      </w:pPr>
    </w:p>
    <w:p w:rsidR="006A50CB" w:rsidRPr="001264D7" w:rsidRDefault="00E84F2B" w:rsidP="00710A62">
      <w:pPr>
        <w:spacing w:line="240" w:lineRule="auto"/>
        <w:rPr>
          <w:u w:val="single"/>
        </w:rPr>
      </w:pPr>
      <w:r w:rsidRPr="001264D7">
        <w:t>02.04</w:t>
      </w:r>
      <w:r w:rsidR="00B24AD1" w:rsidRPr="001264D7">
        <w:t xml:space="preserve"> </w:t>
      </w:r>
      <w:r w:rsidR="00F4019E" w:rsidRPr="001264D7">
        <w:rPr>
          <w:u w:val="single"/>
        </w:rPr>
        <w:t>Evaluate</w:t>
      </w:r>
      <w:r w:rsidR="00B24AD1" w:rsidRPr="001264D7">
        <w:rPr>
          <w:u w:val="single"/>
        </w:rPr>
        <w:t xml:space="preserve"> Licensee’s Plan for </w:t>
      </w:r>
      <w:r w:rsidR="006A50CB" w:rsidRPr="001264D7">
        <w:rPr>
          <w:u w:val="single"/>
        </w:rPr>
        <w:t xml:space="preserve">Preventive </w:t>
      </w:r>
      <w:r w:rsidR="00B24AD1" w:rsidRPr="001264D7">
        <w:rPr>
          <w:u w:val="single"/>
        </w:rPr>
        <w:t>M</w:t>
      </w:r>
      <w:r w:rsidR="006A50CB" w:rsidRPr="001264D7">
        <w:rPr>
          <w:u w:val="single"/>
        </w:rPr>
        <w:t>aintenance per 10 CFR 50.65(a</w:t>
      </w:r>
      <w:proofErr w:type="gramStart"/>
      <w:r w:rsidR="006A50CB" w:rsidRPr="001264D7">
        <w:rPr>
          <w:u w:val="single"/>
        </w:rPr>
        <w:t>)(</w:t>
      </w:r>
      <w:proofErr w:type="gramEnd"/>
      <w:r w:rsidR="006A50CB" w:rsidRPr="001264D7">
        <w:rPr>
          <w:u w:val="single"/>
        </w:rPr>
        <w:t>2)</w:t>
      </w:r>
    </w:p>
    <w:p w:rsidR="00EC620C" w:rsidRPr="001264D7" w:rsidRDefault="00EC620C" w:rsidP="00710A62">
      <w:pPr>
        <w:spacing w:line="240" w:lineRule="auto"/>
        <w:rPr>
          <w:b/>
        </w:rPr>
      </w:pPr>
    </w:p>
    <w:p w:rsidR="006A50CB" w:rsidRPr="001264D7" w:rsidRDefault="00EC620C" w:rsidP="00710A62">
      <w:pPr>
        <w:pStyle w:val="ListParagraph"/>
        <w:numPr>
          <w:ilvl w:val="0"/>
          <w:numId w:val="6"/>
        </w:numPr>
        <w:spacing w:line="240" w:lineRule="auto"/>
      </w:pPr>
      <w:r w:rsidRPr="001264D7">
        <w:t>Independently verify that t</w:t>
      </w:r>
      <w:r w:rsidR="006A50CB" w:rsidRPr="001264D7">
        <w:t>he</w:t>
      </w:r>
      <w:r w:rsidRPr="001264D7">
        <w:t xml:space="preserve"> licensee’s</w:t>
      </w:r>
      <w:r w:rsidR="006A50CB" w:rsidRPr="001264D7">
        <w:t xml:space="preserve"> MR program includes procedures for managing SSC performance in accordance with</w:t>
      </w:r>
      <w:r w:rsidRPr="001264D7">
        <w:t xml:space="preserve"> </w:t>
      </w:r>
      <w:r w:rsidR="006A50CB" w:rsidRPr="001264D7">
        <w:t>10 CFR 50.65(a</w:t>
      </w:r>
      <w:proofErr w:type="gramStart"/>
      <w:r w:rsidR="006A50CB" w:rsidRPr="001264D7">
        <w:t>)(</w:t>
      </w:r>
      <w:proofErr w:type="gramEnd"/>
      <w:r w:rsidR="006A50CB" w:rsidRPr="001264D7">
        <w:t>2) requirements during plant operation consistent with NUMARC 93-01.</w:t>
      </w:r>
    </w:p>
    <w:p w:rsidR="00EC620C" w:rsidRPr="001264D7" w:rsidRDefault="00EC620C" w:rsidP="00710A62">
      <w:pPr>
        <w:spacing w:line="240" w:lineRule="auto"/>
      </w:pPr>
    </w:p>
    <w:p w:rsidR="00B225D8" w:rsidRDefault="004E3F82" w:rsidP="00710A62">
      <w:pPr>
        <w:pStyle w:val="ListParagraph"/>
        <w:numPr>
          <w:ilvl w:val="0"/>
          <w:numId w:val="6"/>
        </w:numPr>
        <w:spacing w:line="240" w:lineRule="auto"/>
        <w:sectPr w:rsidR="00B225D8" w:rsidSect="00F3477D">
          <w:pgSz w:w="12240" w:h="15840"/>
          <w:pgMar w:top="1440" w:right="1440" w:bottom="1440" w:left="1440" w:header="1440" w:footer="1440" w:gutter="0"/>
          <w:cols w:space="720"/>
          <w:docGrid w:linePitch="360"/>
        </w:sectPr>
      </w:pPr>
      <w:r w:rsidRPr="001264D7">
        <w:t xml:space="preserve">Independently verify that </w:t>
      </w:r>
      <w:r w:rsidR="0012675D" w:rsidRPr="001264D7">
        <w:t xml:space="preserve">the effectiveness of maintenance performed on the various SSCs, </w:t>
      </w:r>
      <w:r w:rsidR="006A50CB" w:rsidRPr="001264D7">
        <w:t>performance criteria are established at the plant, system, train, or component level</w:t>
      </w:r>
      <w:r w:rsidRPr="001264D7">
        <w:t xml:space="preserve"> </w:t>
      </w:r>
      <w:r w:rsidR="006A50CB" w:rsidRPr="001264D7">
        <w:t>commensurate with safety, risk significance and SSC function.</w:t>
      </w:r>
      <w:r w:rsidR="0012675D" w:rsidRPr="001264D7">
        <w:t xml:space="preserve"> </w:t>
      </w:r>
      <w:r w:rsidR="006A50CB" w:rsidRPr="001264D7">
        <w:t xml:space="preserve"> SSC performance criteria</w:t>
      </w:r>
      <w:r w:rsidRPr="001264D7">
        <w:t xml:space="preserve"> </w:t>
      </w:r>
      <w:r w:rsidR="006A50CB" w:rsidRPr="001264D7">
        <w:t>(e.g., failure rate, unavailability or condition-based) are chosen that are reasonable,</w:t>
      </w:r>
      <w:r w:rsidRPr="001264D7">
        <w:t xml:space="preserve"> </w:t>
      </w:r>
      <w:r w:rsidR="006A50CB" w:rsidRPr="001264D7">
        <w:t>measurable, and technically appropriate for the purpose of timely identification of</w:t>
      </w:r>
      <w:r w:rsidRPr="001264D7">
        <w:t xml:space="preserve"> </w:t>
      </w:r>
      <w:r w:rsidR="006A50CB" w:rsidRPr="001264D7">
        <w:t xml:space="preserve">degraded SSC performance or condition. </w:t>
      </w:r>
    </w:p>
    <w:p w:rsidR="00710A62" w:rsidRDefault="00445745" w:rsidP="00710A62">
      <w:pPr>
        <w:pStyle w:val="ListParagraph"/>
        <w:numPr>
          <w:ilvl w:val="0"/>
          <w:numId w:val="6"/>
        </w:numPr>
        <w:spacing w:line="240" w:lineRule="auto"/>
      </w:pPr>
      <w:r w:rsidRPr="00DE7CFC">
        <w:lastRenderedPageBreak/>
        <w:t>For licensee’s that use PRA to develop their risk significant criteria, i</w:t>
      </w:r>
      <w:r w:rsidR="0012675D" w:rsidRPr="00DE7CFC">
        <w:t>ndependently verify that f</w:t>
      </w:r>
      <w:r w:rsidR="006A50CB" w:rsidRPr="00DE7CFC">
        <w:t>or</w:t>
      </w:r>
      <w:r w:rsidR="00730F5A" w:rsidRPr="00DE7CFC">
        <w:t xml:space="preserve"> </w:t>
      </w:r>
      <w:r w:rsidRPr="00DE7CFC">
        <w:t xml:space="preserve">RAP </w:t>
      </w:r>
      <w:r w:rsidR="00730F5A" w:rsidRPr="00DE7CFC">
        <w:t xml:space="preserve">SSCs within the scope of the </w:t>
      </w:r>
      <w:r w:rsidRPr="00DE7CFC">
        <w:t>maintenance rule</w:t>
      </w:r>
      <w:r w:rsidR="006A50CB" w:rsidRPr="00DE7CFC">
        <w:t>,</w:t>
      </w:r>
      <w:r w:rsidR="004E3F82" w:rsidRPr="00DE7CFC">
        <w:t xml:space="preserve"> performance criteria </w:t>
      </w:r>
      <w:r w:rsidR="00AE340F" w:rsidRPr="00DE7CFC">
        <w:t xml:space="preserve">are </w:t>
      </w:r>
      <w:r w:rsidR="006A50CB" w:rsidRPr="00DE7CFC">
        <w:t>consistent with the reliability and availability assumptions used in</w:t>
      </w:r>
      <w:r w:rsidR="004E3F82" w:rsidRPr="00DE7CFC">
        <w:t xml:space="preserve"> </w:t>
      </w:r>
      <w:r w:rsidR="006A50CB" w:rsidRPr="00DE7CFC">
        <w:t>the PRA.</w:t>
      </w:r>
    </w:p>
    <w:p w:rsidR="00B225D8" w:rsidRPr="001264D7" w:rsidRDefault="00B225D8" w:rsidP="00B225D8">
      <w:pPr>
        <w:pStyle w:val="ListParagraph"/>
        <w:spacing w:line="240" w:lineRule="auto"/>
      </w:pPr>
    </w:p>
    <w:p w:rsidR="006A50CB" w:rsidRPr="001264D7" w:rsidRDefault="004E3F82" w:rsidP="00710A62">
      <w:pPr>
        <w:pStyle w:val="ListParagraph"/>
        <w:numPr>
          <w:ilvl w:val="0"/>
          <w:numId w:val="6"/>
        </w:numPr>
        <w:spacing w:line="240" w:lineRule="auto"/>
      </w:pPr>
      <w:r w:rsidRPr="001264D7">
        <w:t>Confirm</w:t>
      </w:r>
      <w:r w:rsidR="00765637">
        <w:t xml:space="preserve"> </w:t>
      </w:r>
      <w:r w:rsidRPr="001264D7">
        <w:t>that w</w:t>
      </w:r>
      <w:r w:rsidR="006A50CB" w:rsidRPr="001264D7">
        <w:t>hen a</w:t>
      </w:r>
      <w:r w:rsidR="00E7369D">
        <w:t xml:space="preserve"> MR Program</w:t>
      </w:r>
      <w:r w:rsidR="006A50CB" w:rsidRPr="001264D7">
        <w:t xml:space="preserve"> performance criterion is not met, the SSC is evaluated for (a</w:t>
      </w:r>
      <w:proofErr w:type="gramStart"/>
      <w:r w:rsidR="006A50CB" w:rsidRPr="001264D7">
        <w:t>)(</w:t>
      </w:r>
      <w:proofErr w:type="gramEnd"/>
      <w:r w:rsidR="006A50CB" w:rsidRPr="001264D7">
        <w:t>1) classification in</w:t>
      </w:r>
      <w:r w:rsidRPr="001264D7">
        <w:t xml:space="preserve"> </w:t>
      </w:r>
      <w:r w:rsidR="006A50CB" w:rsidRPr="001264D7">
        <w:t>accordance with MR program proce</w:t>
      </w:r>
      <w:r w:rsidR="009236D5" w:rsidRPr="001264D7">
        <w:t>dures, including review by the expert p</w:t>
      </w:r>
      <w:r w:rsidR="006A50CB" w:rsidRPr="001264D7">
        <w:t xml:space="preserve">anel. </w:t>
      </w:r>
      <w:r w:rsidR="0012675D" w:rsidRPr="001264D7">
        <w:t xml:space="preserve"> </w:t>
      </w:r>
      <w:r w:rsidR="006A50CB" w:rsidRPr="001264D7">
        <w:t>Should</w:t>
      </w:r>
      <w:r w:rsidRPr="001264D7">
        <w:t xml:space="preserve"> </w:t>
      </w:r>
      <w:r w:rsidR="009236D5" w:rsidRPr="001264D7">
        <w:t>the expert p</w:t>
      </w:r>
      <w:r w:rsidR="006A50CB" w:rsidRPr="001264D7">
        <w:t>anel conclude that the SSC should not be classified as (a)(1), or that no (a)(1)</w:t>
      </w:r>
      <w:r w:rsidRPr="001264D7">
        <w:t xml:space="preserve"> </w:t>
      </w:r>
      <w:r w:rsidR="006A50CB" w:rsidRPr="001264D7">
        <w:t xml:space="preserve">monitoring goals need be established, </w:t>
      </w:r>
      <w:r w:rsidR="0020781F" w:rsidRPr="001264D7">
        <w:t xml:space="preserve">verify that </w:t>
      </w:r>
      <w:r w:rsidR="006A50CB" w:rsidRPr="001264D7">
        <w:t>a technical justification establishing the</w:t>
      </w:r>
      <w:r w:rsidRPr="001264D7">
        <w:t xml:space="preserve"> </w:t>
      </w:r>
      <w:r w:rsidR="006A50CB" w:rsidRPr="001264D7">
        <w:t>appropriateness of continued management of SSC performance under (a)(2) is</w:t>
      </w:r>
      <w:r w:rsidRPr="001264D7">
        <w:t xml:space="preserve"> </w:t>
      </w:r>
      <w:r w:rsidR="006A50CB" w:rsidRPr="001264D7">
        <w:t>documented and maintained.</w:t>
      </w:r>
    </w:p>
    <w:p w:rsidR="00573A1C" w:rsidRPr="001264D7" w:rsidRDefault="00573A1C" w:rsidP="00710A62">
      <w:pPr>
        <w:pStyle w:val="ListParagraph"/>
        <w:spacing w:line="240" w:lineRule="auto"/>
      </w:pPr>
    </w:p>
    <w:p w:rsidR="00573A1C" w:rsidRPr="001264D7" w:rsidRDefault="00573A1C" w:rsidP="00710A62">
      <w:pPr>
        <w:pStyle w:val="ListParagraph"/>
        <w:numPr>
          <w:ilvl w:val="0"/>
          <w:numId w:val="6"/>
        </w:numPr>
        <w:spacing w:line="240" w:lineRule="auto"/>
      </w:pPr>
      <w:r w:rsidRPr="001264D7">
        <w:t>Confirm the SSCs that provide little o</w:t>
      </w:r>
      <w:r w:rsidR="004021BA" w:rsidRPr="001264D7">
        <w:t>r</w:t>
      </w:r>
      <w:r w:rsidRPr="001264D7">
        <w:t xml:space="preserve"> n</w:t>
      </w:r>
      <w:r w:rsidR="004021BA" w:rsidRPr="001264D7">
        <w:t>o</w:t>
      </w:r>
      <w:r w:rsidRPr="001264D7">
        <w:t xml:space="preserve"> contribution to system safety function or can be allowed to run to failure </w:t>
      </w:r>
      <w:r w:rsidR="004021BA" w:rsidRPr="001264D7">
        <w:t>due</w:t>
      </w:r>
      <w:r w:rsidRPr="001264D7">
        <w:t xml:space="preserve"> to an acceptable risk are categorized in a “run-to-failure” status (i.e., perform corrective maintenance rather than preventive maintenance) </w:t>
      </w:r>
      <w:r w:rsidR="005F2334">
        <w:t xml:space="preserve">are </w:t>
      </w:r>
      <w:r w:rsidRPr="001264D7">
        <w:t xml:space="preserve">consistent with NUMARC 93-01. </w:t>
      </w:r>
    </w:p>
    <w:p w:rsidR="004E3F82" w:rsidRPr="001264D7" w:rsidRDefault="004E3F82" w:rsidP="00710A62">
      <w:pPr>
        <w:spacing w:line="240" w:lineRule="auto"/>
      </w:pPr>
    </w:p>
    <w:p w:rsidR="006A50CB" w:rsidRPr="001264D7" w:rsidRDefault="00E84F2B" w:rsidP="00710A62">
      <w:pPr>
        <w:spacing w:line="240" w:lineRule="auto"/>
      </w:pPr>
      <w:r w:rsidRPr="001264D7">
        <w:t>02.05</w:t>
      </w:r>
      <w:r w:rsidR="00F4019E" w:rsidRPr="001264D7">
        <w:t xml:space="preserve"> </w:t>
      </w:r>
      <w:r w:rsidR="00F4019E" w:rsidRPr="001264D7">
        <w:rPr>
          <w:u w:val="single"/>
        </w:rPr>
        <w:t xml:space="preserve">Review Licensee’s Plan for </w:t>
      </w:r>
      <w:r w:rsidR="006A50CB" w:rsidRPr="001264D7">
        <w:rPr>
          <w:u w:val="single"/>
        </w:rPr>
        <w:t xml:space="preserve">Periodic </w:t>
      </w:r>
      <w:r w:rsidR="00F4019E" w:rsidRPr="001264D7">
        <w:rPr>
          <w:u w:val="single"/>
        </w:rPr>
        <w:t>E</w:t>
      </w:r>
      <w:r w:rsidR="006A50CB" w:rsidRPr="001264D7">
        <w:rPr>
          <w:u w:val="single"/>
        </w:rPr>
        <w:t xml:space="preserve">valuation of </w:t>
      </w:r>
      <w:r w:rsidR="00F4019E" w:rsidRPr="001264D7">
        <w:rPr>
          <w:u w:val="single"/>
        </w:rPr>
        <w:t>M</w:t>
      </w:r>
      <w:r w:rsidR="006A50CB" w:rsidRPr="001264D7">
        <w:rPr>
          <w:u w:val="single"/>
        </w:rPr>
        <w:t xml:space="preserve">onitoring and </w:t>
      </w:r>
      <w:r w:rsidR="00F4019E" w:rsidRPr="001264D7">
        <w:rPr>
          <w:u w:val="single"/>
        </w:rPr>
        <w:t>Preventive M</w:t>
      </w:r>
      <w:r w:rsidR="006A50CB" w:rsidRPr="001264D7">
        <w:rPr>
          <w:u w:val="single"/>
        </w:rPr>
        <w:t>aintenance per 10</w:t>
      </w:r>
      <w:r w:rsidR="004E3F82" w:rsidRPr="001264D7">
        <w:rPr>
          <w:u w:val="single"/>
        </w:rPr>
        <w:t xml:space="preserve"> </w:t>
      </w:r>
      <w:r w:rsidR="006A50CB" w:rsidRPr="001264D7">
        <w:rPr>
          <w:u w:val="single"/>
        </w:rPr>
        <w:t>CFR 50.65(a)(3)</w:t>
      </w:r>
    </w:p>
    <w:p w:rsidR="004E3F82" w:rsidRPr="001264D7" w:rsidRDefault="004E3F82" w:rsidP="00710A62">
      <w:pPr>
        <w:spacing w:line="240" w:lineRule="auto"/>
        <w:rPr>
          <w:b/>
        </w:rPr>
      </w:pPr>
    </w:p>
    <w:p w:rsidR="006A50CB" w:rsidRPr="001264D7" w:rsidRDefault="004E3F82" w:rsidP="00710A62">
      <w:pPr>
        <w:pStyle w:val="ListParagraph"/>
        <w:numPr>
          <w:ilvl w:val="0"/>
          <w:numId w:val="7"/>
        </w:numPr>
        <w:spacing w:line="240" w:lineRule="auto"/>
      </w:pPr>
      <w:r w:rsidRPr="001264D7">
        <w:t>Independently verify that t</w:t>
      </w:r>
      <w:r w:rsidR="006A50CB" w:rsidRPr="001264D7">
        <w:t>he MR program includes procedures for the periodic evaluation of the performance and</w:t>
      </w:r>
      <w:r w:rsidRPr="001264D7">
        <w:t xml:space="preserve"> </w:t>
      </w:r>
      <w:r w:rsidR="006A50CB" w:rsidRPr="001264D7">
        <w:t>condition monitoring activities and associated goals and preventive maintenance</w:t>
      </w:r>
      <w:r w:rsidRPr="001264D7">
        <w:t xml:space="preserve"> </w:t>
      </w:r>
      <w:r w:rsidR="006A50CB" w:rsidRPr="001264D7">
        <w:t>activities in accordance with 50.65(a</w:t>
      </w:r>
      <w:proofErr w:type="gramStart"/>
      <w:r w:rsidR="006A50CB" w:rsidRPr="001264D7">
        <w:t>)(</w:t>
      </w:r>
      <w:proofErr w:type="gramEnd"/>
      <w:r w:rsidR="006A50CB" w:rsidRPr="001264D7">
        <w:t xml:space="preserve">3). </w:t>
      </w:r>
      <w:r w:rsidR="00573A1C" w:rsidRPr="001264D7">
        <w:t xml:space="preserve"> </w:t>
      </w:r>
      <w:r w:rsidR="006A50CB" w:rsidRPr="001264D7">
        <w:t xml:space="preserve">The </w:t>
      </w:r>
      <w:r w:rsidR="00F4019E" w:rsidRPr="001264D7">
        <w:t>licensee’s controlling documents should have clear guidance on:</w:t>
      </w:r>
    </w:p>
    <w:p w:rsidR="004E3F82" w:rsidRPr="001264D7" w:rsidRDefault="004E3F82" w:rsidP="00710A62">
      <w:pPr>
        <w:spacing w:line="240" w:lineRule="auto"/>
      </w:pPr>
    </w:p>
    <w:p w:rsidR="004E3F82" w:rsidRPr="001264D7" w:rsidRDefault="004E3F82" w:rsidP="00710A62">
      <w:pPr>
        <w:pStyle w:val="ListParagraph"/>
        <w:numPr>
          <w:ilvl w:val="0"/>
          <w:numId w:val="2"/>
        </w:numPr>
        <w:spacing w:line="240" w:lineRule="auto"/>
      </w:pPr>
      <w:r w:rsidRPr="001264D7">
        <w:t>H</w:t>
      </w:r>
      <w:r w:rsidR="006A50CB" w:rsidRPr="001264D7">
        <w:t>ow procedures govern the scheduling and timely performance of (a</w:t>
      </w:r>
      <w:proofErr w:type="gramStart"/>
      <w:r w:rsidR="006A50CB" w:rsidRPr="001264D7">
        <w:t>)(</w:t>
      </w:r>
      <w:proofErr w:type="gramEnd"/>
      <w:r w:rsidR="006A50CB" w:rsidRPr="001264D7">
        <w:t>3)</w:t>
      </w:r>
      <w:r w:rsidRPr="001264D7">
        <w:t xml:space="preserve"> </w:t>
      </w:r>
      <w:r w:rsidR="006A50CB" w:rsidRPr="001264D7">
        <w:t>evaluations.</w:t>
      </w:r>
    </w:p>
    <w:p w:rsidR="006A50CB" w:rsidRPr="001264D7" w:rsidRDefault="004E3F82" w:rsidP="00710A62">
      <w:pPr>
        <w:pStyle w:val="ListParagraph"/>
        <w:numPr>
          <w:ilvl w:val="0"/>
          <w:numId w:val="2"/>
        </w:numPr>
        <w:spacing w:line="240" w:lineRule="auto"/>
      </w:pPr>
      <w:r w:rsidRPr="001264D7">
        <w:t>D</w:t>
      </w:r>
      <w:r w:rsidR="006A50CB" w:rsidRPr="001264D7">
        <w:t>ocumenting, reviewing and approving evaluations, providing and</w:t>
      </w:r>
      <w:r w:rsidRPr="001264D7">
        <w:t xml:space="preserve"> </w:t>
      </w:r>
      <w:r w:rsidR="006A50CB" w:rsidRPr="001264D7">
        <w:t>implementing results.</w:t>
      </w:r>
    </w:p>
    <w:p w:rsidR="004E3F82" w:rsidRPr="001264D7" w:rsidRDefault="004E3F82" w:rsidP="00710A62">
      <w:pPr>
        <w:pStyle w:val="ListParagraph"/>
        <w:numPr>
          <w:ilvl w:val="0"/>
          <w:numId w:val="2"/>
        </w:numPr>
        <w:spacing w:line="240" w:lineRule="auto"/>
      </w:pPr>
      <w:r w:rsidRPr="001264D7">
        <w:t>R</w:t>
      </w:r>
      <w:r w:rsidR="006A50CB" w:rsidRPr="001264D7">
        <w:t>eview of 50.65(a</w:t>
      </w:r>
      <w:proofErr w:type="gramStart"/>
      <w:r w:rsidR="006A50CB" w:rsidRPr="001264D7">
        <w:t>)(</w:t>
      </w:r>
      <w:proofErr w:type="gramEnd"/>
      <w:r w:rsidR="006A50CB" w:rsidRPr="001264D7">
        <w:t>1) goals and 50.65(a)(2) performance criteria, condition</w:t>
      </w:r>
      <w:r w:rsidR="00AE340F" w:rsidRPr="001264D7">
        <w:t xml:space="preserve"> m</w:t>
      </w:r>
      <w:r w:rsidR="006A50CB" w:rsidRPr="001264D7">
        <w:t>onitoring criteria, SSC performance and condition history and effectiveness</w:t>
      </w:r>
      <w:r w:rsidRPr="001264D7">
        <w:t xml:space="preserve"> </w:t>
      </w:r>
      <w:r w:rsidR="006A50CB" w:rsidRPr="001264D7">
        <w:t>of corrective action</w:t>
      </w:r>
      <w:r w:rsidR="00573A1C" w:rsidRPr="001264D7">
        <w:t>.</w:t>
      </w:r>
    </w:p>
    <w:p w:rsidR="004E3F82" w:rsidRPr="001264D7" w:rsidRDefault="004E3F82" w:rsidP="00710A62">
      <w:pPr>
        <w:pStyle w:val="ListParagraph"/>
        <w:numPr>
          <w:ilvl w:val="0"/>
          <w:numId w:val="2"/>
        </w:numPr>
        <w:spacing w:line="240" w:lineRule="auto"/>
      </w:pPr>
      <w:r w:rsidRPr="001264D7">
        <w:t>M</w:t>
      </w:r>
      <w:r w:rsidR="006A50CB" w:rsidRPr="001264D7">
        <w:t>aking adjustments to achieve or restore balance betwe</w:t>
      </w:r>
      <w:r w:rsidRPr="001264D7">
        <w:t xml:space="preserve">en reliability </w:t>
      </w:r>
      <w:r w:rsidR="006A50CB" w:rsidRPr="001264D7">
        <w:t>and</w:t>
      </w:r>
      <w:r w:rsidRPr="001264D7">
        <w:t xml:space="preserve"> </w:t>
      </w:r>
      <w:r w:rsidR="006A50CB" w:rsidRPr="001264D7">
        <w:t>availability.</w:t>
      </w:r>
    </w:p>
    <w:p w:rsidR="006A50CB" w:rsidRPr="001264D7" w:rsidRDefault="00F4019E" w:rsidP="00710A62">
      <w:pPr>
        <w:pStyle w:val="ListParagraph"/>
        <w:numPr>
          <w:ilvl w:val="0"/>
          <w:numId w:val="2"/>
        </w:numPr>
        <w:spacing w:line="240" w:lineRule="auto"/>
      </w:pPr>
      <w:r w:rsidRPr="001264D7">
        <w:t>How to use i</w:t>
      </w:r>
      <w:r w:rsidR="006A50CB" w:rsidRPr="001264D7">
        <w:t>ndustry operating experience.</w:t>
      </w:r>
    </w:p>
    <w:p w:rsidR="004E3F82" w:rsidRPr="001264D7" w:rsidRDefault="004E3F82" w:rsidP="00710A62">
      <w:pPr>
        <w:spacing w:line="240" w:lineRule="auto"/>
      </w:pPr>
    </w:p>
    <w:p w:rsidR="006A50CB" w:rsidRPr="001264D7" w:rsidRDefault="00E84F2B" w:rsidP="00710A62">
      <w:pPr>
        <w:spacing w:line="240" w:lineRule="auto"/>
        <w:rPr>
          <w:u w:val="single"/>
        </w:rPr>
      </w:pPr>
      <w:r w:rsidRPr="001264D7">
        <w:t>02.06</w:t>
      </w:r>
      <w:r w:rsidR="00F4019E" w:rsidRPr="001264D7">
        <w:t xml:space="preserve"> </w:t>
      </w:r>
      <w:r w:rsidR="00F4019E" w:rsidRPr="001264D7">
        <w:rPr>
          <w:u w:val="single"/>
        </w:rPr>
        <w:t>Evaluate Licensee’s Plan for Risk Assessment and Risk M</w:t>
      </w:r>
      <w:r w:rsidR="006A50CB" w:rsidRPr="001264D7">
        <w:rPr>
          <w:u w:val="single"/>
        </w:rPr>
        <w:t>anagement per 10 CFR 50.65(a)(4)</w:t>
      </w:r>
    </w:p>
    <w:p w:rsidR="004E3F82" w:rsidRPr="001264D7" w:rsidRDefault="004E3F82" w:rsidP="00710A62">
      <w:pPr>
        <w:spacing w:line="240" w:lineRule="auto"/>
      </w:pPr>
    </w:p>
    <w:p w:rsidR="0063213E" w:rsidRPr="001264D7" w:rsidRDefault="004E3F82" w:rsidP="00710A62">
      <w:pPr>
        <w:pStyle w:val="ListParagraph"/>
        <w:numPr>
          <w:ilvl w:val="0"/>
          <w:numId w:val="8"/>
        </w:numPr>
        <w:spacing w:line="240" w:lineRule="auto"/>
      </w:pPr>
      <w:r w:rsidRPr="001264D7">
        <w:t>Independently verify that t</w:t>
      </w:r>
      <w:r w:rsidR="006A50CB" w:rsidRPr="001264D7">
        <w:t>he MR program includes procedures for maintenance risk assessment and management</w:t>
      </w:r>
      <w:r w:rsidRPr="001264D7">
        <w:t xml:space="preserve"> </w:t>
      </w:r>
      <w:r w:rsidR="006A50CB" w:rsidRPr="001264D7">
        <w:t>in accordance with 10 CFR 50.65(a)(4), employing the methods described in NUMARC</w:t>
      </w:r>
      <w:r w:rsidRPr="001264D7">
        <w:t xml:space="preserve"> </w:t>
      </w:r>
      <w:r w:rsidR="00E138F9" w:rsidRPr="001264D7">
        <w:t>93-01, Section 11 or an alternate methodology described by the FSAR</w:t>
      </w:r>
      <w:r w:rsidR="006A50CB" w:rsidRPr="001264D7">
        <w:t>.</w:t>
      </w:r>
      <w:r w:rsidR="00E138F9" w:rsidRPr="001264D7">
        <w:t xml:space="preserve">  </w:t>
      </w:r>
      <w:r w:rsidR="006D1191">
        <w:t xml:space="preserve">For licensees </w:t>
      </w:r>
      <w:r w:rsidR="002C2752">
        <w:t>using</w:t>
      </w:r>
      <w:r w:rsidR="006D1191">
        <w:t xml:space="preserve"> PRA to perform</w:t>
      </w:r>
      <w:r w:rsidR="009D4EE8">
        <w:t xml:space="preserve"> risk assessment,</w:t>
      </w:r>
      <w:r w:rsidR="009D4EE8" w:rsidRPr="008B3A0D">
        <w:t xml:space="preserve"> t</w:t>
      </w:r>
      <w:r w:rsidR="003F4925" w:rsidRPr="002C2752">
        <w:t xml:space="preserve">he methodology employed to meet 10 CFR 50.65(a)(4) should </w:t>
      </w:r>
      <w:r w:rsidR="00730F5A" w:rsidRPr="008B3A0D">
        <w:t>cover the initiating events and modes of operation of the PRA required under 10 CFR 50.71(h).</w:t>
      </w:r>
      <w:r w:rsidR="00093CDE">
        <w:t xml:space="preserve"> </w:t>
      </w:r>
      <w:r w:rsidR="00C472EE">
        <w:t xml:space="preserve"> </w:t>
      </w:r>
      <w:r w:rsidR="008B3A0D">
        <w:t>Additional guidance on evaluating the technical adequacy of the licensee’s PRA used to perform risk assessments will be issued in a separate inspection procedure after the NRC reaches resolution on this issue.</w:t>
      </w:r>
    </w:p>
    <w:p w:rsidR="00B225D8" w:rsidRDefault="00B225D8" w:rsidP="00710A62">
      <w:pPr>
        <w:spacing w:line="240" w:lineRule="auto"/>
        <w:sectPr w:rsidR="00B225D8" w:rsidSect="00F3477D">
          <w:pgSz w:w="12240" w:h="15840"/>
          <w:pgMar w:top="1440" w:right="1440" w:bottom="1440" w:left="1440" w:header="1440" w:footer="1440" w:gutter="0"/>
          <w:cols w:space="720"/>
          <w:docGrid w:linePitch="360"/>
        </w:sectPr>
      </w:pPr>
    </w:p>
    <w:p w:rsidR="0063213E" w:rsidRPr="001264D7" w:rsidRDefault="0063213E" w:rsidP="00710A62">
      <w:pPr>
        <w:spacing w:line="240" w:lineRule="auto"/>
      </w:pPr>
    </w:p>
    <w:p w:rsidR="006A50CB" w:rsidRDefault="00E138F9" w:rsidP="00710A62">
      <w:pPr>
        <w:pStyle w:val="ListParagraph"/>
        <w:numPr>
          <w:ilvl w:val="0"/>
          <w:numId w:val="8"/>
        </w:numPr>
        <w:spacing w:line="240" w:lineRule="auto"/>
      </w:pPr>
      <w:r w:rsidRPr="001264D7">
        <w:t>Verify that controls are in place so that t</w:t>
      </w:r>
      <w:r w:rsidR="006A50CB" w:rsidRPr="001264D7">
        <w:t>he risk from maintenance activities is both assessed</w:t>
      </w:r>
      <w:r w:rsidR="004E3F82" w:rsidRPr="001264D7">
        <w:t xml:space="preserve"> </w:t>
      </w:r>
      <w:r w:rsidR="006A50CB" w:rsidRPr="001264D7">
        <w:t>(i.e., using a risk-informed process to evaluate the overall contribution to risk of the</w:t>
      </w:r>
      <w:r w:rsidR="004E3F82" w:rsidRPr="001264D7">
        <w:t xml:space="preserve"> </w:t>
      </w:r>
      <w:r w:rsidR="006A50CB" w:rsidRPr="001264D7">
        <w:t>planned maintenance activities) and managed (i.e., providing plant personnel with proper</w:t>
      </w:r>
      <w:r w:rsidR="004E3F82" w:rsidRPr="001264D7">
        <w:t xml:space="preserve"> </w:t>
      </w:r>
      <w:r w:rsidR="006A50CB" w:rsidRPr="001264D7">
        <w:t>awareness of the risk, and taking actions as appropriate to control the risk).</w:t>
      </w:r>
      <w:r w:rsidR="00D327CB" w:rsidRPr="001264D7">
        <w:t xml:space="preserve">  This may include the review of the stations “protective equipment” program (i.e., for example, the placement of signage in the area of one train of an operable safety-related pump while performing maintenance on the opposite train, safety-related pump</w:t>
      </w:r>
      <w:r w:rsidR="007A1D52">
        <w:t>)</w:t>
      </w:r>
      <w:r w:rsidR="00D327CB" w:rsidRPr="001264D7">
        <w:t xml:space="preserve">. </w:t>
      </w:r>
    </w:p>
    <w:p w:rsidR="00B225D8" w:rsidRPr="001264D7" w:rsidRDefault="00B225D8" w:rsidP="00B225D8">
      <w:pPr>
        <w:pStyle w:val="ListParagraph"/>
        <w:spacing w:line="240" w:lineRule="auto"/>
      </w:pPr>
    </w:p>
    <w:p w:rsidR="006A50CB" w:rsidRPr="001264D7" w:rsidRDefault="00E138F9" w:rsidP="00710A62">
      <w:pPr>
        <w:pStyle w:val="ListParagraph"/>
        <w:numPr>
          <w:ilvl w:val="0"/>
          <w:numId w:val="8"/>
        </w:numPr>
        <w:spacing w:line="240" w:lineRule="auto"/>
      </w:pPr>
      <w:r w:rsidRPr="001264D7">
        <w:t>Confirm that t</w:t>
      </w:r>
      <w:r w:rsidR="006A50CB" w:rsidRPr="001264D7">
        <w:t>he MR program and procedures reflect, as appropriate, consideration of issues</w:t>
      </w:r>
      <w:r w:rsidR="004E3F82" w:rsidRPr="001264D7">
        <w:t xml:space="preserve"> </w:t>
      </w:r>
      <w:r w:rsidR="006A50CB" w:rsidRPr="001264D7">
        <w:t>associated with grid/offsite power reliability as identified in NRC Generic Letter</w:t>
      </w:r>
      <w:r w:rsidR="004E3F82" w:rsidRPr="001264D7">
        <w:t xml:space="preserve"> </w:t>
      </w:r>
      <w:r w:rsidR="006A50CB" w:rsidRPr="001264D7">
        <w:t>2006-02, items 5 and 6</w:t>
      </w:r>
      <w:r w:rsidR="00B0082B" w:rsidRPr="001264D7">
        <w:t xml:space="preserve"> and IP 71111.01</w:t>
      </w:r>
      <w:r w:rsidR="006A50CB" w:rsidRPr="001264D7">
        <w:t>.</w:t>
      </w:r>
    </w:p>
    <w:p w:rsidR="004E3F82" w:rsidRPr="001264D7" w:rsidRDefault="004E3F82" w:rsidP="00710A62">
      <w:pPr>
        <w:spacing w:line="240" w:lineRule="auto"/>
      </w:pPr>
    </w:p>
    <w:p w:rsidR="006A50CB" w:rsidRPr="001264D7" w:rsidRDefault="0063213E" w:rsidP="00710A62">
      <w:pPr>
        <w:spacing w:line="240" w:lineRule="auto"/>
      </w:pPr>
      <w:r w:rsidRPr="001264D7">
        <w:t>02.0</w:t>
      </w:r>
      <w:r w:rsidR="00E84F2B" w:rsidRPr="001264D7">
        <w:t>7</w:t>
      </w:r>
      <w:r w:rsidRPr="001264D7">
        <w:t xml:space="preserve"> </w:t>
      </w:r>
      <w:r w:rsidRPr="001264D7">
        <w:rPr>
          <w:u w:val="single"/>
        </w:rPr>
        <w:t>Evaluate the Licensee’s MR Training and Q</w:t>
      </w:r>
      <w:r w:rsidR="004E3F82" w:rsidRPr="001264D7">
        <w:rPr>
          <w:u w:val="single"/>
        </w:rPr>
        <w:t>ualification</w:t>
      </w:r>
      <w:r w:rsidRPr="001264D7">
        <w:rPr>
          <w:u w:val="single"/>
        </w:rPr>
        <w:t xml:space="preserve"> Program</w:t>
      </w:r>
    </w:p>
    <w:p w:rsidR="004E3F82" w:rsidRPr="001264D7" w:rsidRDefault="004E3F82" w:rsidP="00710A62">
      <w:pPr>
        <w:spacing w:line="240" w:lineRule="auto"/>
      </w:pPr>
    </w:p>
    <w:p w:rsidR="0063213E" w:rsidRPr="001264D7" w:rsidRDefault="004E3F82" w:rsidP="00710A62">
      <w:pPr>
        <w:pStyle w:val="ListParagraph"/>
        <w:numPr>
          <w:ilvl w:val="0"/>
          <w:numId w:val="9"/>
        </w:numPr>
        <w:spacing w:line="240" w:lineRule="auto"/>
      </w:pPr>
      <w:r w:rsidRPr="001264D7">
        <w:t>Independently verify that t</w:t>
      </w:r>
      <w:r w:rsidR="006A50CB" w:rsidRPr="001264D7">
        <w:t>he MR program is supported by appropriate training and qualification for designated</w:t>
      </w:r>
      <w:r w:rsidRPr="001264D7">
        <w:t xml:space="preserve"> </w:t>
      </w:r>
      <w:r w:rsidR="006A50CB" w:rsidRPr="001264D7">
        <w:t xml:space="preserve">personnel. </w:t>
      </w:r>
      <w:r w:rsidR="001A710A" w:rsidRPr="001264D7">
        <w:t xml:space="preserve"> </w:t>
      </w:r>
      <w:r w:rsidR="006A50CB" w:rsidRPr="001264D7">
        <w:t xml:space="preserve">Training </w:t>
      </w:r>
      <w:r w:rsidRPr="001264D7">
        <w:t>should be</w:t>
      </w:r>
      <w:r w:rsidR="006A50CB" w:rsidRPr="001264D7">
        <w:t xml:space="preserve"> commensurate with MR responsibilities, including MR program</w:t>
      </w:r>
      <w:r w:rsidRPr="001264D7">
        <w:t xml:space="preserve"> </w:t>
      </w:r>
      <w:r w:rsidR="006A50CB" w:rsidRPr="001264D7">
        <w:t>administration, the expert panel process, operations, engineering, maintenance, licensing,</w:t>
      </w:r>
      <w:r w:rsidRPr="001264D7">
        <w:t xml:space="preserve"> </w:t>
      </w:r>
      <w:r w:rsidR="006A50CB" w:rsidRPr="001264D7">
        <w:t>and plant management, as appropriate</w:t>
      </w:r>
      <w:r w:rsidR="001A710A" w:rsidRPr="001264D7">
        <w:t xml:space="preserve">.  </w:t>
      </w:r>
    </w:p>
    <w:p w:rsidR="001A710A" w:rsidRPr="001264D7" w:rsidRDefault="001A710A" w:rsidP="00710A62">
      <w:pPr>
        <w:spacing w:line="240" w:lineRule="auto"/>
      </w:pPr>
    </w:p>
    <w:p w:rsidR="001A710A" w:rsidRPr="001264D7" w:rsidRDefault="001A710A" w:rsidP="00710A62">
      <w:pPr>
        <w:spacing w:line="240" w:lineRule="auto"/>
        <w:ind w:left="720"/>
      </w:pPr>
      <w:r w:rsidRPr="001264D7">
        <w:t xml:space="preserve">Note:  MR program administration may include on-site staff and off-site staff located at corporate offices or corporate headquarters. </w:t>
      </w:r>
    </w:p>
    <w:p w:rsidR="0063213E" w:rsidRPr="001264D7" w:rsidRDefault="0063213E" w:rsidP="00710A62">
      <w:pPr>
        <w:spacing w:line="240" w:lineRule="auto"/>
        <w:ind w:left="720"/>
      </w:pPr>
    </w:p>
    <w:p w:rsidR="006A50CB" w:rsidRPr="001264D7" w:rsidRDefault="0063213E" w:rsidP="00710A62">
      <w:pPr>
        <w:pStyle w:val="ListParagraph"/>
        <w:numPr>
          <w:ilvl w:val="0"/>
          <w:numId w:val="9"/>
        </w:numPr>
        <w:spacing w:line="240" w:lineRule="auto"/>
      </w:pPr>
      <w:r w:rsidRPr="001264D7">
        <w:t>Independently verify that MR</w:t>
      </w:r>
      <w:r w:rsidR="006A50CB" w:rsidRPr="001264D7">
        <w:t xml:space="preserve"> Program training and</w:t>
      </w:r>
      <w:r w:rsidR="004E3F82" w:rsidRPr="001264D7">
        <w:t xml:space="preserve"> </w:t>
      </w:r>
      <w:r w:rsidR="006A50CB" w:rsidRPr="001264D7">
        <w:t>qualification materials are based on regulatory requirements and guidance, and training</w:t>
      </w:r>
      <w:r w:rsidR="004E3F82" w:rsidRPr="001264D7">
        <w:t xml:space="preserve"> </w:t>
      </w:r>
      <w:r w:rsidR="006A50CB" w:rsidRPr="001264D7">
        <w:t>records are maintained in accordance with plant procedures.</w:t>
      </w:r>
    </w:p>
    <w:p w:rsidR="00D63AA2" w:rsidRPr="001264D7" w:rsidRDefault="00D63AA2" w:rsidP="00710A62">
      <w:pPr>
        <w:spacing w:line="240" w:lineRule="auto"/>
      </w:pPr>
    </w:p>
    <w:p w:rsidR="00D63AA2" w:rsidRPr="001264D7" w:rsidRDefault="00D63AA2" w:rsidP="00710A62">
      <w:pPr>
        <w:spacing w:line="240" w:lineRule="auto"/>
        <w:rPr>
          <w:u w:val="single"/>
        </w:rPr>
      </w:pPr>
      <w:r w:rsidRPr="001264D7">
        <w:t xml:space="preserve">02.08 </w:t>
      </w:r>
      <w:r w:rsidRPr="001264D7">
        <w:rPr>
          <w:u w:val="single"/>
        </w:rPr>
        <w:t>Evaluate the Licensee’s Program for Incorporating Operating Experience</w:t>
      </w:r>
    </w:p>
    <w:p w:rsidR="00D63AA2" w:rsidRPr="001264D7" w:rsidRDefault="00D63AA2" w:rsidP="00710A62">
      <w:pPr>
        <w:spacing w:line="240" w:lineRule="auto"/>
      </w:pPr>
    </w:p>
    <w:p w:rsidR="00D63AA2" w:rsidRPr="001264D7" w:rsidRDefault="00D63AA2" w:rsidP="00710A62">
      <w:pPr>
        <w:pStyle w:val="ListParagraph"/>
        <w:numPr>
          <w:ilvl w:val="0"/>
          <w:numId w:val="11"/>
        </w:numPr>
        <w:spacing w:line="240" w:lineRule="auto"/>
      </w:pPr>
      <w:r w:rsidRPr="001264D7">
        <w:t xml:space="preserve">Confirm that the licensee has a program in place to review </w:t>
      </w:r>
      <w:r w:rsidR="00E1579B" w:rsidRPr="001264D7">
        <w:t xml:space="preserve">industry </w:t>
      </w:r>
      <w:r w:rsidRPr="001264D7">
        <w:t xml:space="preserve">operating experience </w:t>
      </w:r>
      <w:r w:rsidR="00725D3F" w:rsidRPr="001264D7">
        <w:t xml:space="preserve">(IOE) </w:t>
      </w:r>
      <w:r w:rsidRPr="001264D7">
        <w:t>for plant-specific applicability and, where appropriate, is applied in various elements of the MR program and procedures.  This includes:</w:t>
      </w:r>
    </w:p>
    <w:p w:rsidR="00FB7900" w:rsidRPr="001264D7" w:rsidRDefault="00FB7900" w:rsidP="00710A62">
      <w:pPr>
        <w:spacing w:line="240" w:lineRule="auto"/>
      </w:pPr>
    </w:p>
    <w:p w:rsidR="00D63AA2" w:rsidRPr="001264D7" w:rsidRDefault="00D63AA2" w:rsidP="00710A62">
      <w:pPr>
        <w:pStyle w:val="ListParagraph"/>
        <w:numPr>
          <w:ilvl w:val="0"/>
          <w:numId w:val="12"/>
        </w:numPr>
        <w:spacing w:line="240" w:lineRule="auto"/>
      </w:pPr>
      <w:r w:rsidRPr="001264D7">
        <w:t>Scoping</w:t>
      </w:r>
    </w:p>
    <w:p w:rsidR="00D63AA2" w:rsidRPr="001264D7" w:rsidRDefault="000D1226" w:rsidP="00710A62">
      <w:pPr>
        <w:pStyle w:val="ListParagraph"/>
        <w:numPr>
          <w:ilvl w:val="0"/>
          <w:numId w:val="12"/>
        </w:numPr>
        <w:spacing w:line="240" w:lineRule="auto"/>
      </w:pPr>
      <w:r w:rsidRPr="001264D7">
        <w:t>P</w:t>
      </w:r>
      <w:r w:rsidR="00D63AA2" w:rsidRPr="001264D7">
        <w:t>erformance/condition criteria</w:t>
      </w:r>
    </w:p>
    <w:p w:rsidR="00D63AA2" w:rsidRPr="001264D7" w:rsidRDefault="00D63AA2" w:rsidP="00710A62">
      <w:pPr>
        <w:pStyle w:val="ListParagraph"/>
        <w:numPr>
          <w:ilvl w:val="0"/>
          <w:numId w:val="12"/>
        </w:numPr>
        <w:spacing w:line="240" w:lineRule="auto"/>
      </w:pPr>
      <w:r w:rsidRPr="001264D7">
        <w:t>Monitoring</w:t>
      </w:r>
    </w:p>
    <w:p w:rsidR="00D63AA2" w:rsidRPr="001264D7" w:rsidRDefault="00D63AA2" w:rsidP="00710A62">
      <w:pPr>
        <w:pStyle w:val="ListParagraph"/>
        <w:numPr>
          <w:ilvl w:val="0"/>
          <w:numId w:val="12"/>
        </w:numPr>
        <w:spacing w:line="240" w:lineRule="auto"/>
      </w:pPr>
      <w:r w:rsidRPr="001264D7">
        <w:t>Goal-setting</w:t>
      </w:r>
    </w:p>
    <w:p w:rsidR="00D63AA2" w:rsidRPr="001264D7" w:rsidRDefault="00D63AA2" w:rsidP="00710A62">
      <w:pPr>
        <w:pStyle w:val="ListParagraph"/>
        <w:numPr>
          <w:ilvl w:val="0"/>
          <w:numId w:val="12"/>
        </w:numPr>
        <w:spacing w:line="240" w:lineRule="auto"/>
      </w:pPr>
      <w:r w:rsidRPr="001264D7">
        <w:t>Corrective action</w:t>
      </w:r>
    </w:p>
    <w:p w:rsidR="00D63AA2" w:rsidRPr="001264D7" w:rsidRDefault="00D63AA2" w:rsidP="00710A62">
      <w:pPr>
        <w:pStyle w:val="ListParagraph"/>
        <w:numPr>
          <w:ilvl w:val="0"/>
          <w:numId w:val="12"/>
        </w:numPr>
        <w:spacing w:line="240" w:lineRule="auto"/>
      </w:pPr>
      <w:r w:rsidRPr="001264D7">
        <w:t>Training</w:t>
      </w:r>
    </w:p>
    <w:p w:rsidR="00D63AA2" w:rsidRPr="001264D7" w:rsidRDefault="00D63AA2" w:rsidP="00710A62">
      <w:pPr>
        <w:pStyle w:val="ListParagraph"/>
        <w:numPr>
          <w:ilvl w:val="0"/>
          <w:numId w:val="12"/>
        </w:numPr>
        <w:spacing w:line="240" w:lineRule="auto"/>
      </w:pPr>
      <w:r w:rsidRPr="001264D7">
        <w:t>Program assessment</w:t>
      </w:r>
    </w:p>
    <w:p w:rsidR="00D63AA2" w:rsidRPr="001264D7" w:rsidRDefault="00D63AA2" w:rsidP="00710A62">
      <w:pPr>
        <w:pStyle w:val="ListParagraph"/>
        <w:numPr>
          <w:ilvl w:val="0"/>
          <w:numId w:val="12"/>
        </w:numPr>
        <w:spacing w:line="240" w:lineRule="auto"/>
      </w:pPr>
      <w:r w:rsidRPr="001264D7">
        <w:t>Maintenance &amp; procurement activities</w:t>
      </w:r>
    </w:p>
    <w:p w:rsidR="00113F76" w:rsidRPr="001264D7" w:rsidRDefault="00113F76" w:rsidP="00710A62">
      <w:pPr>
        <w:spacing w:line="240" w:lineRule="auto"/>
      </w:pPr>
    </w:p>
    <w:p w:rsidR="00543E22" w:rsidRPr="001264D7" w:rsidRDefault="00543E22" w:rsidP="00710A62">
      <w:pPr>
        <w:autoSpaceDE w:val="0"/>
        <w:autoSpaceDN w:val="0"/>
        <w:adjustRightInd w:val="0"/>
        <w:spacing w:line="240" w:lineRule="auto"/>
        <w:ind w:left="720"/>
      </w:pPr>
      <w:r w:rsidRPr="001264D7">
        <w:t xml:space="preserve">Note:  Sources of </w:t>
      </w:r>
      <w:r w:rsidR="00725D3F" w:rsidRPr="001264D7">
        <w:t xml:space="preserve">IOE </w:t>
      </w:r>
      <w:r w:rsidRPr="001264D7">
        <w:t>may include information programs organized by the reactor vendor, safety-related equipment suppliers, the NRC, the Institute of Nuclear Power Operations (INPO) and the Electric Power Research Institute (EPRI).</w:t>
      </w:r>
    </w:p>
    <w:p w:rsidR="00B225D8" w:rsidRDefault="00B225D8" w:rsidP="00710A62">
      <w:pPr>
        <w:spacing w:line="240" w:lineRule="auto"/>
        <w:sectPr w:rsidR="00B225D8" w:rsidSect="00F3477D">
          <w:pgSz w:w="12240" w:h="15840"/>
          <w:pgMar w:top="1440" w:right="1440" w:bottom="1440" w:left="1440" w:header="1440" w:footer="1440" w:gutter="0"/>
          <w:cols w:space="720"/>
          <w:docGrid w:linePitch="360"/>
        </w:sectPr>
      </w:pPr>
    </w:p>
    <w:p w:rsidR="00543E22" w:rsidRDefault="00543E22" w:rsidP="00710A62">
      <w:pPr>
        <w:spacing w:line="240" w:lineRule="auto"/>
      </w:pPr>
    </w:p>
    <w:p w:rsidR="00093CDE" w:rsidRPr="001264D7" w:rsidRDefault="00093CDE" w:rsidP="00710A62">
      <w:pPr>
        <w:spacing w:line="240" w:lineRule="auto"/>
      </w:pPr>
    </w:p>
    <w:p w:rsidR="00113F76" w:rsidRPr="001264D7" w:rsidRDefault="00C3191A" w:rsidP="00710A62">
      <w:pPr>
        <w:spacing w:line="240" w:lineRule="auto"/>
      </w:pPr>
      <w:r>
        <w:t>62712</w:t>
      </w:r>
      <w:r w:rsidR="00113F76" w:rsidRPr="001264D7">
        <w:t>-03</w:t>
      </w:r>
      <w:r w:rsidR="00113F76" w:rsidRPr="001264D7">
        <w:tab/>
        <w:t>RESOURCE ES</w:t>
      </w:r>
      <w:r w:rsidR="00FB7900" w:rsidRPr="001264D7">
        <w:t>T</w:t>
      </w:r>
      <w:r w:rsidR="00113F76" w:rsidRPr="001264D7">
        <w:t>IMATE</w:t>
      </w:r>
    </w:p>
    <w:p w:rsidR="00113F76" w:rsidRPr="001264D7" w:rsidRDefault="00113F76" w:rsidP="00710A62">
      <w:pPr>
        <w:spacing w:line="240" w:lineRule="auto"/>
      </w:pPr>
    </w:p>
    <w:p w:rsidR="005874A6" w:rsidRDefault="00865EBD" w:rsidP="00710A62">
      <w:pPr>
        <w:spacing w:line="240" w:lineRule="auto"/>
      </w:pPr>
      <w:r>
        <w:t>A maintenance rule inspection team consisting of one team leader and three to four inspectors is required to complete the inspection.</w:t>
      </w:r>
      <w:r w:rsidR="00093CDE">
        <w:t xml:space="preserve"> </w:t>
      </w:r>
      <w:r>
        <w:t xml:space="preserve"> </w:t>
      </w:r>
      <w:r w:rsidR="00D821CC">
        <w:t xml:space="preserve">In addition, one specialist inspector, utilizing PRA expertise, determines whether </w:t>
      </w:r>
      <w:r w:rsidR="00FF49E5">
        <w:t>the licensee is adequately using its PRA in the maintenance rule program.</w:t>
      </w:r>
      <w:r w:rsidR="00D821CC">
        <w:t xml:space="preserve"> </w:t>
      </w:r>
      <w:r w:rsidR="00093CDE">
        <w:t xml:space="preserve"> </w:t>
      </w:r>
      <w:r w:rsidR="007D6316" w:rsidRPr="007D6316">
        <w:t xml:space="preserve">The time needed to complete the onsite </w:t>
      </w:r>
      <w:r w:rsidR="007D6316">
        <w:t>MR</w:t>
      </w:r>
      <w:r w:rsidR="007D6316" w:rsidRPr="007D6316">
        <w:t xml:space="preserve"> inspecti</w:t>
      </w:r>
      <w:r>
        <w:t xml:space="preserve">on is estimated to be </w:t>
      </w:r>
      <w:r w:rsidR="00EA3BFC">
        <w:t xml:space="preserve">between </w:t>
      </w:r>
      <w:r>
        <w:t xml:space="preserve">one </w:t>
      </w:r>
      <w:r w:rsidR="00EA3BFC">
        <w:t xml:space="preserve">to two </w:t>
      </w:r>
      <w:r>
        <w:t>week</w:t>
      </w:r>
      <w:r w:rsidR="00E30A48">
        <w:t>s</w:t>
      </w:r>
      <w:r>
        <w:t xml:space="preserve">.  </w:t>
      </w:r>
      <w:r w:rsidR="007D6316" w:rsidRPr="007D6316">
        <w:t xml:space="preserve">The resource estimate for this inspection procedure is approximately </w:t>
      </w:r>
      <w:r w:rsidR="00D821CC">
        <w:t xml:space="preserve">200 </w:t>
      </w:r>
      <w:r w:rsidR="007D6316">
        <w:t xml:space="preserve">to </w:t>
      </w:r>
      <w:r w:rsidR="00EA3BFC">
        <w:t>4</w:t>
      </w:r>
      <w:r w:rsidR="00D821CC">
        <w:t>6</w:t>
      </w:r>
      <w:r w:rsidR="007D6316">
        <w:t>0</w:t>
      </w:r>
      <w:r w:rsidR="007D6316" w:rsidRPr="007D6316">
        <w:t xml:space="preserve"> hours of direct inspection effort.</w:t>
      </w:r>
    </w:p>
    <w:p w:rsidR="005B130D" w:rsidRDefault="005B130D" w:rsidP="00710A62">
      <w:pPr>
        <w:spacing w:line="240" w:lineRule="auto"/>
      </w:pPr>
    </w:p>
    <w:p w:rsidR="005B130D" w:rsidRDefault="005B130D" w:rsidP="00710A62">
      <w:pPr>
        <w:spacing w:line="240" w:lineRule="auto"/>
      </w:pPr>
    </w:p>
    <w:p w:rsidR="005874A6" w:rsidRPr="001264D7" w:rsidRDefault="00C3191A" w:rsidP="003E41E7">
      <w:pPr>
        <w:spacing w:line="240" w:lineRule="auto"/>
      </w:pPr>
      <w:r>
        <w:t>62712</w:t>
      </w:r>
      <w:r w:rsidR="005874A6" w:rsidRPr="001264D7">
        <w:t>-04</w:t>
      </w:r>
      <w:r w:rsidR="005874A6" w:rsidRPr="001264D7">
        <w:tab/>
        <w:t>REFERENCES</w:t>
      </w:r>
    </w:p>
    <w:p w:rsidR="005874A6" w:rsidRPr="001264D7" w:rsidRDefault="005874A6" w:rsidP="003E41E7">
      <w:pPr>
        <w:spacing w:line="240" w:lineRule="auto"/>
      </w:pPr>
    </w:p>
    <w:p w:rsidR="009D2F3E" w:rsidRDefault="005874A6" w:rsidP="003E41E7">
      <w:pPr>
        <w:spacing w:line="240" w:lineRule="auto"/>
      </w:pPr>
      <w:r w:rsidRPr="001264D7">
        <w:t xml:space="preserve">10 CFR 50.65, </w:t>
      </w:r>
      <w:r w:rsidR="00B225D8">
        <w:t>“Requirements for Monitoring the E</w:t>
      </w:r>
      <w:r w:rsidRPr="001264D7">
        <w:t xml:space="preserve">ffectiveness of </w:t>
      </w:r>
      <w:r w:rsidR="00B225D8">
        <w:t>M</w:t>
      </w:r>
      <w:r w:rsidRPr="001264D7">
        <w:t>aintenance at</w:t>
      </w:r>
      <w:r w:rsidR="00D4619F">
        <w:t xml:space="preserve"> </w:t>
      </w:r>
      <w:r w:rsidR="00B225D8">
        <w:t>N</w:t>
      </w:r>
      <w:r w:rsidRPr="001264D7">
        <w:t xml:space="preserve">uclear </w:t>
      </w:r>
      <w:r w:rsidR="00B225D8">
        <w:t>P</w:t>
      </w:r>
      <w:r w:rsidRPr="001264D7">
        <w:t xml:space="preserve">ower </w:t>
      </w:r>
      <w:r w:rsidR="00B225D8">
        <w:t>P</w:t>
      </w:r>
      <w:r w:rsidRPr="001264D7">
        <w:t>lants</w:t>
      </w:r>
      <w:r w:rsidR="00B225D8">
        <w:t>”</w:t>
      </w:r>
    </w:p>
    <w:p w:rsidR="005B130D" w:rsidRDefault="005B130D" w:rsidP="003E41E7">
      <w:pPr>
        <w:spacing w:line="240" w:lineRule="auto"/>
      </w:pPr>
    </w:p>
    <w:p w:rsidR="007D6316" w:rsidRDefault="005B130D" w:rsidP="003E41E7">
      <w:pPr>
        <w:spacing w:line="240" w:lineRule="auto"/>
      </w:pPr>
      <w:r>
        <w:t>IMC 0613</w:t>
      </w:r>
      <w:proofErr w:type="gramStart"/>
      <w:r w:rsidR="00093CDE">
        <w:t>,</w:t>
      </w:r>
      <w:r w:rsidR="005173E7">
        <w:t xml:space="preserve"> </w:t>
      </w:r>
      <w:r w:rsidR="00093CDE">
        <w:t>”</w:t>
      </w:r>
      <w:proofErr w:type="gramEnd"/>
      <w:r w:rsidR="007D6316" w:rsidRPr="007D6316">
        <w:t>Power Reactor Construction Inspection Reports</w:t>
      </w:r>
      <w:r w:rsidR="00093CDE">
        <w:t>”</w:t>
      </w:r>
    </w:p>
    <w:p w:rsidR="007D6316" w:rsidRDefault="007D6316" w:rsidP="003E41E7">
      <w:pPr>
        <w:spacing w:line="240" w:lineRule="auto"/>
      </w:pPr>
    </w:p>
    <w:p w:rsidR="009D2F3E" w:rsidRDefault="008576FA" w:rsidP="003E41E7">
      <w:pPr>
        <w:spacing w:line="240" w:lineRule="auto"/>
      </w:pPr>
      <w:r w:rsidRPr="001264D7">
        <w:t>I</w:t>
      </w:r>
      <w:r w:rsidR="007D6316">
        <w:t xml:space="preserve">nspection </w:t>
      </w:r>
      <w:r w:rsidRPr="001264D7">
        <w:t>P</w:t>
      </w:r>
      <w:r w:rsidR="007D6316">
        <w:t>rocedure (IP)</w:t>
      </w:r>
      <w:r w:rsidRPr="001264D7">
        <w:t xml:space="preserve"> 42401, </w:t>
      </w:r>
      <w:r w:rsidR="00093CDE">
        <w:t>“Part 52, Plant Procedures”</w:t>
      </w:r>
    </w:p>
    <w:p w:rsidR="009D2F3E" w:rsidRDefault="009D2F3E" w:rsidP="003E41E7">
      <w:pPr>
        <w:spacing w:line="240" w:lineRule="auto"/>
      </w:pPr>
    </w:p>
    <w:p w:rsidR="009D2F3E" w:rsidRDefault="00046CAF" w:rsidP="003E41E7">
      <w:pPr>
        <w:spacing w:line="240" w:lineRule="auto"/>
      </w:pPr>
      <w:r w:rsidRPr="001264D7">
        <w:t>I</w:t>
      </w:r>
      <w:r w:rsidR="00FF0BA6" w:rsidRPr="001264D7">
        <w:t>P</w:t>
      </w:r>
      <w:r w:rsidRPr="001264D7">
        <w:t xml:space="preserve"> 62706, </w:t>
      </w:r>
      <w:r w:rsidR="00093CDE">
        <w:t>“</w:t>
      </w:r>
      <w:r w:rsidR="001E19CB" w:rsidRPr="001264D7">
        <w:t>Maintenance Rule</w:t>
      </w:r>
      <w:r w:rsidR="00093CDE">
        <w:t>”</w:t>
      </w:r>
    </w:p>
    <w:p w:rsidR="009D4EE8" w:rsidRDefault="009D4EE8" w:rsidP="003E41E7">
      <w:pPr>
        <w:spacing w:line="240" w:lineRule="auto"/>
      </w:pPr>
    </w:p>
    <w:p w:rsidR="009D4EE8" w:rsidRDefault="009D4EE8" w:rsidP="003E41E7">
      <w:pPr>
        <w:spacing w:line="240" w:lineRule="auto"/>
      </w:pPr>
      <w:r>
        <w:t xml:space="preserve">IP 62709, </w:t>
      </w:r>
      <w:r w:rsidR="00093CDE">
        <w:t>“</w:t>
      </w:r>
      <w:r>
        <w:t>Configuration Risk Assessment and Risk Management Process</w:t>
      </w:r>
      <w:r w:rsidR="00093CDE">
        <w:t>”</w:t>
      </w:r>
    </w:p>
    <w:p w:rsidR="009D2F3E" w:rsidRDefault="009D2F3E" w:rsidP="003E41E7">
      <w:pPr>
        <w:spacing w:line="240" w:lineRule="auto"/>
      </w:pPr>
    </w:p>
    <w:p w:rsidR="009D2F3E" w:rsidRDefault="0023684B" w:rsidP="003E41E7">
      <w:pPr>
        <w:spacing w:line="240" w:lineRule="auto"/>
      </w:pPr>
      <w:r w:rsidRPr="001264D7">
        <w:t xml:space="preserve">IP 71111.01, </w:t>
      </w:r>
      <w:r w:rsidR="00093CDE">
        <w:t>“</w:t>
      </w:r>
      <w:r w:rsidRPr="001264D7">
        <w:t>Adverse Weather Protectio</w:t>
      </w:r>
      <w:r w:rsidR="00B0082B" w:rsidRPr="001264D7">
        <w:t>n</w:t>
      </w:r>
      <w:r w:rsidR="00093CDE">
        <w:t>”</w:t>
      </w:r>
    </w:p>
    <w:p w:rsidR="009D2F3E" w:rsidRDefault="009D2F3E" w:rsidP="003E41E7">
      <w:pPr>
        <w:spacing w:line="240" w:lineRule="auto"/>
      </w:pPr>
    </w:p>
    <w:p w:rsidR="009D2F3E" w:rsidRDefault="008879A9" w:rsidP="003E41E7">
      <w:pPr>
        <w:spacing w:line="240" w:lineRule="auto"/>
      </w:pPr>
      <w:r w:rsidRPr="001264D7">
        <w:t xml:space="preserve">IP 71111.12, </w:t>
      </w:r>
      <w:r w:rsidR="00093CDE">
        <w:t>“</w:t>
      </w:r>
      <w:r w:rsidRPr="001264D7">
        <w:t>Maintenance Effectiveness</w:t>
      </w:r>
      <w:r w:rsidR="00093CDE">
        <w:t>”</w:t>
      </w:r>
    </w:p>
    <w:p w:rsidR="008879A9" w:rsidRPr="001264D7" w:rsidRDefault="008879A9" w:rsidP="003E41E7">
      <w:pPr>
        <w:spacing w:line="240" w:lineRule="auto"/>
      </w:pPr>
    </w:p>
    <w:p w:rsidR="009D2F3E" w:rsidRDefault="008879A9" w:rsidP="003E41E7">
      <w:pPr>
        <w:spacing w:line="240" w:lineRule="auto"/>
      </w:pPr>
      <w:r w:rsidRPr="001264D7">
        <w:t xml:space="preserve">IP 71111.13, </w:t>
      </w:r>
      <w:r w:rsidR="00093CDE">
        <w:t>“</w:t>
      </w:r>
      <w:r w:rsidRPr="001264D7">
        <w:t>Maintenance Risk Assessments and Emergent Work Control</w:t>
      </w:r>
      <w:r w:rsidR="00093CDE">
        <w:t>”</w:t>
      </w:r>
    </w:p>
    <w:p w:rsidR="009D2F3E" w:rsidRDefault="009D2F3E" w:rsidP="003E41E7">
      <w:pPr>
        <w:spacing w:line="240" w:lineRule="auto"/>
      </w:pPr>
    </w:p>
    <w:p w:rsidR="009D2F3E" w:rsidRDefault="001761F5" w:rsidP="003E41E7">
      <w:pPr>
        <w:spacing w:line="240" w:lineRule="auto"/>
      </w:pPr>
      <w:r w:rsidRPr="001264D7">
        <w:t xml:space="preserve">NRC Generic Letter 2006-02, </w:t>
      </w:r>
      <w:r w:rsidR="00C17D9D" w:rsidRPr="001264D7">
        <w:t>“Grid Reliability and the Impact on Plant Risk and t</w:t>
      </w:r>
      <w:r w:rsidR="00DF676A">
        <w:t>he Operability of Offsite Power</w:t>
      </w:r>
      <w:r w:rsidR="00C17D9D" w:rsidRPr="001264D7">
        <w:t xml:space="preserve">” </w:t>
      </w:r>
    </w:p>
    <w:p w:rsidR="009D2F3E" w:rsidRDefault="009D2F3E" w:rsidP="003E41E7">
      <w:pPr>
        <w:spacing w:line="240" w:lineRule="auto"/>
      </w:pPr>
    </w:p>
    <w:p w:rsidR="009D2F3E" w:rsidRDefault="00280460" w:rsidP="003E41E7">
      <w:pPr>
        <w:spacing w:line="240" w:lineRule="auto"/>
      </w:pPr>
      <w:r w:rsidRPr="001264D7">
        <w:t>NRC Generic Letter 2007-01, “Inaccessible or Underground Power Cable Failures the Disable Accident Mitigation Sy</w:t>
      </w:r>
      <w:r w:rsidR="00DF676A">
        <w:t>stems or Cause Plant Transients</w:t>
      </w:r>
      <w:r w:rsidRPr="001264D7">
        <w:t>”</w:t>
      </w:r>
    </w:p>
    <w:p w:rsidR="009D2F3E" w:rsidRDefault="009D2F3E" w:rsidP="003E41E7">
      <w:pPr>
        <w:spacing w:line="240" w:lineRule="auto"/>
      </w:pPr>
    </w:p>
    <w:p w:rsidR="00F7371F" w:rsidRPr="001264D7" w:rsidRDefault="00F7371F" w:rsidP="003E41E7">
      <w:pPr>
        <w:spacing w:line="240" w:lineRule="auto"/>
      </w:pPr>
      <w:r w:rsidRPr="001264D7">
        <w:t xml:space="preserve">Regulatory Guide 1.160, Rev. </w:t>
      </w:r>
      <w:r>
        <w:t xml:space="preserve">3, </w:t>
      </w:r>
      <w:r w:rsidRPr="001264D7">
        <w:t>May 2012, “Monitoring the Effectiveness of Main</w:t>
      </w:r>
      <w:r w:rsidR="00DF676A">
        <w:t>tenance at Nuclear Power Plants</w:t>
      </w:r>
      <w:r w:rsidRPr="001264D7">
        <w:t>”</w:t>
      </w:r>
    </w:p>
    <w:p w:rsidR="00F7371F" w:rsidRPr="001264D7" w:rsidRDefault="00F7371F" w:rsidP="003E41E7">
      <w:pPr>
        <w:spacing w:line="240" w:lineRule="auto"/>
      </w:pPr>
    </w:p>
    <w:p w:rsidR="00F7371F" w:rsidRDefault="00F7371F" w:rsidP="003E41E7">
      <w:pPr>
        <w:spacing w:line="240" w:lineRule="auto"/>
      </w:pPr>
      <w:r w:rsidRPr="001264D7">
        <w:t>Regulatory Guide 1.206, June 2007, “Combined License Applications for Nuc</w:t>
      </w:r>
      <w:r w:rsidR="00DF676A">
        <w:t>lear Power Plants (LWR Edition)</w:t>
      </w:r>
      <w:r w:rsidRPr="001264D7">
        <w:t>”</w:t>
      </w:r>
    </w:p>
    <w:p w:rsidR="00F7371F" w:rsidRPr="001264D7" w:rsidRDefault="00F7371F" w:rsidP="003E41E7">
      <w:pPr>
        <w:spacing w:line="240" w:lineRule="auto"/>
      </w:pPr>
    </w:p>
    <w:p w:rsidR="00D4619F" w:rsidRPr="001264D7" w:rsidRDefault="00D4619F" w:rsidP="003E41E7">
      <w:pPr>
        <w:spacing w:line="240" w:lineRule="auto"/>
      </w:pPr>
      <w:r w:rsidRPr="001264D7">
        <w:t>NEI-07-02A, Revision 0–November 2010, “Generic FSAR Template Guidance for Maintenance Rule Program Description for Plant</w:t>
      </w:r>
      <w:r w:rsidR="00DF676A">
        <w:t xml:space="preserve">s Licensed Under 10 CFR </w:t>
      </w:r>
      <w:proofErr w:type="gramStart"/>
      <w:r w:rsidR="00DF676A">
        <w:t>Part</w:t>
      </w:r>
      <w:proofErr w:type="gramEnd"/>
      <w:r w:rsidR="00DF676A">
        <w:t xml:space="preserve"> 52</w:t>
      </w:r>
      <w:r w:rsidRPr="001264D7">
        <w:t>”</w:t>
      </w:r>
    </w:p>
    <w:p w:rsidR="00D4619F" w:rsidRPr="001264D7" w:rsidRDefault="00D4619F" w:rsidP="003E41E7">
      <w:pPr>
        <w:spacing w:line="240" w:lineRule="auto"/>
      </w:pPr>
    </w:p>
    <w:p w:rsidR="00D4619F" w:rsidRPr="001264D7" w:rsidRDefault="00D4619F" w:rsidP="003E41E7">
      <w:pPr>
        <w:spacing w:line="240" w:lineRule="auto"/>
      </w:pPr>
      <w:r w:rsidRPr="001264D7">
        <w:t>Nuclear Management and Resources Council, Inc., "Industry Guideline for</w:t>
      </w:r>
      <w:r>
        <w:t xml:space="preserve"> </w:t>
      </w:r>
      <w:r w:rsidRPr="001264D7">
        <w:t>Monitoring the Effectiveness of Maintenance at Nuclear Power Plants," NUMARC</w:t>
      </w:r>
      <w:r>
        <w:t xml:space="preserve"> </w:t>
      </w:r>
      <w:r w:rsidR="00DF676A">
        <w:t>93-01, Rev. 4A, April 2011</w:t>
      </w:r>
    </w:p>
    <w:p w:rsidR="00B225D8" w:rsidRDefault="00B225D8" w:rsidP="003E41E7">
      <w:pPr>
        <w:spacing w:line="240" w:lineRule="auto"/>
        <w:sectPr w:rsidR="00B225D8" w:rsidSect="00F3477D">
          <w:pgSz w:w="12240" w:h="15840"/>
          <w:pgMar w:top="1440" w:right="1440" w:bottom="1440" w:left="1440" w:header="1440" w:footer="1440" w:gutter="0"/>
          <w:cols w:space="720"/>
          <w:docGrid w:linePitch="360"/>
        </w:sectPr>
      </w:pPr>
    </w:p>
    <w:p w:rsidR="009D2F3E" w:rsidRDefault="009D2F3E" w:rsidP="003E41E7">
      <w:pPr>
        <w:spacing w:line="240" w:lineRule="auto"/>
      </w:pPr>
    </w:p>
    <w:p w:rsidR="00DC5D68" w:rsidRDefault="00856256" w:rsidP="00F3477D">
      <w:pPr>
        <w:spacing w:line="240" w:lineRule="auto"/>
      </w:pPr>
      <w:r>
        <w:t>62712</w:t>
      </w:r>
      <w:r w:rsidRPr="00856256">
        <w:t>-05</w:t>
      </w:r>
      <w:r w:rsidRPr="00856256">
        <w:tab/>
        <w:t>PROCEDURE COMPLETION</w:t>
      </w:r>
    </w:p>
    <w:p w:rsidR="00865EBD" w:rsidRDefault="00865EBD" w:rsidP="00F3477D">
      <w:pPr>
        <w:spacing w:line="240" w:lineRule="auto"/>
      </w:pPr>
    </w:p>
    <w:p w:rsidR="00865EBD" w:rsidRDefault="00865EBD" w:rsidP="00F3477D">
      <w:pPr>
        <w:spacing w:line="240" w:lineRule="auto"/>
      </w:pPr>
      <w:r>
        <w:t xml:space="preserve">This procedure is complete upon satisfactory inspection results verifying that an MR program exists that adequately implements the program required by regulation and described in the COL. </w:t>
      </w:r>
    </w:p>
    <w:p w:rsidR="00865EBD" w:rsidRDefault="00865EBD" w:rsidP="00F3477D">
      <w:pPr>
        <w:spacing w:line="240" w:lineRule="auto"/>
      </w:pPr>
    </w:p>
    <w:p w:rsidR="00865EBD" w:rsidRDefault="00865EBD" w:rsidP="00F3477D">
      <w:pPr>
        <w:spacing w:line="240" w:lineRule="auto"/>
      </w:pPr>
      <w:r>
        <w:t xml:space="preserve">The target of the inspections conducted in Section 02.02 is to verify that at least one entire system identified for each category in Section 02.02a is reviewed and that all of the SSCs within the scope of the RAP in Section 02.02d are verified to be included </w:t>
      </w:r>
      <w:r w:rsidR="002A7894">
        <w:t xml:space="preserve">within the initial MR scope </w:t>
      </w:r>
      <w:r w:rsidR="009D4EE8">
        <w:t xml:space="preserve">and are scoped in </w:t>
      </w:r>
      <w:r>
        <w:t xml:space="preserve">as HSS SSCs.  The goal of the inspections conducted in Sections 02.03, 02.04, </w:t>
      </w:r>
      <w:r w:rsidR="004D6F05">
        <w:t xml:space="preserve">02.05, 02.06, 02.07, and 02.08 </w:t>
      </w:r>
      <w:r>
        <w:t>is to verify that the specified plans</w:t>
      </w:r>
      <w:r w:rsidR="00D755DB">
        <w:t>,</w:t>
      </w:r>
      <w:r>
        <w:t xml:space="preserve"> training </w:t>
      </w:r>
      <w:r w:rsidR="00D755DB">
        <w:t xml:space="preserve">and </w:t>
      </w:r>
      <w:r>
        <w:t xml:space="preserve">qualification programs exist and meet the particular requirements of each section.   </w:t>
      </w:r>
    </w:p>
    <w:p w:rsidR="00856256" w:rsidRDefault="00856256" w:rsidP="00F3477D">
      <w:pPr>
        <w:spacing w:line="240" w:lineRule="auto"/>
        <w:jc w:val="both"/>
      </w:pPr>
    </w:p>
    <w:p w:rsidR="00856256" w:rsidRDefault="00856256" w:rsidP="00F3477D">
      <w:pPr>
        <w:spacing w:line="240" w:lineRule="auto"/>
        <w:jc w:val="both"/>
      </w:pPr>
    </w:p>
    <w:p w:rsidR="00856256" w:rsidRDefault="00856256" w:rsidP="00F3477D">
      <w:pPr>
        <w:spacing w:line="240" w:lineRule="auto"/>
        <w:jc w:val="both"/>
      </w:pPr>
    </w:p>
    <w:p w:rsidR="00856256" w:rsidRDefault="00856256" w:rsidP="00F3477D">
      <w:pPr>
        <w:spacing w:line="240" w:lineRule="auto"/>
        <w:jc w:val="center"/>
      </w:pPr>
      <w:r>
        <w:t>END</w:t>
      </w:r>
    </w:p>
    <w:p w:rsidR="00856256" w:rsidRDefault="00856256" w:rsidP="00F3477D">
      <w:pPr>
        <w:spacing w:line="240" w:lineRule="auto"/>
        <w:jc w:val="center"/>
      </w:pPr>
    </w:p>
    <w:p w:rsidR="00856256" w:rsidRDefault="004D01B7" w:rsidP="004D01B7">
      <w:pPr>
        <w:spacing w:line="240" w:lineRule="auto"/>
      </w:pPr>
      <w:r>
        <w:t xml:space="preserve">Attachment:  </w:t>
      </w:r>
    </w:p>
    <w:p w:rsidR="004D01B7" w:rsidRDefault="004D01B7" w:rsidP="004D01B7">
      <w:pPr>
        <w:spacing w:line="240" w:lineRule="auto"/>
      </w:pPr>
      <w:r>
        <w:t>Revision History for IP 62712</w:t>
      </w:r>
    </w:p>
    <w:p w:rsidR="00856256" w:rsidRDefault="00856256" w:rsidP="004D01B7">
      <w:pPr>
        <w:spacing w:line="240" w:lineRule="auto"/>
      </w:pPr>
      <w:r>
        <w:br w:type="page"/>
      </w:r>
    </w:p>
    <w:p w:rsidR="006811A6" w:rsidRDefault="006811A6" w:rsidP="00856256">
      <w:pPr>
        <w:numPr>
          <w:ilvl w:val="12"/>
          <w:numId w:val="0"/>
        </w:numPr>
        <w:tabs>
          <w:tab w:val="left" w:pos="270"/>
          <w:tab w:val="left" w:pos="810"/>
          <w:tab w:val="left" w:pos="1440"/>
          <w:tab w:val="left" w:pos="1980"/>
        </w:tabs>
        <w:jc w:val="center"/>
        <w:outlineLvl w:val="0"/>
        <w:rPr>
          <w:sz w:val="24"/>
          <w:szCs w:val="24"/>
        </w:rPr>
        <w:sectPr w:rsidR="006811A6" w:rsidSect="00F3477D">
          <w:pgSz w:w="12240" w:h="15840"/>
          <w:pgMar w:top="1440" w:right="1440" w:bottom="1440" w:left="1440" w:header="1440" w:footer="1440" w:gutter="0"/>
          <w:cols w:space="720"/>
          <w:docGrid w:linePitch="360"/>
        </w:sectPr>
      </w:pPr>
    </w:p>
    <w:p w:rsidR="00856256" w:rsidRDefault="00856256" w:rsidP="004D01B7">
      <w:pPr>
        <w:numPr>
          <w:ilvl w:val="12"/>
          <w:numId w:val="0"/>
        </w:numPr>
        <w:tabs>
          <w:tab w:val="left" w:pos="270"/>
          <w:tab w:val="left" w:pos="810"/>
          <w:tab w:val="left" w:pos="1440"/>
          <w:tab w:val="left" w:pos="1980"/>
        </w:tabs>
        <w:spacing w:line="240" w:lineRule="auto"/>
        <w:jc w:val="center"/>
        <w:outlineLvl w:val="0"/>
        <w:rPr>
          <w:rFonts w:eastAsia="Calibri"/>
          <w:sz w:val="24"/>
          <w:szCs w:val="24"/>
        </w:rPr>
      </w:pPr>
      <w:r>
        <w:rPr>
          <w:rFonts w:eastAsia="Calibri"/>
          <w:sz w:val="24"/>
          <w:szCs w:val="24"/>
        </w:rPr>
        <w:lastRenderedPageBreak/>
        <w:t xml:space="preserve">ATTACHMENT 1 </w:t>
      </w:r>
    </w:p>
    <w:p w:rsidR="00856256" w:rsidRDefault="00856256" w:rsidP="004D01B7">
      <w:pPr>
        <w:numPr>
          <w:ilvl w:val="12"/>
          <w:numId w:val="0"/>
        </w:numPr>
        <w:tabs>
          <w:tab w:val="left" w:pos="270"/>
          <w:tab w:val="left" w:pos="810"/>
          <w:tab w:val="left" w:pos="1440"/>
          <w:tab w:val="left" w:pos="1980"/>
        </w:tabs>
        <w:spacing w:line="240" w:lineRule="auto"/>
        <w:jc w:val="center"/>
        <w:outlineLvl w:val="0"/>
        <w:rPr>
          <w:rFonts w:eastAsia="Calibri"/>
          <w:sz w:val="24"/>
          <w:szCs w:val="24"/>
          <w:u w:val="single"/>
        </w:rPr>
      </w:pPr>
      <w:r w:rsidRPr="00E51C2F">
        <w:rPr>
          <w:rFonts w:eastAsia="Calibri"/>
          <w:sz w:val="24"/>
          <w:szCs w:val="24"/>
        </w:rPr>
        <w:t xml:space="preserve">Revision History for IP </w:t>
      </w:r>
      <w:r>
        <w:rPr>
          <w:sz w:val="24"/>
          <w:szCs w:val="24"/>
        </w:rPr>
        <w:t>62712</w:t>
      </w:r>
    </w:p>
    <w:p w:rsidR="00856256" w:rsidRDefault="00856256" w:rsidP="004D01B7">
      <w:pPr>
        <w:numPr>
          <w:ilvl w:val="12"/>
          <w:numId w:val="0"/>
        </w:numPr>
        <w:tabs>
          <w:tab w:val="left" w:pos="270"/>
          <w:tab w:val="left" w:pos="810"/>
          <w:tab w:val="left" w:pos="1440"/>
          <w:tab w:val="left" w:pos="1980"/>
        </w:tabs>
        <w:spacing w:line="240" w:lineRule="auto"/>
        <w:jc w:val="both"/>
        <w:outlineLvl w:val="0"/>
        <w:rPr>
          <w:rFonts w:eastAsia="Calibri"/>
          <w:sz w:val="24"/>
          <w:szCs w:val="24"/>
          <w:u w:val="single"/>
        </w:rPr>
      </w:pPr>
    </w:p>
    <w:p w:rsidR="00856256" w:rsidRDefault="00856256" w:rsidP="004D01B7">
      <w:pPr>
        <w:numPr>
          <w:ilvl w:val="12"/>
          <w:numId w:val="0"/>
        </w:numPr>
        <w:tabs>
          <w:tab w:val="left" w:pos="270"/>
          <w:tab w:val="left" w:pos="810"/>
          <w:tab w:val="left" w:pos="1440"/>
          <w:tab w:val="left" w:pos="1980"/>
        </w:tabs>
        <w:spacing w:line="240" w:lineRule="auto"/>
        <w:jc w:val="both"/>
        <w:outlineLvl w:val="0"/>
        <w:rPr>
          <w:rFonts w:eastAsia="Calibri"/>
        </w:rPr>
      </w:pPr>
    </w:p>
    <w:tbl>
      <w:tblPr>
        <w:tblW w:w="0" w:type="auto"/>
        <w:tblInd w:w="100" w:type="dxa"/>
        <w:tblLayout w:type="fixed"/>
        <w:tblCellMar>
          <w:left w:w="100" w:type="dxa"/>
          <w:right w:w="100" w:type="dxa"/>
        </w:tblCellMar>
        <w:tblLook w:val="0000" w:firstRow="0" w:lastRow="0" w:firstColumn="0" w:lastColumn="0" w:noHBand="0" w:noVBand="0"/>
      </w:tblPr>
      <w:tblGrid>
        <w:gridCol w:w="1530"/>
        <w:gridCol w:w="2070"/>
        <w:gridCol w:w="4140"/>
        <w:gridCol w:w="2340"/>
        <w:gridCol w:w="2520"/>
      </w:tblGrid>
      <w:tr w:rsidR="00B225D8" w:rsidRPr="00F3477D" w:rsidTr="00B225D8">
        <w:trPr>
          <w:cantSplit/>
        </w:trPr>
        <w:tc>
          <w:tcPr>
            <w:tcW w:w="1530" w:type="dxa"/>
            <w:tcBorders>
              <w:top w:val="single" w:sz="6" w:space="0" w:color="000000"/>
              <w:left w:val="single" w:sz="6" w:space="0" w:color="000000"/>
              <w:bottom w:val="nil"/>
              <w:right w:val="nil"/>
            </w:tcBorders>
          </w:tcPr>
          <w:p w:rsidR="00B225D8" w:rsidRPr="00F3477D" w:rsidRDefault="00B225D8" w:rsidP="00B225D8">
            <w:pPr>
              <w:numPr>
                <w:ilvl w:val="12"/>
                <w:numId w:val="0"/>
              </w:numPr>
              <w:tabs>
                <w:tab w:val="left" w:pos="270"/>
                <w:tab w:val="left" w:pos="810"/>
                <w:tab w:val="left" w:pos="1440"/>
              </w:tabs>
              <w:spacing w:line="240" w:lineRule="auto"/>
              <w:rPr>
                <w:rFonts w:eastAsia="Calibri"/>
              </w:rPr>
            </w:pPr>
            <w:r w:rsidRPr="00F3477D">
              <w:rPr>
                <w:rFonts w:eastAsia="Calibri"/>
              </w:rPr>
              <w:t>Commitment Tracking Number</w:t>
            </w:r>
          </w:p>
        </w:tc>
        <w:tc>
          <w:tcPr>
            <w:tcW w:w="2070" w:type="dxa"/>
            <w:tcBorders>
              <w:top w:val="single" w:sz="6" w:space="0" w:color="000000"/>
              <w:left w:val="single" w:sz="6" w:space="0" w:color="000000"/>
              <w:bottom w:val="nil"/>
              <w:right w:val="nil"/>
            </w:tcBorders>
          </w:tcPr>
          <w:p w:rsidR="00B225D8" w:rsidRDefault="00B225D8" w:rsidP="00B225D8">
            <w:pPr>
              <w:numPr>
                <w:ilvl w:val="12"/>
                <w:numId w:val="0"/>
              </w:numPr>
              <w:tabs>
                <w:tab w:val="left" w:pos="270"/>
                <w:tab w:val="left" w:pos="810"/>
              </w:tabs>
              <w:spacing w:line="240" w:lineRule="auto"/>
              <w:rPr>
                <w:rFonts w:eastAsia="Calibri"/>
              </w:rPr>
            </w:pPr>
            <w:r>
              <w:rPr>
                <w:rFonts w:eastAsia="Calibri"/>
              </w:rPr>
              <w:t xml:space="preserve">Accession Number </w:t>
            </w:r>
            <w:r w:rsidRPr="00F3477D">
              <w:rPr>
                <w:rFonts w:eastAsia="Calibri"/>
              </w:rPr>
              <w:t>Issue Date</w:t>
            </w:r>
          </w:p>
          <w:p w:rsidR="00B225D8" w:rsidRPr="00F3477D" w:rsidRDefault="00B225D8" w:rsidP="00B225D8">
            <w:pPr>
              <w:numPr>
                <w:ilvl w:val="12"/>
                <w:numId w:val="0"/>
              </w:numPr>
              <w:tabs>
                <w:tab w:val="left" w:pos="270"/>
                <w:tab w:val="left" w:pos="810"/>
              </w:tabs>
              <w:spacing w:line="240" w:lineRule="auto"/>
              <w:rPr>
                <w:rFonts w:eastAsia="Calibri"/>
              </w:rPr>
            </w:pPr>
            <w:r>
              <w:rPr>
                <w:rFonts w:eastAsia="Calibri"/>
              </w:rPr>
              <w:t>Change Notice</w:t>
            </w:r>
          </w:p>
        </w:tc>
        <w:tc>
          <w:tcPr>
            <w:tcW w:w="4140" w:type="dxa"/>
            <w:tcBorders>
              <w:top w:val="single" w:sz="6" w:space="0" w:color="000000"/>
              <w:left w:val="single" w:sz="6" w:space="0" w:color="000000"/>
              <w:bottom w:val="nil"/>
              <w:right w:val="nil"/>
            </w:tcBorders>
          </w:tcPr>
          <w:p w:rsidR="00B225D8" w:rsidRPr="00F3477D" w:rsidRDefault="00B225D8" w:rsidP="00B225D8">
            <w:pPr>
              <w:numPr>
                <w:ilvl w:val="12"/>
                <w:numId w:val="0"/>
              </w:numPr>
              <w:tabs>
                <w:tab w:val="left" w:pos="270"/>
                <w:tab w:val="left" w:pos="810"/>
                <w:tab w:val="left" w:pos="1440"/>
                <w:tab w:val="left" w:pos="1980"/>
              </w:tabs>
              <w:spacing w:line="240" w:lineRule="auto"/>
              <w:jc w:val="center"/>
              <w:rPr>
                <w:rFonts w:eastAsia="Calibri"/>
              </w:rPr>
            </w:pPr>
            <w:r w:rsidRPr="00F3477D">
              <w:rPr>
                <w:rFonts w:eastAsia="Calibri"/>
              </w:rPr>
              <w:t>Description of Change</w:t>
            </w:r>
          </w:p>
        </w:tc>
        <w:tc>
          <w:tcPr>
            <w:tcW w:w="2340" w:type="dxa"/>
            <w:tcBorders>
              <w:top w:val="single" w:sz="6" w:space="0" w:color="000000"/>
              <w:left w:val="single" w:sz="6" w:space="0" w:color="000000"/>
              <w:bottom w:val="nil"/>
              <w:right w:val="nil"/>
            </w:tcBorders>
          </w:tcPr>
          <w:p w:rsidR="00B225D8" w:rsidRPr="00F3477D" w:rsidRDefault="00B225D8" w:rsidP="00B225D8">
            <w:pPr>
              <w:numPr>
                <w:ilvl w:val="12"/>
                <w:numId w:val="0"/>
              </w:numPr>
              <w:tabs>
                <w:tab w:val="left" w:pos="270"/>
                <w:tab w:val="left" w:pos="810"/>
                <w:tab w:val="left" w:pos="1440"/>
              </w:tabs>
              <w:spacing w:line="240" w:lineRule="auto"/>
              <w:rPr>
                <w:rFonts w:eastAsia="Calibri"/>
              </w:rPr>
            </w:pPr>
            <w:r>
              <w:rPr>
                <w:rFonts w:eastAsia="Calibri"/>
              </w:rPr>
              <w:t xml:space="preserve">Description of </w:t>
            </w:r>
            <w:r w:rsidRPr="00F3477D">
              <w:rPr>
                <w:rFonts w:eastAsia="Calibri"/>
              </w:rPr>
              <w:t>Training</w:t>
            </w:r>
            <w:r>
              <w:rPr>
                <w:rFonts w:eastAsia="Calibri"/>
              </w:rPr>
              <w:t xml:space="preserve"> Required and </w:t>
            </w:r>
            <w:r w:rsidRPr="00F3477D">
              <w:rPr>
                <w:rFonts w:eastAsia="Calibri"/>
              </w:rPr>
              <w:t>Completion Date</w:t>
            </w:r>
          </w:p>
        </w:tc>
        <w:tc>
          <w:tcPr>
            <w:tcW w:w="2520" w:type="dxa"/>
            <w:tcBorders>
              <w:top w:val="single" w:sz="6" w:space="0" w:color="000000"/>
              <w:left w:val="single" w:sz="6" w:space="0" w:color="000000"/>
              <w:bottom w:val="nil"/>
              <w:right w:val="single" w:sz="6" w:space="0" w:color="000000"/>
            </w:tcBorders>
          </w:tcPr>
          <w:p w:rsidR="00B225D8" w:rsidRPr="00F3477D" w:rsidRDefault="00B225D8" w:rsidP="00B225D8">
            <w:pPr>
              <w:numPr>
                <w:ilvl w:val="12"/>
                <w:numId w:val="0"/>
              </w:numPr>
              <w:tabs>
                <w:tab w:val="left" w:pos="270"/>
                <w:tab w:val="left" w:pos="810"/>
                <w:tab w:val="left" w:pos="1440"/>
                <w:tab w:val="left" w:pos="1980"/>
              </w:tabs>
              <w:spacing w:line="240" w:lineRule="auto"/>
              <w:rPr>
                <w:rFonts w:eastAsia="Calibri"/>
              </w:rPr>
            </w:pPr>
            <w:r w:rsidRPr="00F3477D">
              <w:rPr>
                <w:rFonts w:eastAsia="Calibri"/>
              </w:rPr>
              <w:t xml:space="preserve">Comment </w:t>
            </w:r>
            <w:r>
              <w:rPr>
                <w:rFonts w:eastAsia="Calibri"/>
              </w:rPr>
              <w:t xml:space="preserve">and Feedback </w:t>
            </w:r>
            <w:r w:rsidRPr="00F3477D">
              <w:rPr>
                <w:rFonts w:eastAsia="Calibri"/>
              </w:rPr>
              <w:t>Resolution Accession Number</w:t>
            </w:r>
          </w:p>
        </w:tc>
      </w:tr>
      <w:tr w:rsidR="00B225D8" w:rsidRPr="00F3477D" w:rsidTr="00B225D8">
        <w:trPr>
          <w:cantSplit/>
        </w:trPr>
        <w:tc>
          <w:tcPr>
            <w:tcW w:w="1530" w:type="dxa"/>
            <w:tcBorders>
              <w:top w:val="single" w:sz="6" w:space="0" w:color="000000"/>
              <w:left w:val="single" w:sz="6" w:space="0" w:color="000000"/>
              <w:bottom w:val="nil"/>
              <w:right w:val="nil"/>
            </w:tcBorders>
          </w:tcPr>
          <w:p w:rsidR="00B225D8" w:rsidRPr="00F3477D" w:rsidRDefault="00B225D8" w:rsidP="00B225D8">
            <w:pPr>
              <w:numPr>
                <w:ilvl w:val="12"/>
                <w:numId w:val="0"/>
              </w:numPr>
              <w:tabs>
                <w:tab w:val="left" w:pos="270"/>
                <w:tab w:val="left" w:pos="810"/>
                <w:tab w:val="left" w:pos="1440"/>
              </w:tabs>
              <w:spacing w:line="240" w:lineRule="auto"/>
              <w:rPr>
                <w:rFonts w:eastAsia="Calibri"/>
              </w:rPr>
            </w:pPr>
            <w:r w:rsidRPr="00F3477D">
              <w:rPr>
                <w:rFonts w:eastAsia="Calibri"/>
              </w:rPr>
              <w:t>N/A</w:t>
            </w:r>
          </w:p>
        </w:tc>
        <w:tc>
          <w:tcPr>
            <w:tcW w:w="2070" w:type="dxa"/>
            <w:tcBorders>
              <w:top w:val="single" w:sz="6" w:space="0" w:color="000000"/>
              <w:left w:val="single" w:sz="6" w:space="0" w:color="000000"/>
              <w:bottom w:val="nil"/>
              <w:right w:val="nil"/>
            </w:tcBorders>
          </w:tcPr>
          <w:p w:rsidR="00B225D8" w:rsidRDefault="00B225D8" w:rsidP="00B225D8">
            <w:pPr>
              <w:numPr>
                <w:ilvl w:val="12"/>
                <w:numId w:val="0"/>
              </w:numPr>
              <w:tabs>
                <w:tab w:val="left" w:pos="270"/>
                <w:tab w:val="left" w:pos="810"/>
              </w:tabs>
              <w:spacing w:line="240" w:lineRule="auto"/>
              <w:rPr>
                <w:rFonts w:eastAsia="Calibri"/>
              </w:rPr>
            </w:pPr>
            <w:r>
              <w:rPr>
                <w:rFonts w:eastAsia="Calibri"/>
              </w:rPr>
              <w:t>ML13098A126</w:t>
            </w:r>
          </w:p>
          <w:p w:rsidR="00B225D8" w:rsidRDefault="001D6334" w:rsidP="00B225D8">
            <w:pPr>
              <w:numPr>
                <w:ilvl w:val="12"/>
                <w:numId w:val="0"/>
              </w:numPr>
              <w:tabs>
                <w:tab w:val="left" w:pos="270"/>
                <w:tab w:val="left" w:pos="810"/>
              </w:tabs>
              <w:spacing w:line="240" w:lineRule="auto"/>
              <w:rPr>
                <w:rFonts w:eastAsia="Calibri"/>
              </w:rPr>
            </w:pPr>
            <w:r>
              <w:rPr>
                <w:rFonts w:eastAsia="Calibri"/>
              </w:rPr>
              <w:t>08/13</w:t>
            </w:r>
            <w:r w:rsidR="00B225D8">
              <w:rPr>
                <w:rFonts w:eastAsia="Calibri"/>
              </w:rPr>
              <w:t>/13</w:t>
            </w:r>
          </w:p>
          <w:p w:rsidR="00B225D8" w:rsidRPr="00F3477D" w:rsidRDefault="00B225D8" w:rsidP="00B225D8">
            <w:pPr>
              <w:numPr>
                <w:ilvl w:val="12"/>
                <w:numId w:val="0"/>
              </w:numPr>
              <w:tabs>
                <w:tab w:val="left" w:pos="270"/>
                <w:tab w:val="left" w:pos="810"/>
              </w:tabs>
              <w:spacing w:line="240" w:lineRule="auto"/>
              <w:rPr>
                <w:rFonts w:eastAsia="Calibri"/>
              </w:rPr>
            </w:pPr>
            <w:r>
              <w:rPr>
                <w:rFonts w:eastAsia="Calibri"/>
              </w:rPr>
              <w:t>CN 13-</w:t>
            </w:r>
            <w:r w:rsidR="001D6334">
              <w:rPr>
                <w:rFonts w:eastAsia="Calibri"/>
              </w:rPr>
              <w:t>017</w:t>
            </w:r>
          </w:p>
        </w:tc>
        <w:tc>
          <w:tcPr>
            <w:tcW w:w="4140" w:type="dxa"/>
            <w:tcBorders>
              <w:top w:val="single" w:sz="6" w:space="0" w:color="000000"/>
              <w:left w:val="single" w:sz="6" w:space="0" w:color="000000"/>
              <w:bottom w:val="nil"/>
              <w:right w:val="nil"/>
            </w:tcBorders>
          </w:tcPr>
          <w:p w:rsidR="00B225D8" w:rsidRPr="00F3477D" w:rsidRDefault="00B225D8" w:rsidP="00B225D8">
            <w:pPr>
              <w:numPr>
                <w:ilvl w:val="12"/>
                <w:numId w:val="0"/>
              </w:numPr>
              <w:tabs>
                <w:tab w:val="left" w:pos="270"/>
                <w:tab w:val="left" w:pos="810"/>
                <w:tab w:val="left" w:pos="1440"/>
                <w:tab w:val="left" w:pos="1980"/>
              </w:tabs>
              <w:spacing w:line="240" w:lineRule="auto"/>
              <w:rPr>
                <w:rFonts w:eastAsia="Calibri"/>
              </w:rPr>
            </w:pPr>
            <w:r w:rsidRPr="00F3477D">
              <w:rPr>
                <w:rFonts w:eastAsia="Calibri"/>
              </w:rPr>
              <w:t>Initial issue to support inspections of construction programs described in IMC 2504, Construction Inspection Program:  Inspection of Construction and Operational Programs.</w:t>
            </w:r>
          </w:p>
        </w:tc>
        <w:tc>
          <w:tcPr>
            <w:tcW w:w="2340" w:type="dxa"/>
            <w:tcBorders>
              <w:top w:val="single" w:sz="6" w:space="0" w:color="000000"/>
              <w:left w:val="single" w:sz="6" w:space="0" w:color="000000"/>
              <w:bottom w:val="nil"/>
              <w:right w:val="nil"/>
            </w:tcBorders>
          </w:tcPr>
          <w:p w:rsidR="00B225D8" w:rsidRPr="00F3477D" w:rsidRDefault="00B225D8" w:rsidP="00B225D8">
            <w:pPr>
              <w:numPr>
                <w:ilvl w:val="12"/>
                <w:numId w:val="0"/>
              </w:numPr>
              <w:tabs>
                <w:tab w:val="left" w:pos="270"/>
                <w:tab w:val="left" w:pos="810"/>
                <w:tab w:val="left" w:pos="1440"/>
              </w:tabs>
              <w:spacing w:line="240" w:lineRule="auto"/>
              <w:rPr>
                <w:rFonts w:eastAsia="Calibri"/>
              </w:rPr>
            </w:pPr>
            <w:r w:rsidRPr="00F3477D">
              <w:rPr>
                <w:rFonts w:eastAsia="Calibri"/>
              </w:rPr>
              <w:t>N/A</w:t>
            </w:r>
          </w:p>
        </w:tc>
        <w:tc>
          <w:tcPr>
            <w:tcW w:w="2520" w:type="dxa"/>
            <w:tcBorders>
              <w:top w:val="single" w:sz="6" w:space="0" w:color="000000"/>
              <w:left w:val="single" w:sz="6" w:space="0" w:color="000000"/>
              <w:bottom w:val="nil"/>
              <w:right w:val="single" w:sz="6" w:space="0" w:color="000000"/>
            </w:tcBorders>
          </w:tcPr>
          <w:p w:rsidR="00B225D8" w:rsidRPr="00F3477D" w:rsidRDefault="00B225D8" w:rsidP="00B225D8">
            <w:pPr>
              <w:numPr>
                <w:ilvl w:val="12"/>
                <w:numId w:val="0"/>
              </w:numPr>
              <w:tabs>
                <w:tab w:val="left" w:pos="270"/>
                <w:tab w:val="left" w:pos="810"/>
                <w:tab w:val="left" w:pos="1440"/>
                <w:tab w:val="left" w:pos="1980"/>
              </w:tabs>
              <w:spacing w:line="240" w:lineRule="auto"/>
              <w:rPr>
                <w:rFonts w:eastAsia="Calibri"/>
              </w:rPr>
            </w:pPr>
            <w:r>
              <w:rPr>
                <w:rFonts w:eastAsia="Calibri"/>
              </w:rPr>
              <w:t>ML13098A127</w:t>
            </w:r>
          </w:p>
        </w:tc>
      </w:tr>
      <w:tr w:rsidR="00B225D8" w:rsidRPr="00F3477D" w:rsidTr="00B225D8">
        <w:trPr>
          <w:cantSplit/>
        </w:trPr>
        <w:tc>
          <w:tcPr>
            <w:tcW w:w="1530" w:type="dxa"/>
            <w:tcBorders>
              <w:top w:val="single" w:sz="6" w:space="0" w:color="000000"/>
              <w:left w:val="single" w:sz="6" w:space="0" w:color="000000"/>
              <w:bottom w:val="single" w:sz="6" w:space="0" w:color="000000"/>
              <w:right w:val="nil"/>
            </w:tcBorders>
          </w:tcPr>
          <w:p w:rsidR="00B225D8" w:rsidRPr="00F3477D" w:rsidRDefault="00B225D8" w:rsidP="00B225D8">
            <w:pPr>
              <w:numPr>
                <w:ilvl w:val="12"/>
                <w:numId w:val="0"/>
              </w:numPr>
              <w:tabs>
                <w:tab w:val="left" w:pos="270"/>
                <w:tab w:val="left" w:pos="810"/>
                <w:tab w:val="left" w:pos="1440"/>
              </w:tabs>
              <w:spacing w:line="240" w:lineRule="auto"/>
              <w:rPr>
                <w:rFonts w:eastAsia="Calibri"/>
              </w:rPr>
            </w:pPr>
          </w:p>
        </w:tc>
        <w:tc>
          <w:tcPr>
            <w:tcW w:w="2070" w:type="dxa"/>
            <w:tcBorders>
              <w:top w:val="single" w:sz="6" w:space="0" w:color="000000"/>
              <w:left w:val="single" w:sz="6" w:space="0" w:color="000000"/>
              <w:bottom w:val="single" w:sz="6" w:space="0" w:color="000000"/>
              <w:right w:val="nil"/>
            </w:tcBorders>
          </w:tcPr>
          <w:p w:rsidR="00B225D8" w:rsidRPr="00F3477D" w:rsidRDefault="00B225D8" w:rsidP="00B225D8">
            <w:pPr>
              <w:numPr>
                <w:ilvl w:val="12"/>
                <w:numId w:val="0"/>
              </w:numPr>
              <w:tabs>
                <w:tab w:val="left" w:pos="270"/>
                <w:tab w:val="left" w:pos="810"/>
              </w:tabs>
              <w:spacing w:line="240" w:lineRule="auto"/>
              <w:rPr>
                <w:rFonts w:eastAsia="Calibri"/>
              </w:rPr>
            </w:pPr>
          </w:p>
        </w:tc>
        <w:tc>
          <w:tcPr>
            <w:tcW w:w="4140" w:type="dxa"/>
            <w:tcBorders>
              <w:top w:val="single" w:sz="6" w:space="0" w:color="000000"/>
              <w:left w:val="single" w:sz="6" w:space="0" w:color="000000"/>
              <w:bottom w:val="single" w:sz="6" w:space="0" w:color="000000"/>
              <w:right w:val="nil"/>
            </w:tcBorders>
          </w:tcPr>
          <w:p w:rsidR="00B225D8" w:rsidRPr="00F3477D" w:rsidRDefault="00B225D8" w:rsidP="00B225D8">
            <w:pPr>
              <w:numPr>
                <w:ilvl w:val="12"/>
                <w:numId w:val="0"/>
              </w:numPr>
              <w:tabs>
                <w:tab w:val="left" w:pos="270"/>
                <w:tab w:val="left" w:pos="810"/>
                <w:tab w:val="left" w:pos="1440"/>
                <w:tab w:val="left" w:pos="1980"/>
              </w:tabs>
              <w:spacing w:line="240" w:lineRule="auto"/>
              <w:rPr>
                <w:rFonts w:eastAsia="Calibri"/>
              </w:rPr>
            </w:pPr>
          </w:p>
        </w:tc>
        <w:tc>
          <w:tcPr>
            <w:tcW w:w="2340" w:type="dxa"/>
            <w:tcBorders>
              <w:top w:val="single" w:sz="6" w:space="0" w:color="000000"/>
              <w:left w:val="single" w:sz="6" w:space="0" w:color="000000"/>
              <w:bottom w:val="single" w:sz="6" w:space="0" w:color="000000"/>
              <w:right w:val="nil"/>
            </w:tcBorders>
          </w:tcPr>
          <w:p w:rsidR="00B225D8" w:rsidRPr="00F3477D" w:rsidRDefault="00B225D8" w:rsidP="00B225D8">
            <w:pPr>
              <w:numPr>
                <w:ilvl w:val="12"/>
                <w:numId w:val="0"/>
              </w:numPr>
              <w:tabs>
                <w:tab w:val="left" w:pos="270"/>
                <w:tab w:val="left" w:pos="810"/>
                <w:tab w:val="left" w:pos="1440"/>
              </w:tabs>
              <w:spacing w:line="240" w:lineRule="auto"/>
              <w:rPr>
                <w:rFonts w:eastAsia="Calibri"/>
              </w:rPr>
            </w:pPr>
          </w:p>
        </w:tc>
        <w:tc>
          <w:tcPr>
            <w:tcW w:w="2520" w:type="dxa"/>
            <w:tcBorders>
              <w:top w:val="single" w:sz="6" w:space="0" w:color="000000"/>
              <w:left w:val="single" w:sz="6" w:space="0" w:color="000000"/>
              <w:bottom w:val="single" w:sz="6" w:space="0" w:color="000000"/>
              <w:right w:val="single" w:sz="6" w:space="0" w:color="000000"/>
            </w:tcBorders>
          </w:tcPr>
          <w:p w:rsidR="00B225D8" w:rsidRPr="00F3477D" w:rsidRDefault="00B225D8" w:rsidP="00B225D8">
            <w:pPr>
              <w:numPr>
                <w:ilvl w:val="12"/>
                <w:numId w:val="0"/>
              </w:numPr>
              <w:tabs>
                <w:tab w:val="left" w:pos="270"/>
                <w:tab w:val="left" w:pos="810"/>
                <w:tab w:val="left" w:pos="1440"/>
                <w:tab w:val="left" w:pos="1980"/>
              </w:tabs>
              <w:spacing w:line="240" w:lineRule="auto"/>
              <w:rPr>
                <w:rFonts w:eastAsia="Calibri"/>
              </w:rPr>
            </w:pPr>
          </w:p>
        </w:tc>
      </w:tr>
    </w:tbl>
    <w:p w:rsidR="00856256" w:rsidRPr="00F3477D" w:rsidRDefault="00856256" w:rsidP="004D01B7">
      <w:pPr>
        <w:spacing w:line="240" w:lineRule="auto"/>
        <w:jc w:val="center"/>
      </w:pPr>
    </w:p>
    <w:sectPr w:rsidR="00856256" w:rsidRPr="00F3477D" w:rsidSect="004D6F05">
      <w:footerReference w:type="default" r:id="rId10"/>
      <w:pgSz w:w="15840" w:h="12240" w:orient="landscape"/>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6D9" w:rsidRDefault="000266D9" w:rsidP="00E84F2B">
      <w:pPr>
        <w:spacing w:line="240" w:lineRule="auto"/>
      </w:pPr>
      <w:r>
        <w:separator/>
      </w:r>
    </w:p>
  </w:endnote>
  <w:endnote w:type="continuationSeparator" w:id="0">
    <w:p w:rsidR="000266D9" w:rsidRDefault="000266D9" w:rsidP="00E84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61" w:rsidRDefault="00F3477D" w:rsidP="00306317">
    <w:pPr>
      <w:pStyle w:val="Footer"/>
      <w:jc w:val="both"/>
    </w:pPr>
    <w:r>
      <w:t xml:space="preserve">Issue Date:  </w:t>
    </w:r>
    <w:r w:rsidR="001D6334">
      <w:t>08/13</w:t>
    </w:r>
    <w:r>
      <w:t>/13</w:t>
    </w:r>
    <w:r w:rsidR="00277961">
      <w:tab/>
    </w:r>
    <w:r w:rsidR="00B77FDA">
      <w:fldChar w:fldCharType="begin"/>
    </w:r>
    <w:r w:rsidR="00C362F6">
      <w:instrText xml:space="preserve"> PAGE   \* MERGEFORMAT </w:instrText>
    </w:r>
    <w:r w:rsidR="00B77FDA">
      <w:fldChar w:fldCharType="separate"/>
    </w:r>
    <w:r w:rsidR="001D6334">
      <w:rPr>
        <w:noProof/>
      </w:rPr>
      <w:t>1</w:t>
    </w:r>
    <w:r w:rsidR="00B77FDA">
      <w:rPr>
        <w:noProof/>
      </w:rPr>
      <w:fldChar w:fldCharType="end"/>
    </w:r>
    <w:r w:rsidR="00277961">
      <w:tab/>
      <w:t>62712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61" w:rsidRDefault="00F3477D" w:rsidP="00F3477D">
    <w:pPr>
      <w:pStyle w:val="Footer"/>
      <w:tabs>
        <w:tab w:val="clear" w:pos="4680"/>
        <w:tab w:val="clear" w:pos="9360"/>
        <w:tab w:val="center" w:pos="6480"/>
        <w:tab w:val="right" w:pos="12960"/>
      </w:tabs>
      <w:jc w:val="both"/>
    </w:pPr>
    <w:r>
      <w:t xml:space="preserve">Issue Date:  </w:t>
    </w:r>
    <w:r w:rsidR="001D6334">
      <w:t>08/13</w:t>
    </w:r>
    <w:r>
      <w:t>/13</w:t>
    </w:r>
    <w:r w:rsidR="00277961">
      <w:tab/>
      <w:t>Att1-</w:t>
    </w:r>
    <w:r w:rsidR="00B77FDA">
      <w:fldChar w:fldCharType="begin"/>
    </w:r>
    <w:r w:rsidR="00C362F6">
      <w:instrText xml:space="preserve"> PAGE   \* MERGEFORMAT </w:instrText>
    </w:r>
    <w:r w:rsidR="00B77FDA">
      <w:fldChar w:fldCharType="separate"/>
    </w:r>
    <w:r w:rsidR="001D6334">
      <w:rPr>
        <w:noProof/>
      </w:rPr>
      <w:t>1</w:t>
    </w:r>
    <w:r w:rsidR="00B77FDA">
      <w:rPr>
        <w:noProof/>
      </w:rPr>
      <w:fldChar w:fldCharType="end"/>
    </w:r>
    <w:r w:rsidR="00277961">
      <w:tab/>
      <w:t>62712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6D9" w:rsidRDefault="000266D9" w:rsidP="00E84F2B">
      <w:pPr>
        <w:spacing w:line="240" w:lineRule="auto"/>
      </w:pPr>
      <w:r>
        <w:separator/>
      </w:r>
    </w:p>
  </w:footnote>
  <w:footnote w:type="continuationSeparator" w:id="0">
    <w:p w:rsidR="000266D9" w:rsidRDefault="000266D9" w:rsidP="00E84F2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6F18"/>
    <w:multiLevelType w:val="hybridMultilevel"/>
    <w:tmpl w:val="F26CD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970FB"/>
    <w:multiLevelType w:val="hybridMultilevel"/>
    <w:tmpl w:val="E0BC52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63254"/>
    <w:multiLevelType w:val="hybridMultilevel"/>
    <w:tmpl w:val="1F0ED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89025C"/>
    <w:multiLevelType w:val="hybridMultilevel"/>
    <w:tmpl w:val="A9F48F9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950E01"/>
    <w:multiLevelType w:val="hybridMultilevel"/>
    <w:tmpl w:val="C3FE6A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2455C33"/>
    <w:multiLevelType w:val="hybridMultilevel"/>
    <w:tmpl w:val="06B80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34059"/>
    <w:multiLevelType w:val="hybridMultilevel"/>
    <w:tmpl w:val="BD946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7E4F8D"/>
    <w:multiLevelType w:val="hybridMultilevel"/>
    <w:tmpl w:val="CFD6CB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B3971"/>
    <w:multiLevelType w:val="hybridMultilevel"/>
    <w:tmpl w:val="FAC4B4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467DF"/>
    <w:multiLevelType w:val="hybridMultilevel"/>
    <w:tmpl w:val="6F24591E"/>
    <w:lvl w:ilvl="0" w:tplc="29368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3042A63"/>
    <w:multiLevelType w:val="hybridMultilevel"/>
    <w:tmpl w:val="86061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95762EA"/>
    <w:multiLevelType w:val="hybridMultilevel"/>
    <w:tmpl w:val="2194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7"/>
  </w:num>
  <w:num w:numId="5">
    <w:abstractNumId w:val="1"/>
  </w:num>
  <w:num w:numId="6">
    <w:abstractNumId w:val="5"/>
  </w:num>
  <w:num w:numId="7">
    <w:abstractNumId w:val="6"/>
  </w:num>
  <w:num w:numId="8">
    <w:abstractNumId w:val="11"/>
  </w:num>
  <w:num w:numId="9">
    <w:abstractNumId w:val="0"/>
  </w:num>
  <w:num w:numId="10">
    <w:abstractNumId w:val="9"/>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0CB"/>
    <w:rsid w:val="000028A7"/>
    <w:rsid w:val="0001692F"/>
    <w:rsid w:val="00017002"/>
    <w:rsid w:val="00017D5F"/>
    <w:rsid w:val="000266D9"/>
    <w:rsid w:val="0003409D"/>
    <w:rsid w:val="0003564C"/>
    <w:rsid w:val="00046CAF"/>
    <w:rsid w:val="00046DE8"/>
    <w:rsid w:val="00050A7B"/>
    <w:rsid w:val="000523AA"/>
    <w:rsid w:val="00063239"/>
    <w:rsid w:val="0006469C"/>
    <w:rsid w:val="00086B24"/>
    <w:rsid w:val="00086BFC"/>
    <w:rsid w:val="00090101"/>
    <w:rsid w:val="00091C97"/>
    <w:rsid w:val="00093CDE"/>
    <w:rsid w:val="00097204"/>
    <w:rsid w:val="0009735C"/>
    <w:rsid w:val="000A03CF"/>
    <w:rsid w:val="000A43E3"/>
    <w:rsid w:val="000A67A9"/>
    <w:rsid w:val="000B1B47"/>
    <w:rsid w:val="000C6AAA"/>
    <w:rsid w:val="000D1226"/>
    <w:rsid w:val="000D31F4"/>
    <w:rsid w:val="000D412C"/>
    <w:rsid w:val="000E160E"/>
    <w:rsid w:val="001038CF"/>
    <w:rsid w:val="0011137B"/>
    <w:rsid w:val="00113F76"/>
    <w:rsid w:val="00117128"/>
    <w:rsid w:val="00121D50"/>
    <w:rsid w:val="00123254"/>
    <w:rsid w:val="001264D7"/>
    <w:rsid w:val="0012675D"/>
    <w:rsid w:val="00140815"/>
    <w:rsid w:val="00141659"/>
    <w:rsid w:val="00146DCB"/>
    <w:rsid w:val="00152B70"/>
    <w:rsid w:val="00155FD7"/>
    <w:rsid w:val="0016264A"/>
    <w:rsid w:val="001655EC"/>
    <w:rsid w:val="001761F5"/>
    <w:rsid w:val="001768BD"/>
    <w:rsid w:val="00176B27"/>
    <w:rsid w:val="00185521"/>
    <w:rsid w:val="00191D7D"/>
    <w:rsid w:val="00195670"/>
    <w:rsid w:val="00196F77"/>
    <w:rsid w:val="001A710A"/>
    <w:rsid w:val="001A7C33"/>
    <w:rsid w:val="001A7CBC"/>
    <w:rsid w:val="001B144A"/>
    <w:rsid w:val="001B282A"/>
    <w:rsid w:val="001B39C7"/>
    <w:rsid w:val="001B5CA7"/>
    <w:rsid w:val="001C6019"/>
    <w:rsid w:val="001D0597"/>
    <w:rsid w:val="001D6334"/>
    <w:rsid w:val="001E19CB"/>
    <w:rsid w:val="00203D25"/>
    <w:rsid w:val="0020781F"/>
    <w:rsid w:val="00216376"/>
    <w:rsid w:val="00223A52"/>
    <w:rsid w:val="002241D6"/>
    <w:rsid w:val="0023684B"/>
    <w:rsid w:val="002447F4"/>
    <w:rsid w:val="00246EFF"/>
    <w:rsid w:val="00252D5B"/>
    <w:rsid w:val="00252E7C"/>
    <w:rsid w:val="002557EB"/>
    <w:rsid w:val="00257FDC"/>
    <w:rsid w:val="00264CD6"/>
    <w:rsid w:val="002654FF"/>
    <w:rsid w:val="00270C83"/>
    <w:rsid w:val="00277961"/>
    <w:rsid w:val="00280460"/>
    <w:rsid w:val="00283471"/>
    <w:rsid w:val="002924DB"/>
    <w:rsid w:val="00295F47"/>
    <w:rsid w:val="002A7894"/>
    <w:rsid w:val="002B20ED"/>
    <w:rsid w:val="002B2EB7"/>
    <w:rsid w:val="002B6FD8"/>
    <w:rsid w:val="002C0994"/>
    <w:rsid w:val="002C15F5"/>
    <w:rsid w:val="002C2752"/>
    <w:rsid w:val="002C7A8C"/>
    <w:rsid w:val="002D13BE"/>
    <w:rsid w:val="002D276E"/>
    <w:rsid w:val="002D2C6C"/>
    <w:rsid w:val="002D31B6"/>
    <w:rsid w:val="002D7C2C"/>
    <w:rsid w:val="002F246D"/>
    <w:rsid w:val="00304959"/>
    <w:rsid w:val="0030560D"/>
    <w:rsid w:val="00306317"/>
    <w:rsid w:val="00310B00"/>
    <w:rsid w:val="00310D3A"/>
    <w:rsid w:val="00331288"/>
    <w:rsid w:val="00334A99"/>
    <w:rsid w:val="00341F3B"/>
    <w:rsid w:val="00354A46"/>
    <w:rsid w:val="00375CBF"/>
    <w:rsid w:val="00376680"/>
    <w:rsid w:val="003859ED"/>
    <w:rsid w:val="003912E7"/>
    <w:rsid w:val="00392410"/>
    <w:rsid w:val="00393258"/>
    <w:rsid w:val="00395D49"/>
    <w:rsid w:val="003A1A12"/>
    <w:rsid w:val="003A2C62"/>
    <w:rsid w:val="003C6A53"/>
    <w:rsid w:val="003D424B"/>
    <w:rsid w:val="003D6F5E"/>
    <w:rsid w:val="003E41E7"/>
    <w:rsid w:val="003E4938"/>
    <w:rsid w:val="003E7ADB"/>
    <w:rsid w:val="003F3462"/>
    <w:rsid w:val="003F4925"/>
    <w:rsid w:val="003F6FC8"/>
    <w:rsid w:val="004021BA"/>
    <w:rsid w:val="00406C21"/>
    <w:rsid w:val="004155C1"/>
    <w:rsid w:val="00435B51"/>
    <w:rsid w:val="00445745"/>
    <w:rsid w:val="00450CBD"/>
    <w:rsid w:val="00455431"/>
    <w:rsid w:val="00463DB9"/>
    <w:rsid w:val="0046572D"/>
    <w:rsid w:val="0046622E"/>
    <w:rsid w:val="0046799F"/>
    <w:rsid w:val="004727AF"/>
    <w:rsid w:val="00484A36"/>
    <w:rsid w:val="004864DE"/>
    <w:rsid w:val="004A213F"/>
    <w:rsid w:val="004A3F84"/>
    <w:rsid w:val="004B16F6"/>
    <w:rsid w:val="004C0AB5"/>
    <w:rsid w:val="004C4E66"/>
    <w:rsid w:val="004C606A"/>
    <w:rsid w:val="004C6C91"/>
    <w:rsid w:val="004D01B7"/>
    <w:rsid w:val="004D2E06"/>
    <w:rsid w:val="004D6F05"/>
    <w:rsid w:val="004D74AF"/>
    <w:rsid w:val="004E0623"/>
    <w:rsid w:val="004E0E84"/>
    <w:rsid w:val="004E3F82"/>
    <w:rsid w:val="004E6F12"/>
    <w:rsid w:val="004F3EAD"/>
    <w:rsid w:val="004F4693"/>
    <w:rsid w:val="004F5FA2"/>
    <w:rsid w:val="004F6859"/>
    <w:rsid w:val="005056E7"/>
    <w:rsid w:val="0050730A"/>
    <w:rsid w:val="00510629"/>
    <w:rsid w:val="00510C7F"/>
    <w:rsid w:val="00514739"/>
    <w:rsid w:val="005173E7"/>
    <w:rsid w:val="00522B0F"/>
    <w:rsid w:val="005248F6"/>
    <w:rsid w:val="00524C03"/>
    <w:rsid w:val="005413B0"/>
    <w:rsid w:val="00543E22"/>
    <w:rsid w:val="005553E9"/>
    <w:rsid w:val="005558B5"/>
    <w:rsid w:val="0055752D"/>
    <w:rsid w:val="005663C9"/>
    <w:rsid w:val="005675F2"/>
    <w:rsid w:val="00573A1C"/>
    <w:rsid w:val="00577D1D"/>
    <w:rsid w:val="00580288"/>
    <w:rsid w:val="00580815"/>
    <w:rsid w:val="005874A6"/>
    <w:rsid w:val="00590613"/>
    <w:rsid w:val="005A2EA8"/>
    <w:rsid w:val="005A66A2"/>
    <w:rsid w:val="005B130D"/>
    <w:rsid w:val="005B4382"/>
    <w:rsid w:val="005C042B"/>
    <w:rsid w:val="005C1FE2"/>
    <w:rsid w:val="005C31E4"/>
    <w:rsid w:val="005D6C19"/>
    <w:rsid w:val="005D7FD5"/>
    <w:rsid w:val="005F2334"/>
    <w:rsid w:val="005F397E"/>
    <w:rsid w:val="0061490D"/>
    <w:rsid w:val="00614AA4"/>
    <w:rsid w:val="006201B5"/>
    <w:rsid w:val="00624F48"/>
    <w:rsid w:val="0063213E"/>
    <w:rsid w:val="0063531D"/>
    <w:rsid w:val="00645B93"/>
    <w:rsid w:val="00652B38"/>
    <w:rsid w:val="0065466C"/>
    <w:rsid w:val="00673679"/>
    <w:rsid w:val="0067605A"/>
    <w:rsid w:val="006811A6"/>
    <w:rsid w:val="00681DF3"/>
    <w:rsid w:val="00692EF5"/>
    <w:rsid w:val="00694F3D"/>
    <w:rsid w:val="006A50CB"/>
    <w:rsid w:val="006B0592"/>
    <w:rsid w:val="006C31DE"/>
    <w:rsid w:val="006C3868"/>
    <w:rsid w:val="006C4524"/>
    <w:rsid w:val="006C581D"/>
    <w:rsid w:val="006D1191"/>
    <w:rsid w:val="006E7D19"/>
    <w:rsid w:val="006F2397"/>
    <w:rsid w:val="006F3063"/>
    <w:rsid w:val="006F3F29"/>
    <w:rsid w:val="00710A62"/>
    <w:rsid w:val="0071536E"/>
    <w:rsid w:val="00723B0F"/>
    <w:rsid w:val="007258B1"/>
    <w:rsid w:val="00725D3F"/>
    <w:rsid w:val="00730F5A"/>
    <w:rsid w:val="00740E10"/>
    <w:rsid w:val="00744801"/>
    <w:rsid w:val="007616B1"/>
    <w:rsid w:val="007651CD"/>
    <w:rsid w:val="00765637"/>
    <w:rsid w:val="00770806"/>
    <w:rsid w:val="00775418"/>
    <w:rsid w:val="0078055E"/>
    <w:rsid w:val="00791D8E"/>
    <w:rsid w:val="00793DA1"/>
    <w:rsid w:val="0079743F"/>
    <w:rsid w:val="007A1D52"/>
    <w:rsid w:val="007A3710"/>
    <w:rsid w:val="007A3D4F"/>
    <w:rsid w:val="007B6BBB"/>
    <w:rsid w:val="007B7DB4"/>
    <w:rsid w:val="007C70E1"/>
    <w:rsid w:val="007D3F83"/>
    <w:rsid w:val="007D6316"/>
    <w:rsid w:val="007E2459"/>
    <w:rsid w:val="007E46EC"/>
    <w:rsid w:val="007F3B03"/>
    <w:rsid w:val="007F43B7"/>
    <w:rsid w:val="00800524"/>
    <w:rsid w:val="00812E29"/>
    <w:rsid w:val="00820BCE"/>
    <w:rsid w:val="00827970"/>
    <w:rsid w:val="008403DC"/>
    <w:rsid w:val="0085014D"/>
    <w:rsid w:val="00856256"/>
    <w:rsid w:val="008576FA"/>
    <w:rsid w:val="0086109F"/>
    <w:rsid w:val="00863A7B"/>
    <w:rsid w:val="00865EBD"/>
    <w:rsid w:val="0086642A"/>
    <w:rsid w:val="00876866"/>
    <w:rsid w:val="00876B1A"/>
    <w:rsid w:val="008816F3"/>
    <w:rsid w:val="008879A9"/>
    <w:rsid w:val="008900DF"/>
    <w:rsid w:val="00894312"/>
    <w:rsid w:val="008975F7"/>
    <w:rsid w:val="008B124F"/>
    <w:rsid w:val="008B3A0D"/>
    <w:rsid w:val="008D05F6"/>
    <w:rsid w:val="008D2AF9"/>
    <w:rsid w:val="008D2C4E"/>
    <w:rsid w:val="008D7955"/>
    <w:rsid w:val="008E050E"/>
    <w:rsid w:val="008F606E"/>
    <w:rsid w:val="00901F07"/>
    <w:rsid w:val="00905F42"/>
    <w:rsid w:val="00906273"/>
    <w:rsid w:val="009137E7"/>
    <w:rsid w:val="00921EBE"/>
    <w:rsid w:val="009236D5"/>
    <w:rsid w:val="00930304"/>
    <w:rsid w:val="009436F6"/>
    <w:rsid w:val="00944002"/>
    <w:rsid w:val="00946502"/>
    <w:rsid w:val="0095786C"/>
    <w:rsid w:val="00970DC4"/>
    <w:rsid w:val="00980F28"/>
    <w:rsid w:val="00984815"/>
    <w:rsid w:val="00995264"/>
    <w:rsid w:val="009A0C99"/>
    <w:rsid w:val="009A6449"/>
    <w:rsid w:val="009B7DB9"/>
    <w:rsid w:val="009D2F3E"/>
    <w:rsid w:val="009D30BD"/>
    <w:rsid w:val="009D385E"/>
    <w:rsid w:val="009D4EE8"/>
    <w:rsid w:val="009E3D63"/>
    <w:rsid w:val="009E6DEE"/>
    <w:rsid w:val="009F4E0D"/>
    <w:rsid w:val="00A020A4"/>
    <w:rsid w:val="00A02D14"/>
    <w:rsid w:val="00A10577"/>
    <w:rsid w:val="00A2092B"/>
    <w:rsid w:val="00A219E5"/>
    <w:rsid w:val="00A34288"/>
    <w:rsid w:val="00A43A06"/>
    <w:rsid w:val="00A61945"/>
    <w:rsid w:val="00A62463"/>
    <w:rsid w:val="00A64375"/>
    <w:rsid w:val="00A7143E"/>
    <w:rsid w:val="00A73553"/>
    <w:rsid w:val="00A76E43"/>
    <w:rsid w:val="00A77EAC"/>
    <w:rsid w:val="00A86DF5"/>
    <w:rsid w:val="00AA77F7"/>
    <w:rsid w:val="00AC003F"/>
    <w:rsid w:val="00AC2FF7"/>
    <w:rsid w:val="00AC3651"/>
    <w:rsid w:val="00AC3DB0"/>
    <w:rsid w:val="00AD0814"/>
    <w:rsid w:val="00AE340F"/>
    <w:rsid w:val="00AE7F84"/>
    <w:rsid w:val="00B001ED"/>
    <w:rsid w:val="00B0082B"/>
    <w:rsid w:val="00B20216"/>
    <w:rsid w:val="00B2248A"/>
    <w:rsid w:val="00B225D8"/>
    <w:rsid w:val="00B24038"/>
    <w:rsid w:val="00B24AD1"/>
    <w:rsid w:val="00B31476"/>
    <w:rsid w:val="00B36149"/>
    <w:rsid w:val="00B41E90"/>
    <w:rsid w:val="00B5153F"/>
    <w:rsid w:val="00B5603C"/>
    <w:rsid w:val="00B56E10"/>
    <w:rsid w:val="00B664AF"/>
    <w:rsid w:val="00B72521"/>
    <w:rsid w:val="00B77FDA"/>
    <w:rsid w:val="00B80342"/>
    <w:rsid w:val="00B821F2"/>
    <w:rsid w:val="00B9344F"/>
    <w:rsid w:val="00B95220"/>
    <w:rsid w:val="00B972B6"/>
    <w:rsid w:val="00BA1D87"/>
    <w:rsid w:val="00BA1DE8"/>
    <w:rsid w:val="00BA690B"/>
    <w:rsid w:val="00BC295F"/>
    <w:rsid w:val="00BE6AEA"/>
    <w:rsid w:val="00BF196A"/>
    <w:rsid w:val="00BF274A"/>
    <w:rsid w:val="00BF31F4"/>
    <w:rsid w:val="00BF7F81"/>
    <w:rsid w:val="00C04EC4"/>
    <w:rsid w:val="00C16C6E"/>
    <w:rsid w:val="00C17D9D"/>
    <w:rsid w:val="00C2372A"/>
    <w:rsid w:val="00C2418C"/>
    <w:rsid w:val="00C3191A"/>
    <w:rsid w:val="00C362F6"/>
    <w:rsid w:val="00C36B91"/>
    <w:rsid w:val="00C40B6F"/>
    <w:rsid w:val="00C472EE"/>
    <w:rsid w:val="00C475C0"/>
    <w:rsid w:val="00C52988"/>
    <w:rsid w:val="00C66F65"/>
    <w:rsid w:val="00C8463B"/>
    <w:rsid w:val="00C9628D"/>
    <w:rsid w:val="00C97F73"/>
    <w:rsid w:val="00CC0A98"/>
    <w:rsid w:val="00CC4D09"/>
    <w:rsid w:val="00CD768A"/>
    <w:rsid w:val="00CE0F2C"/>
    <w:rsid w:val="00CE4ECA"/>
    <w:rsid w:val="00CE5062"/>
    <w:rsid w:val="00CE50EA"/>
    <w:rsid w:val="00CE57C2"/>
    <w:rsid w:val="00CF2CB3"/>
    <w:rsid w:val="00CF3B53"/>
    <w:rsid w:val="00CF53F7"/>
    <w:rsid w:val="00D01AB4"/>
    <w:rsid w:val="00D12277"/>
    <w:rsid w:val="00D2202F"/>
    <w:rsid w:val="00D240E8"/>
    <w:rsid w:val="00D327CB"/>
    <w:rsid w:val="00D35FC7"/>
    <w:rsid w:val="00D432F1"/>
    <w:rsid w:val="00D4619F"/>
    <w:rsid w:val="00D57B92"/>
    <w:rsid w:val="00D63164"/>
    <w:rsid w:val="00D63587"/>
    <w:rsid w:val="00D63AA2"/>
    <w:rsid w:val="00D654A5"/>
    <w:rsid w:val="00D70FF4"/>
    <w:rsid w:val="00D755DB"/>
    <w:rsid w:val="00D821CC"/>
    <w:rsid w:val="00D82A4E"/>
    <w:rsid w:val="00D87D69"/>
    <w:rsid w:val="00D93FD2"/>
    <w:rsid w:val="00DA3489"/>
    <w:rsid w:val="00DB25CA"/>
    <w:rsid w:val="00DC19A0"/>
    <w:rsid w:val="00DC5D68"/>
    <w:rsid w:val="00DD217A"/>
    <w:rsid w:val="00DD7879"/>
    <w:rsid w:val="00DE0A18"/>
    <w:rsid w:val="00DE0FD9"/>
    <w:rsid w:val="00DE3960"/>
    <w:rsid w:val="00DE7CFC"/>
    <w:rsid w:val="00DF105B"/>
    <w:rsid w:val="00DF215C"/>
    <w:rsid w:val="00DF2E10"/>
    <w:rsid w:val="00DF676A"/>
    <w:rsid w:val="00DF6AFD"/>
    <w:rsid w:val="00E11883"/>
    <w:rsid w:val="00E138F9"/>
    <w:rsid w:val="00E1579B"/>
    <w:rsid w:val="00E177FD"/>
    <w:rsid w:val="00E25D6D"/>
    <w:rsid w:val="00E30A48"/>
    <w:rsid w:val="00E30BA9"/>
    <w:rsid w:val="00E37D00"/>
    <w:rsid w:val="00E42071"/>
    <w:rsid w:val="00E42401"/>
    <w:rsid w:val="00E50C69"/>
    <w:rsid w:val="00E516DE"/>
    <w:rsid w:val="00E57EB2"/>
    <w:rsid w:val="00E606D9"/>
    <w:rsid w:val="00E65819"/>
    <w:rsid w:val="00E71FB3"/>
    <w:rsid w:val="00E7369D"/>
    <w:rsid w:val="00E84F2B"/>
    <w:rsid w:val="00E85CD8"/>
    <w:rsid w:val="00E928CF"/>
    <w:rsid w:val="00E97053"/>
    <w:rsid w:val="00E97234"/>
    <w:rsid w:val="00EA3BFC"/>
    <w:rsid w:val="00EA758E"/>
    <w:rsid w:val="00EB0B31"/>
    <w:rsid w:val="00EB349A"/>
    <w:rsid w:val="00EC3873"/>
    <w:rsid w:val="00EC620C"/>
    <w:rsid w:val="00ED0DE4"/>
    <w:rsid w:val="00EE1B4A"/>
    <w:rsid w:val="00EE2CBF"/>
    <w:rsid w:val="00EF002F"/>
    <w:rsid w:val="00F02CE8"/>
    <w:rsid w:val="00F15DC7"/>
    <w:rsid w:val="00F16D59"/>
    <w:rsid w:val="00F27DF8"/>
    <w:rsid w:val="00F3477D"/>
    <w:rsid w:val="00F4019E"/>
    <w:rsid w:val="00F4492B"/>
    <w:rsid w:val="00F45915"/>
    <w:rsid w:val="00F52305"/>
    <w:rsid w:val="00F52F89"/>
    <w:rsid w:val="00F54313"/>
    <w:rsid w:val="00F604C0"/>
    <w:rsid w:val="00F66E7E"/>
    <w:rsid w:val="00F70A23"/>
    <w:rsid w:val="00F7105B"/>
    <w:rsid w:val="00F7371F"/>
    <w:rsid w:val="00F937E8"/>
    <w:rsid w:val="00F93990"/>
    <w:rsid w:val="00F95B74"/>
    <w:rsid w:val="00FA0AC7"/>
    <w:rsid w:val="00FA6E3A"/>
    <w:rsid w:val="00FB6787"/>
    <w:rsid w:val="00FB7900"/>
    <w:rsid w:val="00FC0DBB"/>
    <w:rsid w:val="00FD5AFA"/>
    <w:rsid w:val="00FD6308"/>
    <w:rsid w:val="00FE7A23"/>
    <w:rsid w:val="00FF0808"/>
    <w:rsid w:val="00FF0BA6"/>
    <w:rsid w:val="00FF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CB"/>
    <w:pPr>
      <w:ind w:left="720"/>
      <w:contextualSpacing/>
    </w:pPr>
  </w:style>
  <w:style w:type="paragraph" w:styleId="Header">
    <w:name w:val="header"/>
    <w:basedOn w:val="Normal"/>
    <w:link w:val="HeaderChar"/>
    <w:uiPriority w:val="99"/>
    <w:unhideWhenUsed/>
    <w:rsid w:val="00E84F2B"/>
    <w:pPr>
      <w:tabs>
        <w:tab w:val="center" w:pos="4680"/>
        <w:tab w:val="right" w:pos="9360"/>
      </w:tabs>
      <w:spacing w:line="240" w:lineRule="auto"/>
    </w:pPr>
  </w:style>
  <w:style w:type="character" w:customStyle="1" w:styleId="HeaderChar">
    <w:name w:val="Header Char"/>
    <w:basedOn w:val="DefaultParagraphFont"/>
    <w:link w:val="Header"/>
    <w:uiPriority w:val="99"/>
    <w:rsid w:val="00E84F2B"/>
  </w:style>
  <w:style w:type="paragraph" w:styleId="Footer">
    <w:name w:val="footer"/>
    <w:basedOn w:val="Normal"/>
    <w:link w:val="FooterChar"/>
    <w:uiPriority w:val="99"/>
    <w:unhideWhenUsed/>
    <w:rsid w:val="00E84F2B"/>
    <w:pPr>
      <w:tabs>
        <w:tab w:val="center" w:pos="4680"/>
        <w:tab w:val="right" w:pos="9360"/>
      </w:tabs>
      <w:spacing w:line="240" w:lineRule="auto"/>
    </w:pPr>
  </w:style>
  <w:style w:type="character" w:customStyle="1" w:styleId="FooterChar">
    <w:name w:val="Footer Char"/>
    <w:basedOn w:val="DefaultParagraphFont"/>
    <w:link w:val="Footer"/>
    <w:uiPriority w:val="99"/>
    <w:rsid w:val="00E84F2B"/>
  </w:style>
  <w:style w:type="character" w:styleId="CommentReference">
    <w:name w:val="annotation reference"/>
    <w:basedOn w:val="DefaultParagraphFont"/>
    <w:uiPriority w:val="99"/>
    <w:semiHidden/>
    <w:unhideWhenUsed/>
    <w:rsid w:val="00863A7B"/>
    <w:rPr>
      <w:sz w:val="16"/>
      <w:szCs w:val="16"/>
    </w:rPr>
  </w:style>
  <w:style w:type="paragraph" w:styleId="CommentText">
    <w:name w:val="annotation text"/>
    <w:basedOn w:val="Normal"/>
    <w:link w:val="CommentTextChar"/>
    <w:uiPriority w:val="99"/>
    <w:semiHidden/>
    <w:unhideWhenUsed/>
    <w:rsid w:val="00863A7B"/>
    <w:pPr>
      <w:spacing w:line="240" w:lineRule="auto"/>
    </w:pPr>
    <w:rPr>
      <w:sz w:val="20"/>
      <w:szCs w:val="20"/>
    </w:rPr>
  </w:style>
  <w:style w:type="character" w:customStyle="1" w:styleId="CommentTextChar">
    <w:name w:val="Comment Text Char"/>
    <w:basedOn w:val="DefaultParagraphFont"/>
    <w:link w:val="CommentText"/>
    <w:uiPriority w:val="99"/>
    <w:semiHidden/>
    <w:rsid w:val="00863A7B"/>
    <w:rPr>
      <w:sz w:val="20"/>
      <w:szCs w:val="20"/>
    </w:rPr>
  </w:style>
  <w:style w:type="paragraph" w:styleId="CommentSubject">
    <w:name w:val="annotation subject"/>
    <w:basedOn w:val="CommentText"/>
    <w:next w:val="CommentText"/>
    <w:link w:val="CommentSubjectChar"/>
    <w:uiPriority w:val="99"/>
    <w:semiHidden/>
    <w:unhideWhenUsed/>
    <w:rsid w:val="00863A7B"/>
    <w:rPr>
      <w:b/>
      <w:bCs/>
    </w:rPr>
  </w:style>
  <w:style w:type="character" w:customStyle="1" w:styleId="CommentSubjectChar">
    <w:name w:val="Comment Subject Char"/>
    <w:basedOn w:val="CommentTextChar"/>
    <w:link w:val="CommentSubject"/>
    <w:uiPriority w:val="99"/>
    <w:semiHidden/>
    <w:rsid w:val="00863A7B"/>
    <w:rPr>
      <w:b/>
      <w:bCs/>
      <w:sz w:val="20"/>
      <w:szCs w:val="20"/>
    </w:rPr>
  </w:style>
  <w:style w:type="paragraph" w:styleId="BalloonText">
    <w:name w:val="Balloon Text"/>
    <w:basedOn w:val="Normal"/>
    <w:link w:val="BalloonTextChar"/>
    <w:uiPriority w:val="99"/>
    <w:semiHidden/>
    <w:unhideWhenUsed/>
    <w:rsid w:val="00863A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A7B"/>
    <w:rPr>
      <w:rFonts w:ascii="Tahoma" w:hAnsi="Tahoma" w:cs="Tahoma"/>
      <w:sz w:val="16"/>
      <w:szCs w:val="16"/>
    </w:rPr>
  </w:style>
  <w:style w:type="paragraph" w:styleId="NormalWeb">
    <w:name w:val="Normal (Web)"/>
    <w:basedOn w:val="Normal"/>
    <w:uiPriority w:val="99"/>
    <w:unhideWhenUsed/>
    <w:rsid w:val="00863A7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0CB"/>
    <w:pPr>
      <w:ind w:left="720"/>
      <w:contextualSpacing/>
    </w:pPr>
  </w:style>
  <w:style w:type="paragraph" w:styleId="Header">
    <w:name w:val="header"/>
    <w:basedOn w:val="Normal"/>
    <w:link w:val="HeaderChar"/>
    <w:uiPriority w:val="99"/>
    <w:semiHidden/>
    <w:unhideWhenUsed/>
    <w:rsid w:val="00E84F2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84F2B"/>
  </w:style>
  <w:style w:type="paragraph" w:styleId="Footer">
    <w:name w:val="footer"/>
    <w:basedOn w:val="Normal"/>
    <w:link w:val="FooterChar"/>
    <w:uiPriority w:val="99"/>
    <w:unhideWhenUsed/>
    <w:rsid w:val="00E84F2B"/>
    <w:pPr>
      <w:tabs>
        <w:tab w:val="center" w:pos="4680"/>
        <w:tab w:val="right" w:pos="9360"/>
      </w:tabs>
      <w:spacing w:line="240" w:lineRule="auto"/>
    </w:pPr>
  </w:style>
  <w:style w:type="character" w:customStyle="1" w:styleId="FooterChar">
    <w:name w:val="Footer Char"/>
    <w:basedOn w:val="DefaultParagraphFont"/>
    <w:link w:val="Footer"/>
    <w:uiPriority w:val="99"/>
    <w:rsid w:val="00E84F2B"/>
  </w:style>
  <w:style w:type="character" w:styleId="CommentReference">
    <w:name w:val="annotation reference"/>
    <w:basedOn w:val="DefaultParagraphFont"/>
    <w:uiPriority w:val="99"/>
    <w:semiHidden/>
    <w:unhideWhenUsed/>
    <w:rsid w:val="00863A7B"/>
    <w:rPr>
      <w:sz w:val="16"/>
      <w:szCs w:val="16"/>
    </w:rPr>
  </w:style>
  <w:style w:type="paragraph" w:styleId="CommentText">
    <w:name w:val="annotation text"/>
    <w:basedOn w:val="Normal"/>
    <w:link w:val="CommentTextChar"/>
    <w:uiPriority w:val="99"/>
    <w:semiHidden/>
    <w:unhideWhenUsed/>
    <w:rsid w:val="00863A7B"/>
    <w:pPr>
      <w:spacing w:line="240" w:lineRule="auto"/>
    </w:pPr>
    <w:rPr>
      <w:sz w:val="20"/>
      <w:szCs w:val="20"/>
    </w:rPr>
  </w:style>
  <w:style w:type="character" w:customStyle="1" w:styleId="CommentTextChar">
    <w:name w:val="Comment Text Char"/>
    <w:basedOn w:val="DefaultParagraphFont"/>
    <w:link w:val="CommentText"/>
    <w:uiPriority w:val="99"/>
    <w:semiHidden/>
    <w:rsid w:val="00863A7B"/>
    <w:rPr>
      <w:sz w:val="20"/>
      <w:szCs w:val="20"/>
    </w:rPr>
  </w:style>
  <w:style w:type="paragraph" w:styleId="CommentSubject">
    <w:name w:val="annotation subject"/>
    <w:basedOn w:val="CommentText"/>
    <w:next w:val="CommentText"/>
    <w:link w:val="CommentSubjectChar"/>
    <w:uiPriority w:val="99"/>
    <w:semiHidden/>
    <w:unhideWhenUsed/>
    <w:rsid w:val="00863A7B"/>
    <w:rPr>
      <w:b/>
      <w:bCs/>
    </w:rPr>
  </w:style>
  <w:style w:type="character" w:customStyle="1" w:styleId="CommentSubjectChar">
    <w:name w:val="Comment Subject Char"/>
    <w:basedOn w:val="CommentTextChar"/>
    <w:link w:val="CommentSubject"/>
    <w:uiPriority w:val="99"/>
    <w:semiHidden/>
    <w:rsid w:val="00863A7B"/>
    <w:rPr>
      <w:b/>
      <w:bCs/>
      <w:sz w:val="20"/>
      <w:szCs w:val="20"/>
    </w:rPr>
  </w:style>
  <w:style w:type="paragraph" w:styleId="BalloonText">
    <w:name w:val="Balloon Text"/>
    <w:basedOn w:val="Normal"/>
    <w:link w:val="BalloonTextChar"/>
    <w:uiPriority w:val="99"/>
    <w:semiHidden/>
    <w:unhideWhenUsed/>
    <w:rsid w:val="00863A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A7B"/>
    <w:rPr>
      <w:rFonts w:ascii="Tahoma" w:hAnsi="Tahoma" w:cs="Tahoma"/>
      <w:sz w:val="16"/>
      <w:szCs w:val="16"/>
    </w:rPr>
  </w:style>
  <w:style w:type="paragraph" w:styleId="NormalWeb">
    <w:name w:val="Normal (Web)"/>
    <w:basedOn w:val="Normal"/>
    <w:uiPriority w:val="99"/>
    <w:unhideWhenUsed/>
    <w:rsid w:val="00863A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AC0E2-D965-4D33-AE91-45138296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CJF</dc:creator>
  <cp:lastModifiedBy>btc1</cp:lastModifiedBy>
  <cp:revision>2</cp:revision>
  <cp:lastPrinted>2013-07-23T19:48:00Z</cp:lastPrinted>
  <dcterms:created xsi:type="dcterms:W3CDTF">2013-08-12T18:55:00Z</dcterms:created>
  <dcterms:modified xsi:type="dcterms:W3CDTF">2013-08-12T18:55:00Z</dcterms:modified>
</cp:coreProperties>
</file>