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45" w:rsidRPr="00CE6806" w:rsidRDefault="00694CCD" w:rsidP="00AA465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uppressAutoHyphens/>
        <w:jc w:val="center"/>
        <w:rPr>
          <w:rFonts w:cs="Arial"/>
          <w:b/>
          <w:sz w:val="22"/>
          <w:szCs w:val="22"/>
        </w:rPr>
      </w:pPr>
      <w:r w:rsidRPr="00CE6806">
        <w:rPr>
          <w:rFonts w:cs="Arial"/>
          <w:b/>
          <w:sz w:val="22"/>
          <w:szCs w:val="22"/>
          <w:lang w:val="en-CA"/>
        </w:rPr>
        <w:fldChar w:fldCharType="begin"/>
      </w:r>
      <w:r w:rsidR="00186B42" w:rsidRPr="00CE6806">
        <w:rPr>
          <w:rFonts w:cs="Arial"/>
          <w:b/>
          <w:sz w:val="22"/>
          <w:szCs w:val="22"/>
          <w:lang w:val="en-CA"/>
        </w:rPr>
        <w:instrText xml:space="preserve"> SEQ CHAPTER \h \r 1</w:instrText>
      </w:r>
      <w:r w:rsidRPr="00CE6806">
        <w:rPr>
          <w:rFonts w:cs="Arial"/>
          <w:b/>
          <w:sz w:val="22"/>
          <w:szCs w:val="22"/>
          <w:lang w:val="en-CA"/>
        </w:rPr>
        <w:fldChar w:fldCharType="end"/>
      </w:r>
      <w:bookmarkStart w:id="0" w:name="BM_1_"/>
      <w:bookmarkEnd w:id="0"/>
      <w:r w:rsidR="00831645" w:rsidRPr="00CE6806">
        <w:rPr>
          <w:rFonts w:cs="Arial"/>
          <w:b/>
          <w:sz w:val="22"/>
          <w:szCs w:val="22"/>
        </w:rPr>
        <w:t>APPENDIX B</w:t>
      </w:r>
      <w:r w:rsidR="00831645" w:rsidRPr="00CE6806">
        <w:rPr>
          <w:rFonts w:cs="Arial"/>
          <w:b/>
          <w:sz w:val="22"/>
          <w:szCs w:val="22"/>
        </w:rPr>
        <w:cr/>
      </w:r>
      <w:r w:rsidR="00831645" w:rsidRPr="00CE6806">
        <w:rPr>
          <w:rFonts w:cs="Arial"/>
          <w:b/>
          <w:sz w:val="22"/>
          <w:szCs w:val="22"/>
        </w:rPr>
        <w:cr/>
        <w:t>TECHNICAL BASIS FOR</w:t>
      </w:r>
    </w:p>
    <w:p w:rsidR="00186B42" w:rsidRPr="00CE6806" w:rsidRDefault="00186B42" w:rsidP="00AA465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uppressAutoHyphens/>
        <w:jc w:val="center"/>
        <w:rPr>
          <w:rFonts w:cs="Arial"/>
          <w:b/>
          <w:sz w:val="22"/>
          <w:szCs w:val="22"/>
          <w:u w:val="single"/>
        </w:rPr>
      </w:pPr>
      <w:r w:rsidRPr="00CE6806">
        <w:rPr>
          <w:rFonts w:cs="Arial"/>
          <w:b/>
          <w:sz w:val="22"/>
          <w:szCs w:val="22"/>
          <w:u w:val="single"/>
        </w:rPr>
        <w:t xml:space="preserve">EMERGENCY PREPAREDNESS SIGNIFICANCE DETERMINATION PROCESS </w:t>
      </w:r>
    </w:p>
    <w:p w:rsidR="00186B42" w:rsidRPr="00CE6806" w:rsidRDefault="00186B42" w:rsidP="00AA465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p>
    <w:p w:rsidR="00837808" w:rsidRPr="00CE6806" w:rsidRDefault="00837808" w:rsidP="00AA465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p>
    <w:p w:rsidR="00406FC4" w:rsidRPr="00CE6806" w:rsidRDefault="00406FC4" w:rsidP="00EB12B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b/>
          <w:sz w:val="22"/>
          <w:szCs w:val="22"/>
        </w:rPr>
      </w:pPr>
      <w:r w:rsidRPr="00CE6806">
        <w:rPr>
          <w:rFonts w:cs="Arial"/>
          <w:b/>
          <w:sz w:val="22"/>
          <w:szCs w:val="22"/>
        </w:rPr>
        <w:t>1.0</w:t>
      </w:r>
      <w:r w:rsidRPr="00CE6806">
        <w:rPr>
          <w:rFonts w:cs="Arial"/>
          <w:b/>
          <w:sz w:val="22"/>
          <w:szCs w:val="22"/>
        </w:rPr>
        <w:tab/>
      </w:r>
      <w:r w:rsidR="005206BD" w:rsidRPr="00CE6806">
        <w:rPr>
          <w:rFonts w:cs="Arial"/>
          <w:b/>
          <w:sz w:val="22"/>
          <w:szCs w:val="22"/>
        </w:rPr>
        <w:t>OVERVIEW</w:t>
      </w:r>
      <w:r w:rsidR="007122A7" w:rsidRPr="00CE6806">
        <w:rPr>
          <w:rFonts w:cs="Arial"/>
          <w:b/>
          <w:sz w:val="22"/>
          <w:szCs w:val="22"/>
        </w:rPr>
        <w:t xml:space="preserve"> OF THE E</w:t>
      </w:r>
      <w:r w:rsidR="00831645" w:rsidRPr="00CE6806">
        <w:rPr>
          <w:rFonts w:cs="Arial"/>
          <w:b/>
          <w:sz w:val="22"/>
          <w:szCs w:val="22"/>
        </w:rPr>
        <w:t>P</w:t>
      </w:r>
      <w:r w:rsidR="007122A7" w:rsidRPr="00CE6806">
        <w:rPr>
          <w:rFonts w:cs="Arial"/>
          <w:b/>
          <w:sz w:val="22"/>
          <w:szCs w:val="22"/>
        </w:rPr>
        <w:t xml:space="preserve"> SIGNFICANCE DETERMINATION PROCESS</w:t>
      </w:r>
    </w:p>
    <w:p w:rsidR="009B7DEB" w:rsidRPr="00CE6806" w:rsidRDefault="009B7DEB" w:rsidP="00EB12B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rsidR="000D1641" w:rsidRPr="00CE6806" w:rsidRDefault="000D1641" w:rsidP="00EB12BF">
      <w:pPr>
        <w:pStyle w:val="609noindent"/>
        <w:jc w:val="left"/>
        <w:rPr>
          <w:sz w:val="22"/>
          <w:szCs w:val="22"/>
        </w:rPr>
      </w:pPr>
      <w:r w:rsidRPr="00CE6806">
        <w:rPr>
          <w:sz w:val="22"/>
          <w:szCs w:val="22"/>
        </w:rPr>
        <w:t>The framework of the Emergency Preparedness (EP) Cornerstone is described in SECY-99-007, dated January 8, 1999, and SECY-99-007a, dated March</w:t>
      </w:r>
      <w:r w:rsidR="00A91112" w:rsidRPr="00CE6806">
        <w:rPr>
          <w:sz w:val="22"/>
          <w:szCs w:val="22"/>
        </w:rPr>
        <w:t> </w:t>
      </w:r>
      <w:r w:rsidRPr="00CE6806">
        <w:rPr>
          <w:sz w:val="22"/>
          <w:szCs w:val="22"/>
        </w:rPr>
        <w:t>22, 1999.  The Cornerstone Objective and Performance Expectation are the bases for the related inspection program and performance indicators:</w:t>
      </w:r>
    </w:p>
    <w:p w:rsidR="000D1641" w:rsidRPr="00CE6806" w:rsidRDefault="000D1641" w:rsidP="00EB12BF">
      <w:pPr>
        <w:pStyle w:val="609noindent"/>
        <w:jc w:val="left"/>
        <w:rPr>
          <w:sz w:val="22"/>
          <w:szCs w:val="22"/>
        </w:rPr>
      </w:pPr>
    </w:p>
    <w:p w:rsidR="000D1641" w:rsidRPr="00CE6806" w:rsidRDefault="000D1641" w:rsidP="00EB12BF">
      <w:pPr>
        <w:pStyle w:val="609noindent"/>
        <w:jc w:val="left"/>
        <w:rPr>
          <w:sz w:val="22"/>
          <w:szCs w:val="22"/>
        </w:rPr>
      </w:pPr>
      <w:r w:rsidRPr="00CE6806">
        <w:rPr>
          <w:b/>
          <w:bCs/>
          <w:sz w:val="22"/>
          <w:szCs w:val="22"/>
        </w:rPr>
        <w:t>EP Cornerstone Objective</w:t>
      </w:r>
    </w:p>
    <w:p w:rsidR="000D1641" w:rsidRPr="00CE6806" w:rsidRDefault="000D1641" w:rsidP="00EB12BF">
      <w:pPr>
        <w:pStyle w:val="609noindent"/>
        <w:jc w:val="left"/>
        <w:rPr>
          <w:sz w:val="22"/>
          <w:szCs w:val="22"/>
        </w:rPr>
      </w:pPr>
    </w:p>
    <w:p w:rsidR="000D1641" w:rsidRPr="00CE6806" w:rsidRDefault="000D1641" w:rsidP="00EB12BF">
      <w:pPr>
        <w:pStyle w:val="609noindent"/>
        <w:tabs>
          <w:tab w:val="clear" w:pos="0"/>
        </w:tabs>
        <w:ind w:left="720" w:right="720"/>
        <w:jc w:val="left"/>
        <w:rPr>
          <w:sz w:val="22"/>
          <w:szCs w:val="22"/>
        </w:rPr>
      </w:pPr>
      <w:r w:rsidRPr="00CE6806">
        <w:rPr>
          <w:sz w:val="22"/>
          <w:szCs w:val="22"/>
        </w:rPr>
        <w:t>Ensure that the licensee is capable of implementing adequate measures to protect public health and safety in the event of a radiological emergency.</w:t>
      </w:r>
    </w:p>
    <w:p w:rsidR="000D1641" w:rsidRPr="00CE6806" w:rsidRDefault="000D1641" w:rsidP="00EB12BF">
      <w:pPr>
        <w:pStyle w:val="609noindent"/>
        <w:tabs>
          <w:tab w:val="clear" w:pos="0"/>
        </w:tabs>
        <w:ind w:left="720" w:right="720"/>
        <w:jc w:val="left"/>
        <w:rPr>
          <w:sz w:val="22"/>
          <w:szCs w:val="22"/>
        </w:rPr>
      </w:pPr>
    </w:p>
    <w:p w:rsidR="000D1641" w:rsidRPr="00CE6806" w:rsidRDefault="000D1641" w:rsidP="00EB12BF">
      <w:pPr>
        <w:pStyle w:val="609noindent"/>
        <w:jc w:val="left"/>
        <w:rPr>
          <w:b/>
          <w:bCs/>
          <w:sz w:val="22"/>
          <w:szCs w:val="22"/>
        </w:rPr>
      </w:pPr>
      <w:r w:rsidRPr="00CE6806">
        <w:rPr>
          <w:b/>
          <w:bCs/>
          <w:sz w:val="22"/>
          <w:szCs w:val="22"/>
        </w:rPr>
        <w:t>EP Performance Expectation</w:t>
      </w:r>
    </w:p>
    <w:p w:rsidR="000D1641" w:rsidRPr="00CE6806" w:rsidRDefault="000D1641" w:rsidP="00EB12BF">
      <w:pPr>
        <w:pStyle w:val="609noindent"/>
        <w:jc w:val="left"/>
        <w:rPr>
          <w:sz w:val="22"/>
          <w:szCs w:val="22"/>
        </w:rPr>
      </w:pPr>
    </w:p>
    <w:p w:rsidR="000D1641" w:rsidRPr="00CE6806" w:rsidRDefault="000D1641" w:rsidP="00EB12BF">
      <w:pPr>
        <w:pStyle w:val="609noindent"/>
        <w:tabs>
          <w:tab w:val="clear" w:pos="0"/>
        </w:tabs>
        <w:ind w:left="720" w:right="720"/>
        <w:jc w:val="left"/>
        <w:rPr>
          <w:sz w:val="22"/>
          <w:szCs w:val="22"/>
        </w:rPr>
      </w:pPr>
      <w:r w:rsidRPr="00CE6806">
        <w:rPr>
          <w:sz w:val="22"/>
          <w:szCs w:val="22"/>
        </w:rPr>
        <w:t xml:space="preserve">Demonstrate that reasonable assurance exists that the licensee can effectively implement its emergency plan to protect public health and safety </w:t>
      </w:r>
      <w:r w:rsidR="00547DE2" w:rsidRPr="00CE6806">
        <w:rPr>
          <w:sz w:val="22"/>
          <w:szCs w:val="22"/>
        </w:rPr>
        <w:t xml:space="preserve">adequately </w:t>
      </w:r>
      <w:r w:rsidRPr="00CE6806">
        <w:rPr>
          <w:sz w:val="22"/>
          <w:szCs w:val="22"/>
        </w:rPr>
        <w:t>in the event of a radiological emergency.</w:t>
      </w:r>
    </w:p>
    <w:p w:rsidR="000D1641" w:rsidRPr="00CE6806" w:rsidRDefault="000D1641" w:rsidP="00EB12BF">
      <w:pPr>
        <w:pStyle w:val="609noindent"/>
        <w:jc w:val="left"/>
        <w:rPr>
          <w:sz w:val="22"/>
          <w:szCs w:val="22"/>
        </w:rPr>
      </w:pPr>
    </w:p>
    <w:p w:rsidR="00831645" w:rsidRPr="00CE6806" w:rsidRDefault="000D1641" w:rsidP="00EB12BF">
      <w:pPr>
        <w:pStyle w:val="609noindent"/>
        <w:jc w:val="left"/>
        <w:rPr>
          <w:sz w:val="22"/>
          <w:szCs w:val="22"/>
        </w:rPr>
      </w:pPr>
      <w:r w:rsidRPr="00CE6806">
        <w:rPr>
          <w:sz w:val="22"/>
          <w:szCs w:val="22"/>
        </w:rPr>
        <w:t>To meet the cornerstone objective and performance expectation, the staff of the U.S. N</w:t>
      </w:r>
      <w:r w:rsidR="008B7067">
        <w:rPr>
          <w:sz w:val="22"/>
          <w:szCs w:val="22"/>
        </w:rPr>
        <w:t>uclear Regulatory Commission (</w:t>
      </w:r>
      <w:r w:rsidRPr="00CE6806">
        <w:rPr>
          <w:sz w:val="22"/>
          <w:szCs w:val="22"/>
        </w:rPr>
        <w:t xml:space="preserve">NRC) assesses licensee performance in this cornerstone by considering performance indicators (PIs) with regard to thresholds and the significance of inspection findings.  The significance determination process (SDP) provides a method to place inspection findings in context for risk-significance in a manner that allows them to be considered in conjunction with the results from the PIs to assess overall licensee performance in the cornerstone.  This information is </w:t>
      </w:r>
      <w:r w:rsidR="00847C23" w:rsidRPr="00CE6806">
        <w:rPr>
          <w:sz w:val="22"/>
          <w:szCs w:val="22"/>
        </w:rPr>
        <w:t xml:space="preserve">then </w:t>
      </w:r>
      <w:r w:rsidRPr="00CE6806">
        <w:rPr>
          <w:sz w:val="22"/>
          <w:szCs w:val="22"/>
        </w:rPr>
        <w:t xml:space="preserve">used to determine the level of NRC engagement in accordance with the Reactor Oversight Process </w:t>
      </w:r>
      <w:r w:rsidR="0009504C" w:rsidRPr="00CE6806">
        <w:rPr>
          <w:sz w:val="22"/>
          <w:szCs w:val="22"/>
        </w:rPr>
        <w:t xml:space="preserve">(ROP) </w:t>
      </w:r>
      <w:r w:rsidRPr="00CE6806">
        <w:rPr>
          <w:sz w:val="22"/>
          <w:szCs w:val="22"/>
        </w:rPr>
        <w:t>Action Matrix.</w:t>
      </w:r>
      <w:r w:rsidRPr="00CE6806">
        <w:rPr>
          <w:sz w:val="22"/>
          <w:szCs w:val="22"/>
          <w:vertAlign w:val="superscript"/>
        </w:rPr>
        <w:footnoteReference w:id="1"/>
      </w:r>
      <w:r w:rsidR="00831645" w:rsidRPr="00CE6806">
        <w:rPr>
          <w:sz w:val="22"/>
          <w:szCs w:val="22"/>
        </w:rPr>
        <w:t xml:space="preserve">  </w:t>
      </w:r>
    </w:p>
    <w:p w:rsidR="00772B74" w:rsidRPr="00CE6806" w:rsidRDefault="00772B74" w:rsidP="00EB12BF">
      <w:pPr>
        <w:pStyle w:val="609noindent"/>
        <w:jc w:val="left"/>
        <w:rPr>
          <w:sz w:val="22"/>
          <w:szCs w:val="22"/>
        </w:rPr>
      </w:pPr>
    </w:p>
    <w:p w:rsidR="00C37313" w:rsidRDefault="008050F6" w:rsidP="00EB12BF">
      <w:pPr>
        <w:pStyle w:val="609noindent"/>
        <w:jc w:val="left"/>
        <w:rPr>
          <w:sz w:val="22"/>
          <w:szCs w:val="22"/>
        </w:rPr>
      </w:pPr>
      <w:r w:rsidRPr="00CE6806">
        <w:rPr>
          <w:sz w:val="22"/>
          <w:szCs w:val="22"/>
        </w:rPr>
        <w:t xml:space="preserve">The NRC policy statement </w:t>
      </w:r>
      <w:r w:rsidR="00A91112" w:rsidRPr="00CE6806">
        <w:rPr>
          <w:sz w:val="22"/>
          <w:szCs w:val="22"/>
        </w:rPr>
        <w:t>“Safety Goals for the Operation of Nuclear Power Plants,” (51</w:t>
      </w:r>
      <w:r w:rsidR="00EB659D" w:rsidRPr="00CE6806">
        <w:rPr>
          <w:sz w:val="22"/>
          <w:szCs w:val="22"/>
        </w:rPr>
        <w:t> </w:t>
      </w:r>
      <w:r w:rsidR="00A91112" w:rsidRPr="00CE6806">
        <w:rPr>
          <w:sz w:val="22"/>
          <w:szCs w:val="22"/>
        </w:rPr>
        <w:t>FR 30032)</w:t>
      </w:r>
      <w:r w:rsidR="00EB659D" w:rsidRPr="00CE6806">
        <w:rPr>
          <w:sz w:val="22"/>
          <w:szCs w:val="22"/>
        </w:rPr>
        <w:t> </w:t>
      </w:r>
      <w:r w:rsidR="00A91112" w:rsidRPr="00CE6806">
        <w:rPr>
          <w:sz w:val="22"/>
          <w:szCs w:val="22"/>
        </w:rPr>
        <w:t xml:space="preserve">states, </w:t>
      </w:r>
      <w:r w:rsidR="00EB659D" w:rsidRPr="00CE6806">
        <w:rPr>
          <w:sz w:val="22"/>
          <w:szCs w:val="22"/>
        </w:rPr>
        <w:t>“</w:t>
      </w:r>
      <w:r w:rsidR="00A91112" w:rsidRPr="00CE6806">
        <w:rPr>
          <w:sz w:val="22"/>
          <w:szCs w:val="22"/>
        </w:rPr>
        <w:t>. . . emergency response capabilities are mandated to provide additional defense</w:t>
      </w:r>
      <w:r w:rsidR="007F06A5">
        <w:rPr>
          <w:sz w:val="22"/>
          <w:szCs w:val="22"/>
        </w:rPr>
        <w:t>-</w:t>
      </w:r>
      <w:r w:rsidR="00A91112" w:rsidRPr="00CE6806">
        <w:rPr>
          <w:sz w:val="22"/>
          <w:szCs w:val="22"/>
        </w:rPr>
        <w:t xml:space="preserve">in-depth protection to the surrounding population.” </w:t>
      </w:r>
      <w:r w:rsidR="00EB659D" w:rsidRPr="00CE6806">
        <w:rPr>
          <w:sz w:val="22"/>
          <w:szCs w:val="22"/>
        </w:rPr>
        <w:t xml:space="preserve"> </w:t>
      </w:r>
      <w:r w:rsidR="00A91112" w:rsidRPr="00CE6806">
        <w:rPr>
          <w:sz w:val="22"/>
          <w:szCs w:val="22"/>
        </w:rPr>
        <w:t>EP and many other elements of reactor safety (e.g., remote siting and containment) are implemented as a matter of prudence rather than in response to a quantitative analysis of accident probabilities.  Accordingly, t</w:t>
      </w:r>
      <w:r w:rsidR="00772B74" w:rsidRPr="00CE6806">
        <w:rPr>
          <w:sz w:val="22"/>
          <w:szCs w:val="22"/>
        </w:rPr>
        <w:t>he EP SDP is risk-informed, rather than risk-based, and does not involve numerical estimates of risk</w:t>
      </w:r>
      <w:r w:rsidR="005C224D" w:rsidRPr="00CE6806">
        <w:rPr>
          <w:sz w:val="22"/>
          <w:szCs w:val="22"/>
        </w:rPr>
        <w:t xml:space="preserve"> metrics such as core damage frequency (CDF) or large early release fraction (LERF)</w:t>
      </w:r>
      <w:r w:rsidR="00772B74" w:rsidRPr="00CE6806">
        <w:rPr>
          <w:sz w:val="22"/>
          <w:szCs w:val="22"/>
        </w:rPr>
        <w:t xml:space="preserve">.  The planning basis for EP is not </w:t>
      </w:r>
      <w:r w:rsidR="00AC5C1A" w:rsidRPr="00CE6806">
        <w:rPr>
          <w:sz w:val="22"/>
          <w:szCs w:val="22"/>
        </w:rPr>
        <w:t>predicated</w:t>
      </w:r>
      <w:r w:rsidR="00772B74" w:rsidRPr="00CE6806">
        <w:rPr>
          <w:sz w:val="22"/>
          <w:szCs w:val="22"/>
        </w:rPr>
        <w:t xml:space="preserve"> on a single accident sequence or even a limited number of sequences, but rather </w:t>
      </w:r>
      <w:r w:rsidR="005C224D" w:rsidRPr="00CE6806">
        <w:rPr>
          <w:sz w:val="22"/>
          <w:szCs w:val="22"/>
        </w:rPr>
        <w:t>on a</w:t>
      </w:r>
      <w:r w:rsidR="00772B74" w:rsidRPr="00CE6806">
        <w:rPr>
          <w:sz w:val="22"/>
          <w:szCs w:val="22"/>
        </w:rPr>
        <w:t xml:space="preserve"> spectrum of accidents that differ in release characteristics, timing, and potential consequences.  A low probability sequence may have the higher consequences</w:t>
      </w:r>
      <w:r w:rsidR="00AC5C1A" w:rsidRPr="00CE6806">
        <w:rPr>
          <w:sz w:val="22"/>
          <w:szCs w:val="22"/>
        </w:rPr>
        <w:t>;</w:t>
      </w:r>
      <w:r w:rsidR="00772B74" w:rsidRPr="00CE6806">
        <w:rPr>
          <w:sz w:val="22"/>
          <w:szCs w:val="22"/>
        </w:rPr>
        <w:t xml:space="preserve"> while a higher probability sequence could have lower consequences.  Consequently, the probability of a reactor accident requiring implementation of the licensee</w:t>
      </w:r>
      <w:r w:rsidR="003B6B1E">
        <w:rPr>
          <w:sz w:val="22"/>
          <w:szCs w:val="22"/>
        </w:rPr>
        <w:t>’</w:t>
      </w:r>
      <w:r w:rsidR="00772B74" w:rsidRPr="00CE6806">
        <w:rPr>
          <w:sz w:val="22"/>
          <w:szCs w:val="22"/>
        </w:rPr>
        <w:t xml:space="preserve">s emergency plan has no relevance in determining the significance of EP findings.  Colloquially, if the emergency plan is being </w:t>
      </w:r>
      <w:r w:rsidR="004D2465" w:rsidRPr="00CE6806">
        <w:rPr>
          <w:sz w:val="22"/>
          <w:szCs w:val="22"/>
        </w:rPr>
        <w:t>activated</w:t>
      </w:r>
      <w:r w:rsidR="00772B74" w:rsidRPr="00CE6806">
        <w:rPr>
          <w:sz w:val="22"/>
          <w:szCs w:val="22"/>
        </w:rPr>
        <w:t xml:space="preserve"> in response to a radiological emergency, </w:t>
      </w:r>
      <w:r w:rsidR="004D2465" w:rsidRPr="00CE6806">
        <w:rPr>
          <w:sz w:val="22"/>
          <w:szCs w:val="22"/>
        </w:rPr>
        <w:t>the event has occurred (</w:t>
      </w:r>
      <w:r w:rsidR="00F15FEB">
        <w:rPr>
          <w:sz w:val="22"/>
          <w:szCs w:val="22"/>
        </w:rPr>
        <w:t xml:space="preserve">i.e., </w:t>
      </w:r>
      <w:r w:rsidR="004D2465" w:rsidRPr="00CE6806">
        <w:rPr>
          <w:sz w:val="22"/>
          <w:szCs w:val="22"/>
        </w:rPr>
        <w:t xml:space="preserve">probability = </w:t>
      </w:r>
      <w:r w:rsidR="00772B74" w:rsidRPr="00CE6806">
        <w:rPr>
          <w:sz w:val="22"/>
          <w:szCs w:val="22"/>
        </w:rPr>
        <w:t>1.0</w:t>
      </w:r>
      <w:r w:rsidR="004D2465" w:rsidRPr="00CE6806">
        <w:rPr>
          <w:sz w:val="22"/>
          <w:szCs w:val="22"/>
        </w:rPr>
        <w:t>)</w:t>
      </w:r>
    </w:p>
    <w:p w:rsidR="006A7254" w:rsidRDefault="006A7254" w:rsidP="006F191B">
      <w:pPr>
        <w:pStyle w:val="609noindent"/>
        <w:rPr>
          <w:sz w:val="22"/>
          <w:szCs w:val="22"/>
        </w:rPr>
      </w:pPr>
    </w:p>
    <w:p w:rsidR="000D1641" w:rsidRPr="00CE6806" w:rsidRDefault="00831645" w:rsidP="00EB12BF">
      <w:pPr>
        <w:pStyle w:val="609noindent"/>
        <w:jc w:val="left"/>
        <w:rPr>
          <w:b/>
          <w:sz w:val="22"/>
          <w:szCs w:val="22"/>
        </w:rPr>
      </w:pPr>
      <w:r w:rsidRPr="00CE6806">
        <w:rPr>
          <w:b/>
          <w:sz w:val="22"/>
          <w:szCs w:val="22"/>
        </w:rPr>
        <w:t>2.0</w:t>
      </w:r>
      <w:r w:rsidRPr="00CE6806">
        <w:rPr>
          <w:b/>
          <w:sz w:val="22"/>
          <w:szCs w:val="22"/>
        </w:rPr>
        <w:tab/>
      </w:r>
      <w:r w:rsidR="007122A7" w:rsidRPr="00CE6806">
        <w:rPr>
          <w:b/>
          <w:sz w:val="22"/>
          <w:szCs w:val="22"/>
        </w:rPr>
        <w:t xml:space="preserve">EMERGENCY PREPAREDNESS </w:t>
      </w:r>
      <w:r w:rsidRPr="00CE6806">
        <w:rPr>
          <w:b/>
          <w:sz w:val="22"/>
          <w:szCs w:val="22"/>
        </w:rPr>
        <w:t>REGULATORY BASIS</w:t>
      </w:r>
    </w:p>
    <w:p w:rsidR="005F2EEA" w:rsidRPr="00CE6806" w:rsidRDefault="005F2EEA" w:rsidP="00EB12BF">
      <w:pPr>
        <w:pStyle w:val="609noindent"/>
        <w:jc w:val="left"/>
        <w:rPr>
          <w:sz w:val="22"/>
          <w:szCs w:val="22"/>
        </w:rPr>
      </w:pPr>
    </w:p>
    <w:p w:rsidR="005206BD" w:rsidRPr="00CE6806" w:rsidRDefault="005206BD" w:rsidP="00EB12BF">
      <w:pPr>
        <w:pStyle w:val="609noindent"/>
        <w:jc w:val="left"/>
        <w:rPr>
          <w:sz w:val="22"/>
          <w:szCs w:val="22"/>
        </w:rPr>
      </w:pPr>
      <w:r w:rsidRPr="00CE6806">
        <w:rPr>
          <w:sz w:val="22"/>
          <w:szCs w:val="22"/>
        </w:rPr>
        <w:t xml:space="preserve">An applicant is required by </w:t>
      </w:r>
      <w:r w:rsidR="002352B0" w:rsidRPr="00CE6806">
        <w:rPr>
          <w:sz w:val="22"/>
          <w:szCs w:val="22"/>
        </w:rPr>
        <w:t>various provisions in 10</w:t>
      </w:r>
      <w:r w:rsidR="00EB659D" w:rsidRPr="00CE6806">
        <w:rPr>
          <w:sz w:val="22"/>
          <w:szCs w:val="22"/>
        </w:rPr>
        <w:t> </w:t>
      </w:r>
      <w:r w:rsidR="002352B0" w:rsidRPr="00CE6806">
        <w:rPr>
          <w:sz w:val="22"/>
          <w:szCs w:val="22"/>
        </w:rPr>
        <w:t>CFR Parts</w:t>
      </w:r>
      <w:r w:rsidR="00EB659D" w:rsidRPr="00CE6806">
        <w:rPr>
          <w:sz w:val="22"/>
          <w:szCs w:val="22"/>
        </w:rPr>
        <w:t> </w:t>
      </w:r>
      <w:r w:rsidR="002352B0" w:rsidRPr="00CE6806">
        <w:rPr>
          <w:sz w:val="22"/>
          <w:szCs w:val="22"/>
        </w:rPr>
        <w:t>50 and</w:t>
      </w:r>
      <w:r w:rsidR="00EB659D" w:rsidRPr="00CE6806">
        <w:rPr>
          <w:sz w:val="22"/>
          <w:szCs w:val="22"/>
        </w:rPr>
        <w:t> </w:t>
      </w:r>
      <w:r w:rsidR="002352B0" w:rsidRPr="00CE6806">
        <w:rPr>
          <w:sz w:val="22"/>
          <w:szCs w:val="22"/>
        </w:rPr>
        <w:t>52, as applicable,</w:t>
      </w:r>
      <w:r w:rsidRPr="00CE6806">
        <w:rPr>
          <w:sz w:val="22"/>
          <w:szCs w:val="22"/>
        </w:rPr>
        <w:t xml:space="preserve"> to submit</w:t>
      </w:r>
      <w:r w:rsidR="00847C23" w:rsidRPr="00CE6806">
        <w:rPr>
          <w:sz w:val="22"/>
          <w:szCs w:val="22"/>
        </w:rPr>
        <w:t>,</w:t>
      </w:r>
      <w:r w:rsidRPr="00CE6806">
        <w:rPr>
          <w:sz w:val="22"/>
          <w:szCs w:val="22"/>
        </w:rPr>
        <w:t xml:space="preserve"> as part of its application, plans for coping with emergencies including the items specified in </w:t>
      </w:r>
      <w:r w:rsidR="00A91112" w:rsidRPr="00CE6806">
        <w:rPr>
          <w:sz w:val="22"/>
          <w:szCs w:val="22"/>
        </w:rPr>
        <w:t>10</w:t>
      </w:r>
      <w:r w:rsidR="00EB659D" w:rsidRPr="00CE6806">
        <w:rPr>
          <w:sz w:val="22"/>
          <w:szCs w:val="22"/>
        </w:rPr>
        <w:t> </w:t>
      </w:r>
      <w:r w:rsidR="00A91112" w:rsidRPr="00CE6806">
        <w:rPr>
          <w:sz w:val="22"/>
          <w:szCs w:val="22"/>
        </w:rPr>
        <w:t xml:space="preserve">CFR </w:t>
      </w:r>
      <w:r w:rsidRPr="00CE6806">
        <w:rPr>
          <w:sz w:val="22"/>
          <w:szCs w:val="22"/>
        </w:rPr>
        <w:t>Part</w:t>
      </w:r>
      <w:r w:rsidR="00EB659D" w:rsidRPr="00CE6806">
        <w:rPr>
          <w:sz w:val="22"/>
          <w:szCs w:val="22"/>
        </w:rPr>
        <w:t> </w:t>
      </w:r>
      <w:r w:rsidRPr="00CE6806">
        <w:rPr>
          <w:sz w:val="22"/>
          <w:szCs w:val="22"/>
        </w:rPr>
        <w:t>50</w:t>
      </w:r>
      <w:r w:rsidR="008B7067">
        <w:rPr>
          <w:sz w:val="22"/>
          <w:szCs w:val="22"/>
        </w:rPr>
        <w:t>,</w:t>
      </w:r>
      <w:r w:rsidRPr="00CE6806">
        <w:rPr>
          <w:sz w:val="22"/>
          <w:szCs w:val="22"/>
        </w:rPr>
        <w:t xml:space="preserve"> Appendix</w:t>
      </w:r>
      <w:r w:rsidR="00EB659D" w:rsidRPr="00CE6806">
        <w:rPr>
          <w:sz w:val="22"/>
          <w:szCs w:val="22"/>
        </w:rPr>
        <w:t> </w:t>
      </w:r>
      <w:r w:rsidRPr="00CE6806">
        <w:rPr>
          <w:sz w:val="22"/>
          <w:szCs w:val="22"/>
        </w:rPr>
        <w:t xml:space="preserve">E.  </w:t>
      </w:r>
      <w:r w:rsidR="00AC5C1A" w:rsidRPr="00CE6806">
        <w:rPr>
          <w:sz w:val="22"/>
          <w:szCs w:val="22"/>
        </w:rPr>
        <w:t>A</w:t>
      </w:r>
      <w:r w:rsidRPr="00CE6806">
        <w:rPr>
          <w:sz w:val="22"/>
          <w:szCs w:val="22"/>
        </w:rPr>
        <w:t xml:space="preserve"> nuclear power reactor applicant is </w:t>
      </w:r>
      <w:r w:rsidR="00AC5C1A" w:rsidRPr="00CE6806">
        <w:rPr>
          <w:sz w:val="22"/>
          <w:szCs w:val="22"/>
        </w:rPr>
        <w:t xml:space="preserve">further </w:t>
      </w:r>
      <w:r w:rsidRPr="00CE6806">
        <w:rPr>
          <w:sz w:val="22"/>
          <w:szCs w:val="22"/>
        </w:rPr>
        <w:t>required by 10</w:t>
      </w:r>
      <w:r w:rsidR="00EB659D" w:rsidRPr="00CE6806">
        <w:rPr>
          <w:sz w:val="22"/>
          <w:szCs w:val="22"/>
        </w:rPr>
        <w:t> </w:t>
      </w:r>
      <w:r w:rsidRPr="00CE6806">
        <w:rPr>
          <w:sz w:val="22"/>
          <w:szCs w:val="22"/>
        </w:rPr>
        <w:t>CFR</w:t>
      </w:r>
      <w:r w:rsidR="00EB659D" w:rsidRPr="00CE6806">
        <w:rPr>
          <w:sz w:val="22"/>
          <w:szCs w:val="22"/>
        </w:rPr>
        <w:t> </w:t>
      </w:r>
      <w:r w:rsidRPr="00CE6806">
        <w:rPr>
          <w:sz w:val="22"/>
          <w:szCs w:val="22"/>
        </w:rPr>
        <w:t>50.47(b) to meet the 16</w:t>
      </w:r>
      <w:r w:rsidR="00EB659D" w:rsidRPr="00CE6806">
        <w:rPr>
          <w:sz w:val="22"/>
          <w:szCs w:val="22"/>
        </w:rPr>
        <w:t> </w:t>
      </w:r>
      <w:r w:rsidRPr="00CE6806">
        <w:rPr>
          <w:caps/>
          <w:sz w:val="22"/>
          <w:szCs w:val="22"/>
        </w:rPr>
        <w:t>planning standards</w:t>
      </w:r>
      <w:r w:rsidR="007411D6" w:rsidRPr="00CE6806">
        <w:rPr>
          <w:caps/>
          <w:sz w:val="22"/>
          <w:szCs w:val="22"/>
        </w:rPr>
        <w:t xml:space="preserve"> (PS)</w:t>
      </w:r>
      <w:r w:rsidR="002D25C4" w:rsidRPr="00CE6806">
        <w:rPr>
          <w:rStyle w:val="FootnoteReference"/>
          <w:caps/>
          <w:sz w:val="22"/>
          <w:szCs w:val="22"/>
          <w:vertAlign w:val="superscript"/>
        </w:rPr>
        <w:footnoteReference w:id="2"/>
      </w:r>
      <w:r w:rsidRPr="00CE6806">
        <w:rPr>
          <w:sz w:val="22"/>
          <w:szCs w:val="22"/>
        </w:rPr>
        <w:t xml:space="preserve"> established in </w:t>
      </w:r>
      <w:r w:rsidR="00554980" w:rsidRPr="00CE6806">
        <w:rPr>
          <w:sz w:val="22"/>
          <w:szCs w:val="22"/>
        </w:rPr>
        <w:t>10 </w:t>
      </w:r>
      <w:r w:rsidR="00EB659D" w:rsidRPr="00CE6806">
        <w:rPr>
          <w:sz w:val="22"/>
          <w:szCs w:val="22"/>
        </w:rPr>
        <w:t>CFR</w:t>
      </w:r>
      <w:r w:rsidR="00A46494" w:rsidRPr="00CE6806">
        <w:rPr>
          <w:sz w:val="22"/>
          <w:szCs w:val="22"/>
        </w:rPr>
        <w:t xml:space="preserve"> </w:t>
      </w:r>
      <w:r w:rsidRPr="00CE6806">
        <w:rPr>
          <w:sz w:val="22"/>
          <w:szCs w:val="22"/>
        </w:rPr>
        <w:t>50.47(b</w:t>
      </w:r>
      <w:proofErr w:type="gramStart"/>
      <w:r w:rsidRPr="00CE6806">
        <w:rPr>
          <w:sz w:val="22"/>
          <w:szCs w:val="22"/>
        </w:rPr>
        <w:t>)(</w:t>
      </w:r>
      <w:proofErr w:type="gramEnd"/>
      <w:r w:rsidRPr="00CE6806">
        <w:rPr>
          <w:sz w:val="22"/>
          <w:szCs w:val="22"/>
        </w:rPr>
        <w:t xml:space="preserve">1) through (16).  </w:t>
      </w:r>
    </w:p>
    <w:p w:rsidR="00AC5C1A" w:rsidRPr="00CE6806" w:rsidRDefault="00AC5C1A" w:rsidP="00EB12BF">
      <w:pPr>
        <w:pStyle w:val="609noindent"/>
        <w:jc w:val="left"/>
        <w:rPr>
          <w:sz w:val="22"/>
          <w:szCs w:val="22"/>
        </w:rPr>
      </w:pPr>
    </w:p>
    <w:p w:rsidR="00EB659D" w:rsidRPr="00CE6806" w:rsidRDefault="005C224D" w:rsidP="00EB12BF">
      <w:pPr>
        <w:pStyle w:val="609noindent"/>
        <w:jc w:val="left"/>
        <w:rPr>
          <w:sz w:val="22"/>
          <w:szCs w:val="22"/>
        </w:rPr>
      </w:pPr>
      <w:r w:rsidRPr="00CE6806">
        <w:rPr>
          <w:sz w:val="22"/>
          <w:szCs w:val="22"/>
        </w:rPr>
        <w:t>Pursuant to 10 CFR 50.47(a), n</w:t>
      </w:r>
      <w:r w:rsidR="00EB659D" w:rsidRPr="00CE6806">
        <w:rPr>
          <w:sz w:val="22"/>
          <w:szCs w:val="22"/>
        </w:rPr>
        <w:t xml:space="preserve">o </w:t>
      </w:r>
      <w:r w:rsidR="00846E95" w:rsidRPr="00CE6806">
        <w:rPr>
          <w:sz w:val="22"/>
          <w:szCs w:val="22"/>
        </w:rPr>
        <w:t>early site permit,</w:t>
      </w:r>
      <w:r w:rsidR="00846E95" w:rsidRPr="00CE6806">
        <w:rPr>
          <w:rStyle w:val="FootnoteReference"/>
          <w:sz w:val="22"/>
          <w:szCs w:val="22"/>
          <w:vertAlign w:val="superscript"/>
        </w:rPr>
        <w:footnoteReference w:id="3"/>
      </w:r>
      <w:r w:rsidR="0090051E" w:rsidRPr="00CE6806">
        <w:rPr>
          <w:sz w:val="22"/>
          <w:szCs w:val="22"/>
        </w:rPr>
        <w:t xml:space="preserve"> </w:t>
      </w:r>
      <w:r w:rsidR="00EB659D" w:rsidRPr="00CE6806">
        <w:rPr>
          <w:sz w:val="22"/>
          <w:szCs w:val="22"/>
        </w:rPr>
        <w:t>initial operating license</w:t>
      </w:r>
      <w:r w:rsidR="00846E95" w:rsidRPr="00CE6806">
        <w:rPr>
          <w:sz w:val="22"/>
          <w:szCs w:val="22"/>
        </w:rPr>
        <w:t>, or initial combined operating license, will be issued unless a finding is made by the NRC that there is reasonable assurance that protective measures can and will be taken in the event of a radiological emergency</w:t>
      </w:r>
      <w:r w:rsidRPr="00CE6806">
        <w:rPr>
          <w:sz w:val="22"/>
          <w:szCs w:val="22"/>
        </w:rPr>
        <w:t>.</w:t>
      </w:r>
    </w:p>
    <w:p w:rsidR="00EB659D" w:rsidRPr="00CE6806" w:rsidRDefault="00EB659D" w:rsidP="00EB12BF">
      <w:pPr>
        <w:pStyle w:val="609noindent"/>
        <w:jc w:val="left"/>
        <w:rPr>
          <w:sz w:val="22"/>
          <w:szCs w:val="22"/>
        </w:rPr>
      </w:pPr>
    </w:p>
    <w:p w:rsidR="00AC5C1A" w:rsidRPr="00CE6806" w:rsidRDefault="00AC5C1A" w:rsidP="00EB12BF">
      <w:pPr>
        <w:pStyle w:val="609noindent"/>
        <w:jc w:val="left"/>
        <w:rPr>
          <w:sz w:val="22"/>
          <w:szCs w:val="22"/>
        </w:rPr>
      </w:pPr>
      <w:r w:rsidRPr="00CE6806">
        <w:rPr>
          <w:sz w:val="22"/>
          <w:szCs w:val="22"/>
        </w:rPr>
        <w:t>Once an operating license is issued under Part</w:t>
      </w:r>
      <w:r w:rsidR="00EB659D" w:rsidRPr="00CE6806">
        <w:rPr>
          <w:sz w:val="22"/>
          <w:szCs w:val="22"/>
        </w:rPr>
        <w:t> </w:t>
      </w:r>
      <w:r w:rsidRPr="00CE6806">
        <w:rPr>
          <w:sz w:val="22"/>
          <w:szCs w:val="22"/>
        </w:rPr>
        <w:t>50 or a combined license under Part</w:t>
      </w:r>
      <w:r w:rsidR="00EB659D" w:rsidRPr="00CE6806">
        <w:rPr>
          <w:sz w:val="22"/>
          <w:szCs w:val="22"/>
        </w:rPr>
        <w:t> </w:t>
      </w:r>
      <w:r w:rsidRPr="00CE6806">
        <w:rPr>
          <w:sz w:val="22"/>
          <w:szCs w:val="22"/>
        </w:rPr>
        <w:t>52,</w:t>
      </w:r>
      <w:r w:rsidRPr="00CE6806">
        <w:rPr>
          <w:rStyle w:val="FootnoteReference"/>
          <w:sz w:val="22"/>
          <w:szCs w:val="22"/>
          <w:vertAlign w:val="superscript"/>
        </w:rPr>
        <w:footnoteReference w:id="4"/>
      </w:r>
      <w:r w:rsidRPr="00CE6806">
        <w:rPr>
          <w:sz w:val="22"/>
          <w:szCs w:val="22"/>
        </w:rPr>
        <w:t xml:space="preserve"> a nuclear power reactor licensee is required by 10 CFR 50.54(q)(2) to follow and maintain the effectiveness of an emergency plan that meet</w:t>
      </w:r>
      <w:r w:rsidR="005C224D" w:rsidRPr="00CE6806">
        <w:rPr>
          <w:sz w:val="22"/>
          <w:szCs w:val="22"/>
        </w:rPr>
        <w:t>s</w:t>
      </w:r>
      <w:r w:rsidRPr="00CE6806">
        <w:rPr>
          <w:sz w:val="22"/>
          <w:szCs w:val="22"/>
        </w:rPr>
        <w:t xml:space="preserve"> the requirements of 10 CFR 50.47(b) and the supporting requirements in Appendix E.  The EP SDP is largely based upon the </w:t>
      </w:r>
      <w:r w:rsidR="007411D6" w:rsidRPr="00CE6806">
        <w:rPr>
          <w:caps/>
          <w:sz w:val="22"/>
          <w:szCs w:val="22"/>
        </w:rPr>
        <w:t>PS</w:t>
      </w:r>
      <w:r w:rsidRPr="00CE6806">
        <w:rPr>
          <w:sz w:val="22"/>
          <w:szCs w:val="22"/>
        </w:rPr>
        <w:t xml:space="preserve"> </w:t>
      </w:r>
      <w:r w:rsidR="005C224D" w:rsidRPr="00CE6806">
        <w:rPr>
          <w:sz w:val="22"/>
          <w:szCs w:val="22"/>
        </w:rPr>
        <w:t>because</w:t>
      </w:r>
      <w:r w:rsidRPr="00CE6806">
        <w:rPr>
          <w:sz w:val="22"/>
          <w:szCs w:val="22"/>
        </w:rPr>
        <w:t xml:space="preserve"> the requirements in Appendix E are generally expansions on the broadly worded standards.</w:t>
      </w:r>
      <w:r w:rsidRPr="00CE6806">
        <w:rPr>
          <w:rStyle w:val="FootnoteReference"/>
          <w:sz w:val="22"/>
          <w:szCs w:val="22"/>
          <w:vertAlign w:val="superscript"/>
        </w:rPr>
        <w:footnoteReference w:id="5"/>
      </w:r>
      <w:r w:rsidRPr="00CE6806">
        <w:rPr>
          <w:sz w:val="22"/>
          <w:szCs w:val="22"/>
        </w:rPr>
        <w:t xml:space="preserve">  These regulations, the licensee</w:t>
      </w:r>
      <w:r w:rsidR="003B6B1E">
        <w:rPr>
          <w:sz w:val="22"/>
          <w:szCs w:val="22"/>
        </w:rPr>
        <w:t>’</w:t>
      </w:r>
      <w:r w:rsidRPr="00CE6806">
        <w:rPr>
          <w:sz w:val="22"/>
          <w:szCs w:val="22"/>
        </w:rPr>
        <w:t xml:space="preserve">s approved emergency plan, along with relevant license conditions, Commission orders, and other commitments, comprise the </w:t>
      </w:r>
      <w:r w:rsidRPr="00CE6806">
        <w:rPr>
          <w:caps/>
          <w:sz w:val="22"/>
          <w:szCs w:val="22"/>
        </w:rPr>
        <w:t>regulatory requirements</w:t>
      </w:r>
      <w:r w:rsidRPr="00CE6806">
        <w:rPr>
          <w:sz w:val="22"/>
          <w:szCs w:val="22"/>
        </w:rPr>
        <w:t xml:space="preserve"> that the licensee</w:t>
      </w:r>
      <w:r w:rsidR="003B6B1E">
        <w:rPr>
          <w:sz w:val="22"/>
          <w:szCs w:val="22"/>
        </w:rPr>
        <w:t>’</w:t>
      </w:r>
      <w:r w:rsidRPr="00CE6806">
        <w:rPr>
          <w:sz w:val="22"/>
          <w:szCs w:val="22"/>
        </w:rPr>
        <w:t>s EP program must meet.</w:t>
      </w:r>
    </w:p>
    <w:p w:rsidR="00AC5C1A" w:rsidRPr="00CE6806" w:rsidRDefault="00AC5C1A" w:rsidP="00EB12BF">
      <w:pPr>
        <w:pStyle w:val="609noindent"/>
        <w:jc w:val="left"/>
        <w:rPr>
          <w:sz w:val="22"/>
          <w:szCs w:val="22"/>
        </w:rPr>
      </w:pPr>
    </w:p>
    <w:p w:rsidR="00AC160D" w:rsidRPr="00CE6806" w:rsidRDefault="00AC160D" w:rsidP="00EB12BF">
      <w:pPr>
        <w:pStyle w:val="609noindent"/>
        <w:jc w:val="left"/>
        <w:rPr>
          <w:sz w:val="22"/>
          <w:szCs w:val="22"/>
        </w:rPr>
      </w:pPr>
      <w:r w:rsidRPr="00CE6806">
        <w:rPr>
          <w:sz w:val="22"/>
          <w:szCs w:val="22"/>
        </w:rPr>
        <w:t xml:space="preserve">Regulatory Guide (RG) 1.101, </w:t>
      </w:r>
      <w:r w:rsidR="003B6B1E">
        <w:rPr>
          <w:sz w:val="22"/>
          <w:szCs w:val="22"/>
        </w:rPr>
        <w:t>“</w:t>
      </w:r>
      <w:r w:rsidRPr="00CE6806">
        <w:rPr>
          <w:sz w:val="22"/>
          <w:szCs w:val="22"/>
        </w:rPr>
        <w:t>Emergency Planning and Preparedness for Nuclear Power Reactors,</w:t>
      </w:r>
      <w:r w:rsidR="003B6B1E">
        <w:rPr>
          <w:sz w:val="22"/>
          <w:szCs w:val="22"/>
        </w:rPr>
        <w:t>”</w:t>
      </w:r>
      <w:r w:rsidRPr="00CE6806">
        <w:rPr>
          <w:sz w:val="22"/>
          <w:szCs w:val="22"/>
        </w:rPr>
        <w:t xml:space="preserve"> </w:t>
      </w:r>
      <w:r w:rsidR="00EB659D" w:rsidRPr="00CE6806">
        <w:rPr>
          <w:sz w:val="22"/>
          <w:szCs w:val="22"/>
        </w:rPr>
        <w:t>R</w:t>
      </w:r>
      <w:r w:rsidRPr="00CE6806">
        <w:rPr>
          <w:sz w:val="22"/>
          <w:szCs w:val="22"/>
        </w:rPr>
        <w:t>evision 5</w:t>
      </w:r>
      <w:r w:rsidR="005C224D" w:rsidRPr="00CE6806">
        <w:rPr>
          <w:sz w:val="22"/>
          <w:szCs w:val="22"/>
        </w:rPr>
        <w:t xml:space="preserve"> [ML050730286]</w:t>
      </w:r>
      <w:r w:rsidRPr="00CE6806">
        <w:rPr>
          <w:sz w:val="22"/>
          <w:szCs w:val="22"/>
        </w:rPr>
        <w:t>, states that the criteria and recommendations contained in Revision</w:t>
      </w:r>
      <w:r w:rsidR="00EB659D" w:rsidRPr="00CE6806">
        <w:rPr>
          <w:sz w:val="22"/>
          <w:szCs w:val="22"/>
        </w:rPr>
        <w:t> </w:t>
      </w:r>
      <w:r w:rsidRPr="00CE6806">
        <w:rPr>
          <w:sz w:val="22"/>
          <w:szCs w:val="22"/>
        </w:rPr>
        <w:t xml:space="preserve">1 of NUREG-0654/FEMA-REP-1 are considered to be acceptable methods for complying with the </w:t>
      </w:r>
      <w:r w:rsidR="00BD4493" w:rsidRPr="00CE6806">
        <w:rPr>
          <w:sz w:val="22"/>
          <w:szCs w:val="22"/>
        </w:rPr>
        <w:t>PS</w:t>
      </w:r>
      <w:r w:rsidRPr="00CE6806">
        <w:rPr>
          <w:sz w:val="22"/>
          <w:szCs w:val="22"/>
        </w:rPr>
        <w:t xml:space="preserve"> in 10 CFR 50.47(b) that must be met in onsite a</w:t>
      </w:r>
      <w:r w:rsidR="005D31AA" w:rsidRPr="00CE6806">
        <w:rPr>
          <w:sz w:val="22"/>
          <w:szCs w:val="22"/>
        </w:rPr>
        <w:t xml:space="preserve">nd offsite emergency response </w:t>
      </w:r>
      <w:r w:rsidRPr="00CE6806">
        <w:rPr>
          <w:sz w:val="22"/>
          <w:szCs w:val="22"/>
        </w:rPr>
        <w:t xml:space="preserve">plans. </w:t>
      </w:r>
      <w:r w:rsidR="003B6B1E">
        <w:rPr>
          <w:sz w:val="22"/>
          <w:szCs w:val="22"/>
        </w:rPr>
        <w:t xml:space="preserve"> </w:t>
      </w:r>
      <w:r w:rsidR="00A46494" w:rsidRPr="00CE6806">
        <w:rPr>
          <w:sz w:val="22"/>
          <w:szCs w:val="22"/>
        </w:rPr>
        <w:t>The regulatory guide also endorses certain indust</w:t>
      </w:r>
      <w:r w:rsidR="00554980" w:rsidRPr="00CE6806">
        <w:rPr>
          <w:sz w:val="22"/>
          <w:szCs w:val="22"/>
        </w:rPr>
        <w:t xml:space="preserve">ry emergency action level scheme </w:t>
      </w:r>
      <w:r w:rsidR="00A46494" w:rsidRPr="00CE6806">
        <w:rPr>
          <w:sz w:val="22"/>
          <w:szCs w:val="22"/>
        </w:rPr>
        <w:t>guidance.</w:t>
      </w:r>
    </w:p>
    <w:p w:rsidR="00AC160D" w:rsidRPr="00CE6806" w:rsidRDefault="00AC160D" w:rsidP="00EB12BF">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00AC160D" w:rsidRPr="00CE6806" w:rsidRDefault="00AC160D" w:rsidP="00EB12BF">
      <w:pPr>
        <w:pStyle w:val="609noindent"/>
        <w:jc w:val="left"/>
        <w:rPr>
          <w:sz w:val="22"/>
          <w:szCs w:val="22"/>
        </w:rPr>
      </w:pPr>
      <w:r w:rsidRPr="00CE6806">
        <w:rPr>
          <w:sz w:val="22"/>
          <w:szCs w:val="22"/>
        </w:rPr>
        <w:t>NUREG-0654/FEMA</w:t>
      </w:r>
      <w:r w:rsidR="007F06A5">
        <w:rPr>
          <w:sz w:val="22"/>
          <w:szCs w:val="22"/>
        </w:rPr>
        <w:t>-</w:t>
      </w:r>
      <w:r w:rsidRPr="00CE6806">
        <w:rPr>
          <w:sz w:val="22"/>
          <w:szCs w:val="22"/>
        </w:rPr>
        <w:t xml:space="preserve">REP-1, </w:t>
      </w:r>
      <w:r w:rsidR="003B6B1E">
        <w:rPr>
          <w:sz w:val="22"/>
          <w:szCs w:val="22"/>
        </w:rPr>
        <w:t>“</w:t>
      </w:r>
      <w:r w:rsidRPr="00CE6806">
        <w:rPr>
          <w:sz w:val="22"/>
          <w:szCs w:val="22"/>
        </w:rPr>
        <w:t xml:space="preserve">Criteria for Preparation and Evaluation of Radiological Emergency Response Plans and Preparedness in </w:t>
      </w:r>
      <w:r w:rsidR="005C224D" w:rsidRPr="00CE6806">
        <w:rPr>
          <w:sz w:val="22"/>
          <w:szCs w:val="22"/>
        </w:rPr>
        <w:t>Support of Nuclear Power Plants</w:t>
      </w:r>
      <w:r w:rsidR="003B6B1E">
        <w:rPr>
          <w:sz w:val="22"/>
          <w:szCs w:val="22"/>
        </w:rPr>
        <w:t>”</w:t>
      </w:r>
      <w:r w:rsidR="005C224D" w:rsidRPr="00CE6806">
        <w:rPr>
          <w:sz w:val="22"/>
          <w:szCs w:val="22"/>
        </w:rPr>
        <w:t xml:space="preserve"> [ML040420012]</w:t>
      </w:r>
      <w:r w:rsidRPr="00CE6806">
        <w:rPr>
          <w:sz w:val="22"/>
          <w:szCs w:val="22"/>
        </w:rPr>
        <w:t xml:space="preserve"> provides guidance to State and local governments and licensees in the development of E-plans.  Implementation guidance is provided in the form of evaluation criteria</w:t>
      </w:r>
      <w:r w:rsidR="002708DC" w:rsidRPr="00CE6806">
        <w:rPr>
          <w:sz w:val="22"/>
          <w:szCs w:val="22"/>
        </w:rPr>
        <w:t xml:space="preserve"> for each </w:t>
      </w:r>
      <w:r w:rsidR="007411D6" w:rsidRPr="00CE6806">
        <w:rPr>
          <w:caps/>
          <w:sz w:val="22"/>
          <w:szCs w:val="22"/>
        </w:rPr>
        <w:t>PS</w:t>
      </w:r>
      <w:r w:rsidRPr="00CE6806">
        <w:rPr>
          <w:sz w:val="22"/>
          <w:szCs w:val="22"/>
        </w:rPr>
        <w:t xml:space="preserve">.  The methods and capabilities described </w:t>
      </w:r>
      <w:r w:rsidR="007F06A5">
        <w:rPr>
          <w:sz w:val="22"/>
          <w:szCs w:val="22"/>
        </w:rPr>
        <w:t xml:space="preserve">in </w:t>
      </w:r>
      <w:r w:rsidRPr="00CE6806">
        <w:rPr>
          <w:sz w:val="22"/>
          <w:szCs w:val="22"/>
        </w:rPr>
        <w:t xml:space="preserve">the </w:t>
      </w:r>
      <w:r w:rsidR="00831645" w:rsidRPr="00CE6806">
        <w:rPr>
          <w:sz w:val="22"/>
          <w:szCs w:val="22"/>
        </w:rPr>
        <w:t xml:space="preserve">emergency </w:t>
      </w:r>
      <w:r w:rsidRPr="00CE6806">
        <w:rPr>
          <w:sz w:val="22"/>
          <w:szCs w:val="22"/>
        </w:rPr>
        <w:t>plan are evaluated agai</w:t>
      </w:r>
      <w:r w:rsidR="00831645" w:rsidRPr="00CE6806">
        <w:rPr>
          <w:sz w:val="22"/>
          <w:szCs w:val="22"/>
        </w:rPr>
        <w:t>n</w:t>
      </w:r>
      <w:r w:rsidRPr="00CE6806">
        <w:rPr>
          <w:sz w:val="22"/>
          <w:szCs w:val="22"/>
        </w:rPr>
        <w:t xml:space="preserve">st these criteria in determining whether the plan complies with the </w:t>
      </w:r>
      <w:r w:rsidR="007411D6" w:rsidRPr="00CE6806">
        <w:rPr>
          <w:caps/>
          <w:sz w:val="22"/>
          <w:szCs w:val="22"/>
        </w:rPr>
        <w:t>PS</w:t>
      </w:r>
      <w:r w:rsidRPr="00CE6806">
        <w:rPr>
          <w:sz w:val="22"/>
          <w:szCs w:val="22"/>
        </w:rPr>
        <w:t xml:space="preserve">.  </w:t>
      </w:r>
      <w:proofErr w:type="gramStart"/>
      <w:r w:rsidRPr="00CE6806">
        <w:rPr>
          <w:sz w:val="22"/>
          <w:szCs w:val="22"/>
        </w:rPr>
        <w:t>As with all NRC guidance documents</w:t>
      </w:r>
      <w:r w:rsidR="007F06A5">
        <w:rPr>
          <w:sz w:val="22"/>
          <w:szCs w:val="22"/>
        </w:rPr>
        <w:t>,</w:t>
      </w:r>
      <w:r w:rsidRPr="00CE6806">
        <w:rPr>
          <w:sz w:val="22"/>
          <w:szCs w:val="22"/>
        </w:rPr>
        <w:t xml:space="preserve"> the licensee may propose alternative approaches of demonstrating compliance with the </w:t>
      </w:r>
      <w:r w:rsidR="007411D6" w:rsidRPr="00CE6806">
        <w:rPr>
          <w:caps/>
          <w:sz w:val="22"/>
          <w:szCs w:val="22"/>
        </w:rPr>
        <w:t>PS</w:t>
      </w:r>
      <w:r w:rsidRPr="00CE6806">
        <w:rPr>
          <w:sz w:val="22"/>
          <w:szCs w:val="22"/>
        </w:rPr>
        <w:t>.</w:t>
      </w:r>
      <w:proofErr w:type="gramEnd"/>
      <w:r w:rsidRPr="00CE6806">
        <w:rPr>
          <w:sz w:val="22"/>
          <w:szCs w:val="22"/>
        </w:rPr>
        <w:t xml:space="preserve">  The licensee’s arrangements for meeting these evaluation criteria, as modified or supplemented by commitments made in the licensee</w:t>
      </w:r>
      <w:r w:rsidR="003B6B1E">
        <w:rPr>
          <w:sz w:val="22"/>
          <w:szCs w:val="22"/>
        </w:rPr>
        <w:t>’</w:t>
      </w:r>
      <w:r w:rsidRPr="00CE6806">
        <w:rPr>
          <w:sz w:val="22"/>
          <w:szCs w:val="22"/>
        </w:rPr>
        <w:t xml:space="preserve">s approved </w:t>
      </w:r>
      <w:r w:rsidR="005D31AA" w:rsidRPr="00CE6806">
        <w:rPr>
          <w:sz w:val="22"/>
          <w:szCs w:val="22"/>
        </w:rPr>
        <w:t>emergency plan</w:t>
      </w:r>
      <w:r w:rsidRPr="00CE6806">
        <w:rPr>
          <w:sz w:val="22"/>
          <w:szCs w:val="22"/>
        </w:rPr>
        <w:t xml:space="preserve">, comprise the </w:t>
      </w:r>
      <w:r w:rsidRPr="00CE6806">
        <w:rPr>
          <w:caps/>
          <w:sz w:val="22"/>
          <w:szCs w:val="22"/>
        </w:rPr>
        <w:t>program elements</w:t>
      </w:r>
      <w:r w:rsidRPr="00CE6806">
        <w:rPr>
          <w:sz w:val="22"/>
          <w:szCs w:val="22"/>
        </w:rPr>
        <w:t xml:space="preserve"> </w:t>
      </w:r>
      <w:r w:rsidR="007411D6" w:rsidRPr="00CE6806">
        <w:rPr>
          <w:sz w:val="22"/>
          <w:szCs w:val="22"/>
        </w:rPr>
        <w:t xml:space="preserve">(PE) </w:t>
      </w:r>
      <w:r w:rsidRPr="00CE6806">
        <w:rPr>
          <w:sz w:val="22"/>
          <w:szCs w:val="22"/>
        </w:rPr>
        <w:t xml:space="preserve">that form the basis for evaluating the </w:t>
      </w:r>
      <w:r w:rsidR="00554980" w:rsidRPr="00CE6806">
        <w:rPr>
          <w:sz w:val="22"/>
          <w:szCs w:val="22"/>
        </w:rPr>
        <w:t>EP</w:t>
      </w:r>
      <w:r w:rsidRPr="00CE6806">
        <w:rPr>
          <w:sz w:val="22"/>
          <w:szCs w:val="22"/>
        </w:rPr>
        <w:t xml:space="preserve"> Cornerstone.  </w:t>
      </w:r>
    </w:p>
    <w:p w:rsidR="00847C23" w:rsidRPr="00CE6806" w:rsidRDefault="00847C23" w:rsidP="00EB12BF">
      <w:pPr>
        <w:pStyle w:val="609noindent"/>
        <w:jc w:val="left"/>
        <w:rPr>
          <w:sz w:val="22"/>
          <w:szCs w:val="22"/>
        </w:rPr>
      </w:pPr>
    </w:p>
    <w:p w:rsidR="00847C23" w:rsidRPr="00CE6806" w:rsidRDefault="00847C23" w:rsidP="00EB12BF">
      <w:pPr>
        <w:pStyle w:val="609noindent"/>
        <w:jc w:val="left"/>
        <w:rPr>
          <w:sz w:val="22"/>
          <w:szCs w:val="22"/>
        </w:rPr>
      </w:pPr>
      <w:r w:rsidRPr="00CE6806">
        <w:rPr>
          <w:sz w:val="22"/>
          <w:szCs w:val="22"/>
        </w:rPr>
        <w:lastRenderedPageBreak/>
        <w:t>In December</w:t>
      </w:r>
      <w:r w:rsidR="00EB659D" w:rsidRPr="00CE6806">
        <w:rPr>
          <w:sz w:val="22"/>
          <w:szCs w:val="22"/>
        </w:rPr>
        <w:t> </w:t>
      </w:r>
      <w:r w:rsidRPr="00CE6806">
        <w:rPr>
          <w:sz w:val="22"/>
          <w:szCs w:val="22"/>
        </w:rPr>
        <w:t xml:space="preserve">2011, an amendment to the </w:t>
      </w:r>
      <w:r w:rsidR="00554980" w:rsidRPr="00CE6806">
        <w:rPr>
          <w:sz w:val="22"/>
          <w:szCs w:val="22"/>
        </w:rPr>
        <w:t>EP</w:t>
      </w:r>
      <w:r w:rsidRPr="00CE6806">
        <w:rPr>
          <w:sz w:val="22"/>
          <w:szCs w:val="22"/>
        </w:rPr>
        <w:t xml:space="preserve"> regulations at </w:t>
      </w:r>
      <w:r w:rsidR="00EB659D" w:rsidRPr="00CE6806">
        <w:rPr>
          <w:sz w:val="22"/>
          <w:szCs w:val="22"/>
        </w:rPr>
        <w:t>10 CFR</w:t>
      </w:r>
      <w:r w:rsidR="00846E95" w:rsidRPr="00CE6806">
        <w:rPr>
          <w:sz w:val="22"/>
          <w:szCs w:val="22"/>
        </w:rPr>
        <w:t xml:space="preserve"> </w:t>
      </w:r>
      <w:r w:rsidRPr="00CE6806">
        <w:rPr>
          <w:sz w:val="22"/>
          <w:szCs w:val="22"/>
        </w:rPr>
        <w:t xml:space="preserve">50.47(b), </w:t>
      </w:r>
      <w:r w:rsidR="00EB659D" w:rsidRPr="00CE6806">
        <w:rPr>
          <w:sz w:val="22"/>
          <w:szCs w:val="22"/>
        </w:rPr>
        <w:t>10 CFR</w:t>
      </w:r>
      <w:r w:rsidR="00846E95" w:rsidRPr="00CE6806">
        <w:rPr>
          <w:sz w:val="22"/>
          <w:szCs w:val="22"/>
        </w:rPr>
        <w:t xml:space="preserve"> </w:t>
      </w:r>
      <w:r w:rsidRPr="00CE6806">
        <w:rPr>
          <w:sz w:val="22"/>
          <w:szCs w:val="22"/>
        </w:rPr>
        <w:t>50.54(q), and Appendix</w:t>
      </w:r>
      <w:r w:rsidR="00EB659D" w:rsidRPr="00CE6806">
        <w:rPr>
          <w:sz w:val="22"/>
          <w:szCs w:val="22"/>
        </w:rPr>
        <w:t> </w:t>
      </w:r>
      <w:r w:rsidRPr="00CE6806">
        <w:rPr>
          <w:sz w:val="22"/>
          <w:szCs w:val="22"/>
        </w:rPr>
        <w:t>E became effective.  Supporting guidance was issued:</w:t>
      </w:r>
    </w:p>
    <w:p w:rsidR="00AC5C1A" w:rsidRPr="00CE6806" w:rsidRDefault="00AC5C1A" w:rsidP="00EB12BF">
      <w:pPr>
        <w:pStyle w:val="609noindent"/>
        <w:spacing w:after="100"/>
        <w:jc w:val="left"/>
        <w:rPr>
          <w:sz w:val="22"/>
          <w:szCs w:val="22"/>
        </w:rPr>
      </w:pPr>
    </w:p>
    <w:p w:rsidR="00847C23" w:rsidRPr="00CE6806" w:rsidRDefault="00847C23" w:rsidP="00EB12BF">
      <w:pPr>
        <w:pStyle w:val="609noindent"/>
        <w:numPr>
          <w:ilvl w:val="0"/>
          <w:numId w:val="12"/>
        </w:numPr>
        <w:spacing w:after="100"/>
        <w:jc w:val="left"/>
        <w:rPr>
          <w:sz w:val="22"/>
          <w:szCs w:val="22"/>
        </w:rPr>
      </w:pPr>
      <w:r w:rsidRPr="00CE6806">
        <w:rPr>
          <w:sz w:val="22"/>
          <w:szCs w:val="22"/>
        </w:rPr>
        <w:t>Regulatory Guide 1.219, “Guidance on Making Changes to Emergency Response P</w:t>
      </w:r>
      <w:r w:rsidR="007411D6" w:rsidRPr="00CE6806">
        <w:rPr>
          <w:sz w:val="22"/>
          <w:szCs w:val="22"/>
        </w:rPr>
        <w:t>lans for Nuclear Power Reactors</w:t>
      </w:r>
      <w:r w:rsidRPr="00CE6806">
        <w:rPr>
          <w:sz w:val="22"/>
          <w:szCs w:val="22"/>
        </w:rPr>
        <w:t>”</w:t>
      </w:r>
      <w:r w:rsidR="007411D6" w:rsidRPr="00CE6806">
        <w:rPr>
          <w:sz w:val="22"/>
          <w:szCs w:val="22"/>
        </w:rPr>
        <w:t xml:space="preserve"> [ML102510626]</w:t>
      </w:r>
    </w:p>
    <w:p w:rsidR="00847C23" w:rsidRPr="00CE6806" w:rsidRDefault="00847C23" w:rsidP="00EB12BF">
      <w:pPr>
        <w:pStyle w:val="609noindent"/>
        <w:numPr>
          <w:ilvl w:val="0"/>
          <w:numId w:val="12"/>
        </w:numPr>
        <w:spacing w:after="100"/>
        <w:jc w:val="left"/>
        <w:rPr>
          <w:sz w:val="22"/>
          <w:szCs w:val="22"/>
        </w:rPr>
      </w:pPr>
      <w:r w:rsidRPr="00CE6806">
        <w:rPr>
          <w:sz w:val="22"/>
          <w:szCs w:val="22"/>
        </w:rPr>
        <w:t>NUREG-0654/FEMA</w:t>
      </w:r>
      <w:r w:rsidR="007F06A5">
        <w:rPr>
          <w:sz w:val="22"/>
          <w:szCs w:val="22"/>
        </w:rPr>
        <w:t>-</w:t>
      </w:r>
      <w:r w:rsidRPr="00CE6806">
        <w:rPr>
          <w:sz w:val="22"/>
          <w:szCs w:val="22"/>
        </w:rPr>
        <w:t>REP-1, Supplement 3, “Guidance f</w:t>
      </w:r>
      <w:r w:rsidR="007411D6" w:rsidRPr="00CE6806">
        <w:rPr>
          <w:sz w:val="22"/>
          <w:szCs w:val="22"/>
        </w:rPr>
        <w:t>or Protective Action Strategies</w:t>
      </w:r>
      <w:r w:rsidRPr="00CE6806">
        <w:rPr>
          <w:sz w:val="22"/>
          <w:szCs w:val="22"/>
        </w:rPr>
        <w:t>”</w:t>
      </w:r>
      <w:r w:rsidR="007411D6" w:rsidRPr="00CE6806">
        <w:rPr>
          <w:sz w:val="22"/>
          <w:szCs w:val="22"/>
        </w:rPr>
        <w:t xml:space="preserve"> [ML113010596]</w:t>
      </w:r>
    </w:p>
    <w:p w:rsidR="00847C23" w:rsidRPr="00CE6806" w:rsidRDefault="00847C23" w:rsidP="00EB12BF">
      <w:pPr>
        <w:pStyle w:val="609noindent"/>
        <w:numPr>
          <w:ilvl w:val="0"/>
          <w:numId w:val="12"/>
        </w:numPr>
        <w:spacing w:after="100"/>
        <w:jc w:val="left"/>
        <w:rPr>
          <w:sz w:val="22"/>
          <w:szCs w:val="22"/>
        </w:rPr>
      </w:pPr>
      <w:r w:rsidRPr="00CE6806">
        <w:rPr>
          <w:sz w:val="22"/>
          <w:szCs w:val="22"/>
        </w:rPr>
        <w:t>NUREG/CR-7002, “Criteria for Development of E</w:t>
      </w:r>
      <w:r w:rsidR="007411D6" w:rsidRPr="00CE6806">
        <w:rPr>
          <w:sz w:val="22"/>
          <w:szCs w:val="22"/>
        </w:rPr>
        <w:t>vacuation Time Estimate Studies</w:t>
      </w:r>
      <w:r w:rsidRPr="00CE6806">
        <w:rPr>
          <w:sz w:val="22"/>
          <w:szCs w:val="22"/>
        </w:rPr>
        <w:t>”</w:t>
      </w:r>
      <w:r w:rsidR="007411D6" w:rsidRPr="00CE6806">
        <w:rPr>
          <w:sz w:val="22"/>
          <w:szCs w:val="22"/>
        </w:rPr>
        <w:t xml:space="preserve"> [ML113030515]</w:t>
      </w:r>
    </w:p>
    <w:p w:rsidR="00847C23" w:rsidRPr="00CE6806" w:rsidRDefault="00847C23" w:rsidP="00EB12BF">
      <w:pPr>
        <w:pStyle w:val="609noindent"/>
        <w:numPr>
          <w:ilvl w:val="0"/>
          <w:numId w:val="12"/>
        </w:numPr>
        <w:jc w:val="left"/>
        <w:rPr>
          <w:sz w:val="22"/>
          <w:szCs w:val="22"/>
        </w:rPr>
      </w:pPr>
      <w:r w:rsidRPr="00CE6806">
        <w:rPr>
          <w:sz w:val="22"/>
          <w:szCs w:val="22"/>
        </w:rPr>
        <w:t>NSIR/DPR-ISG-01, “Interim Staff Guidance: Emergency Planning for Nuclear Power Plants”</w:t>
      </w:r>
      <w:r w:rsidR="007411D6" w:rsidRPr="00CE6806">
        <w:rPr>
          <w:sz w:val="22"/>
          <w:szCs w:val="22"/>
        </w:rPr>
        <w:t xml:space="preserve"> [ML113010523]</w:t>
      </w:r>
    </w:p>
    <w:p w:rsidR="00AC5C1A" w:rsidRPr="00CE6806" w:rsidRDefault="00AC5C1A" w:rsidP="00EB12BF">
      <w:pPr>
        <w:pStyle w:val="609noindent"/>
        <w:jc w:val="left"/>
        <w:rPr>
          <w:sz w:val="22"/>
          <w:szCs w:val="22"/>
        </w:rPr>
      </w:pPr>
    </w:p>
    <w:p w:rsidR="00847C23" w:rsidRPr="00CE6806" w:rsidRDefault="00847C23" w:rsidP="00EB12BF">
      <w:pPr>
        <w:pStyle w:val="609noindent"/>
        <w:jc w:val="left"/>
        <w:rPr>
          <w:sz w:val="22"/>
          <w:szCs w:val="22"/>
        </w:rPr>
      </w:pPr>
      <w:r w:rsidRPr="00CE6806">
        <w:rPr>
          <w:sz w:val="22"/>
          <w:szCs w:val="22"/>
        </w:rPr>
        <w:t xml:space="preserve">The latter document provides interim guidance that </w:t>
      </w:r>
      <w:r w:rsidR="00AC5C1A" w:rsidRPr="00CE6806">
        <w:rPr>
          <w:sz w:val="22"/>
          <w:szCs w:val="22"/>
        </w:rPr>
        <w:t>modifies</w:t>
      </w:r>
      <w:r w:rsidRPr="00CE6806">
        <w:rPr>
          <w:sz w:val="22"/>
          <w:szCs w:val="22"/>
        </w:rPr>
        <w:t xml:space="preserve"> previous guidance found in NUREG-0654/FEMA</w:t>
      </w:r>
      <w:r w:rsidR="007F06A5">
        <w:rPr>
          <w:sz w:val="22"/>
          <w:szCs w:val="22"/>
        </w:rPr>
        <w:t>-</w:t>
      </w:r>
      <w:r w:rsidRPr="00CE6806">
        <w:rPr>
          <w:sz w:val="22"/>
          <w:szCs w:val="22"/>
        </w:rPr>
        <w:t>REP-1</w:t>
      </w:r>
      <w:r w:rsidR="00AC5C1A" w:rsidRPr="00CE6806">
        <w:rPr>
          <w:sz w:val="22"/>
          <w:szCs w:val="22"/>
        </w:rPr>
        <w:t>,</w:t>
      </w:r>
      <w:r w:rsidRPr="00CE6806">
        <w:rPr>
          <w:sz w:val="22"/>
          <w:szCs w:val="22"/>
        </w:rPr>
        <w:t xml:space="preserve"> and other previously issued guidance</w:t>
      </w:r>
      <w:r w:rsidR="00AC5C1A" w:rsidRPr="00CE6806">
        <w:rPr>
          <w:sz w:val="22"/>
          <w:szCs w:val="22"/>
        </w:rPr>
        <w:t>,</w:t>
      </w:r>
      <w:r w:rsidRPr="00CE6806">
        <w:rPr>
          <w:sz w:val="22"/>
          <w:szCs w:val="22"/>
        </w:rPr>
        <w:t xml:space="preserve"> until the earlier guidance is updated.  </w:t>
      </w:r>
    </w:p>
    <w:p w:rsidR="005206BD" w:rsidRPr="00CE6806" w:rsidRDefault="005206BD" w:rsidP="00EB1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p>
    <w:p w:rsidR="00831645" w:rsidRPr="00CE6806" w:rsidRDefault="00831645" w:rsidP="00EB1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r w:rsidRPr="00CE6806">
        <w:rPr>
          <w:rFonts w:cs="Arial"/>
          <w:b/>
          <w:sz w:val="22"/>
          <w:szCs w:val="22"/>
        </w:rPr>
        <w:t>3.0</w:t>
      </w:r>
      <w:r w:rsidRPr="00CE6806">
        <w:rPr>
          <w:rFonts w:cs="Arial"/>
          <w:b/>
          <w:sz w:val="22"/>
          <w:szCs w:val="22"/>
        </w:rPr>
        <w:tab/>
        <w:t>DEVELOPMENT OF THE EP SDP</w:t>
      </w:r>
    </w:p>
    <w:p w:rsidR="00831645" w:rsidRPr="00CE6806" w:rsidRDefault="00831645" w:rsidP="00EB1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p>
    <w:p w:rsidR="000A68F6" w:rsidRPr="00CE6806" w:rsidRDefault="005F2EEA" w:rsidP="00EB12BF">
      <w:pPr>
        <w:pStyle w:val="609noindent"/>
        <w:jc w:val="left"/>
        <w:rPr>
          <w:sz w:val="22"/>
          <w:szCs w:val="22"/>
        </w:rPr>
      </w:pPr>
      <w:r w:rsidRPr="00CE6806">
        <w:rPr>
          <w:sz w:val="22"/>
          <w:szCs w:val="22"/>
        </w:rPr>
        <w:t xml:space="preserve">During the development of the EP </w:t>
      </w:r>
      <w:r w:rsidR="000F7FAD" w:rsidRPr="00CE6806">
        <w:rPr>
          <w:sz w:val="22"/>
          <w:szCs w:val="22"/>
        </w:rPr>
        <w:t>SDP</w:t>
      </w:r>
      <w:r w:rsidRPr="00CE6806">
        <w:rPr>
          <w:sz w:val="22"/>
          <w:szCs w:val="22"/>
        </w:rPr>
        <w:t xml:space="preserve">, the most risk-significant </w:t>
      </w:r>
      <w:r w:rsidR="007411D6" w:rsidRPr="00CE6806">
        <w:rPr>
          <w:caps/>
          <w:sz w:val="22"/>
          <w:szCs w:val="22"/>
        </w:rPr>
        <w:t>PS</w:t>
      </w:r>
      <w:r w:rsidRPr="00CE6806">
        <w:rPr>
          <w:sz w:val="22"/>
          <w:szCs w:val="22"/>
        </w:rPr>
        <w:t xml:space="preserve"> </w:t>
      </w:r>
      <w:r w:rsidR="002D25C4" w:rsidRPr="00CE6806">
        <w:rPr>
          <w:sz w:val="22"/>
          <w:szCs w:val="22"/>
        </w:rPr>
        <w:t xml:space="preserve">(i.e., </w:t>
      </w:r>
      <w:r w:rsidR="002D25C4" w:rsidRPr="00CE6806">
        <w:rPr>
          <w:caps/>
          <w:sz w:val="22"/>
          <w:szCs w:val="22"/>
        </w:rPr>
        <w:t>Risk-Significant Planning Standards</w:t>
      </w:r>
      <w:r w:rsidR="002D25C4" w:rsidRPr="00CE6806">
        <w:rPr>
          <w:sz w:val="22"/>
          <w:szCs w:val="22"/>
        </w:rPr>
        <w:t xml:space="preserve"> (RSPS)) </w:t>
      </w:r>
      <w:proofErr w:type="gramStart"/>
      <w:r w:rsidRPr="00CE6806">
        <w:rPr>
          <w:sz w:val="22"/>
          <w:szCs w:val="22"/>
        </w:rPr>
        <w:t>were</w:t>
      </w:r>
      <w:proofErr w:type="gramEnd"/>
      <w:r w:rsidRPr="00CE6806">
        <w:rPr>
          <w:sz w:val="22"/>
          <w:szCs w:val="22"/>
        </w:rPr>
        <w:t xml:space="preserve"> identified as being distinct from </w:t>
      </w:r>
      <w:r w:rsidR="0090051E" w:rsidRPr="00CE6806">
        <w:rPr>
          <w:sz w:val="22"/>
          <w:szCs w:val="22"/>
        </w:rPr>
        <w:t xml:space="preserve">the </w:t>
      </w:r>
      <w:r w:rsidRPr="00CE6806">
        <w:rPr>
          <w:sz w:val="22"/>
          <w:szCs w:val="22"/>
        </w:rPr>
        <w:t xml:space="preserve">other </w:t>
      </w:r>
      <w:r w:rsidR="007411D6" w:rsidRPr="00CE6806">
        <w:rPr>
          <w:caps/>
          <w:sz w:val="22"/>
          <w:szCs w:val="22"/>
        </w:rPr>
        <w:t>PS</w:t>
      </w:r>
      <w:r w:rsidRPr="00CE6806">
        <w:rPr>
          <w:sz w:val="22"/>
          <w:szCs w:val="22"/>
        </w:rPr>
        <w:t>.  These development efforts were performed by a group of EP subject matter experts, including NRC staff and industry stakeholders, with input from members of the public.  Timely and accurate classification of events</w:t>
      </w:r>
      <w:r w:rsidR="008050F6" w:rsidRPr="00CE6806">
        <w:rPr>
          <w:sz w:val="22"/>
          <w:szCs w:val="22"/>
        </w:rPr>
        <w:t xml:space="preserve"> (</w:t>
      </w:r>
      <w:r w:rsidR="00846E95" w:rsidRPr="00CE6806">
        <w:rPr>
          <w:sz w:val="22"/>
          <w:szCs w:val="22"/>
        </w:rPr>
        <w:t>§ </w:t>
      </w:r>
      <w:r w:rsidR="008050F6" w:rsidRPr="00CE6806">
        <w:rPr>
          <w:sz w:val="22"/>
          <w:szCs w:val="22"/>
        </w:rPr>
        <w:t>50.47(b</w:t>
      </w:r>
      <w:proofErr w:type="gramStart"/>
      <w:r w:rsidR="008050F6" w:rsidRPr="00CE6806">
        <w:rPr>
          <w:sz w:val="22"/>
          <w:szCs w:val="22"/>
        </w:rPr>
        <w:t>)(</w:t>
      </w:r>
      <w:proofErr w:type="gramEnd"/>
      <w:r w:rsidR="008050F6" w:rsidRPr="00CE6806">
        <w:rPr>
          <w:sz w:val="22"/>
          <w:szCs w:val="22"/>
        </w:rPr>
        <w:t>4))</w:t>
      </w:r>
      <w:r w:rsidR="007411D6" w:rsidRPr="00CE6806">
        <w:rPr>
          <w:sz w:val="22"/>
          <w:szCs w:val="22"/>
        </w:rPr>
        <w:t xml:space="preserve">, </w:t>
      </w:r>
      <w:r w:rsidRPr="00CE6806">
        <w:rPr>
          <w:sz w:val="22"/>
          <w:szCs w:val="22"/>
        </w:rPr>
        <w:t xml:space="preserve">notifications to </w:t>
      </w:r>
      <w:r w:rsidRPr="00CE6806">
        <w:rPr>
          <w:caps/>
          <w:sz w:val="22"/>
          <w:szCs w:val="22"/>
        </w:rPr>
        <w:t>offsite response organ</w:t>
      </w:r>
      <w:r w:rsidR="00CE6806">
        <w:rPr>
          <w:caps/>
          <w:sz w:val="22"/>
          <w:szCs w:val="22"/>
        </w:rPr>
        <w:t>-</w:t>
      </w:r>
      <w:r w:rsidRPr="00CE6806">
        <w:rPr>
          <w:caps/>
          <w:sz w:val="22"/>
          <w:szCs w:val="22"/>
        </w:rPr>
        <w:t>izations</w:t>
      </w:r>
      <w:r w:rsidRPr="00CE6806">
        <w:rPr>
          <w:sz w:val="22"/>
          <w:szCs w:val="22"/>
        </w:rPr>
        <w:t xml:space="preserve"> (OROs)</w:t>
      </w:r>
      <w:r w:rsidR="008050F6" w:rsidRPr="00CE6806">
        <w:rPr>
          <w:sz w:val="22"/>
          <w:szCs w:val="22"/>
        </w:rPr>
        <w:t xml:space="preserve"> (</w:t>
      </w:r>
      <w:r w:rsidR="00846E95" w:rsidRPr="00CE6806">
        <w:rPr>
          <w:sz w:val="22"/>
          <w:szCs w:val="22"/>
        </w:rPr>
        <w:t>§ </w:t>
      </w:r>
      <w:r w:rsidR="008050F6" w:rsidRPr="00CE6806">
        <w:rPr>
          <w:sz w:val="22"/>
          <w:szCs w:val="22"/>
        </w:rPr>
        <w:t>50.47(b)(5))</w:t>
      </w:r>
      <w:r w:rsidRPr="00CE6806">
        <w:rPr>
          <w:sz w:val="22"/>
          <w:szCs w:val="22"/>
        </w:rPr>
        <w:t>, assessments of radioactivity releases</w:t>
      </w:r>
      <w:r w:rsidR="008050F6" w:rsidRPr="00CE6806">
        <w:rPr>
          <w:sz w:val="22"/>
          <w:szCs w:val="22"/>
        </w:rPr>
        <w:t xml:space="preserve"> (</w:t>
      </w:r>
      <w:r w:rsidR="00846E95" w:rsidRPr="00CE6806">
        <w:rPr>
          <w:sz w:val="22"/>
          <w:szCs w:val="22"/>
        </w:rPr>
        <w:t>§ </w:t>
      </w:r>
      <w:r w:rsidR="008050F6" w:rsidRPr="00CE6806">
        <w:rPr>
          <w:sz w:val="22"/>
          <w:szCs w:val="22"/>
        </w:rPr>
        <w:t>50.47(b)(9))</w:t>
      </w:r>
      <w:r w:rsidRPr="00CE6806">
        <w:rPr>
          <w:sz w:val="22"/>
          <w:szCs w:val="22"/>
        </w:rPr>
        <w:t>, and development and recommendation of protective measures</w:t>
      </w:r>
      <w:r w:rsidR="008050F6" w:rsidRPr="00CE6806">
        <w:rPr>
          <w:sz w:val="22"/>
          <w:szCs w:val="22"/>
        </w:rPr>
        <w:t xml:space="preserve"> (</w:t>
      </w:r>
      <w:r w:rsidR="00846E95" w:rsidRPr="00CE6806">
        <w:rPr>
          <w:sz w:val="22"/>
          <w:szCs w:val="22"/>
        </w:rPr>
        <w:t>§ </w:t>
      </w:r>
      <w:r w:rsidR="008050F6" w:rsidRPr="00CE6806">
        <w:rPr>
          <w:sz w:val="22"/>
          <w:szCs w:val="22"/>
        </w:rPr>
        <w:t>50.47(b)(10))</w:t>
      </w:r>
      <w:r w:rsidRPr="00CE6806">
        <w:rPr>
          <w:sz w:val="22"/>
          <w:szCs w:val="22"/>
        </w:rPr>
        <w:t>, are essential if adequate measures are to be taken to minimize t</w:t>
      </w:r>
      <w:r w:rsidR="0041339C" w:rsidRPr="00CE6806">
        <w:rPr>
          <w:sz w:val="22"/>
          <w:szCs w:val="22"/>
        </w:rPr>
        <w:t xml:space="preserve">he risk to the public </w:t>
      </w:r>
      <w:r w:rsidRPr="00CE6806">
        <w:rPr>
          <w:sz w:val="22"/>
          <w:szCs w:val="22"/>
        </w:rPr>
        <w:t>should a</w:t>
      </w:r>
      <w:r w:rsidR="002708DC" w:rsidRPr="00CE6806">
        <w:rPr>
          <w:sz w:val="22"/>
          <w:szCs w:val="22"/>
        </w:rPr>
        <w:t xml:space="preserve"> radiological emergency</w:t>
      </w:r>
      <w:r w:rsidRPr="00CE6806">
        <w:rPr>
          <w:sz w:val="22"/>
          <w:szCs w:val="22"/>
        </w:rPr>
        <w:t xml:space="preserve"> occur</w:t>
      </w:r>
      <w:r w:rsidR="002708DC" w:rsidRPr="00CE6806">
        <w:rPr>
          <w:sz w:val="22"/>
          <w:szCs w:val="22"/>
        </w:rPr>
        <w:t xml:space="preserve"> at the facility</w:t>
      </w:r>
      <w:r w:rsidRPr="00CE6806">
        <w:rPr>
          <w:sz w:val="22"/>
          <w:szCs w:val="22"/>
        </w:rPr>
        <w:t xml:space="preserve">.  If these functions are not </w:t>
      </w:r>
      <w:r w:rsidR="000B06C9" w:rsidRPr="00CE6806">
        <w:rPr>
          <w:sz w:val="22"/>
          <w:szCs w:val="22"/>
        </w:rPr>
        <w:t>performed adequately during an actual event</w:t>
      </w:r>
      <w:r w:rsidR="00FD0DAF" w:rsidRPr="00CE6806">
        <w:rPr>
          <w:sz w:val="22"/>
          <w:szCs w:val="22"/>
        </w:rPr>
        <w:t>,</w:t>
      </w:r>
      <w:r w:rsidR="000B06C9" w:rsidRPr="00CE6806">
        <w:rPr>
          <w:sz w:val="22"/>
          <w:szCs w:val="22"/>
        </w:rPr>
        <w:t xml:space="preserve"> </w:t>
      </w:r>
      <w:r w:rsidRPr="00CE6806">
        <w:rPr>
          <w:sz w:val="22"/>
          <w:szCs w:val="22"/>
        </w:rPr>
        <w:t xml:space="preserve">the public </w:t>
      </w:r>
      <w:r w:rsidR="00846E95" w:rsidRPr="00CE6806">
        <w:rPr>
          <w:sz w:val="22"/>
          <w:szCs w:val="22"/>
        </w:rPr>
        <w:t>may be</w:t>
      </w:r>
      <w:r w:rsidRPr="00CE6806">
        <w:rPr>
          <w:sz w:val="22"/>
          <w:szCs w:val="22"/>
        </w:rPr>
        <w:t xml:space="preserve"> placed at greater risk.  </w:t>
      </w:r>
      <w:r w:rsidR="000B06C9" w:rsidRPr="00CE6806">
        <w:rPr>
          <w:sz w:val="22"/>
          <w:szCs w:val="22"/>
        </w:rPr>
        <w:t xml:space="preserve">Similarly, if </w:t>
      </w:r>
      <w:r w:rsidR="0090051E" w:rsidRPr="00CE6806">
        <w:rPr>
          <w:sz w:val="22"/>
          <w:szCs w:val="22"/>
        </w:rPr>
        <w:t>a</w:t>
      </w:r>
      <w:r w:rsidR="000B06C9" w:rsidRPr="00CE6806">
        <w:rPr>
          <w:sz w:val="22"/>
          <w:szCs w:val="22"/>
        </w:rPr>
        <w:t xml:space="preserve"> </w:t>
      </w:r>
      <w:r w:rsidR="007411D6" w:rsidRPr="00CE6806">
        <w:rPr>
          <w:caps/>
          <w:sz w:val="22"/>
          <w:szCs w:val="22"/>
        </w:rPr>
        <w:t>PE</w:t>
      </w:r>
      <w:r w:rsidR="000B06C9" w:rsidRPr="00CE6806">
        <w:rPr>
          <w:sz w:val="22"/>
          <w:szCs w:val="22"/>
        </w:rPr>
        <w:t xml:space="preserve"> in the emergency plan </w:t>
      </w:r>
      <w:r w:rsidR="0090051E" w:rsidRPr="00CE6806">
        <w:rPr>
          <w:sz w:val="22"/>
          <w:szCs w:val="22"/>
        </w:rPr>
        <w:t>is</w:t>
      </w:r>
      <w:r w:rsidR="000B06C9" w:rsidRPr="00CE6806">
        <w:rPr>
          <w:sz w:val="22"/>
          <w:szCs w:val="22"/>
        </w:rPr>
        <w:t xml:space="preserve"> non-compliant, the function</w:t>
      </w:r>
      <w:r w:rsidR="0090051E" w:rsidRPr="00CE6806">
        <w:rPr>
          <w:sz w:val="22"/>
          <w:szCs w:val="22"/>
        </w:rPr>
        <w:t>(</w:t>
      </w:r>
      <w:r w:rsidR="000B06C9" w:rsidRPr="00CE6806">
        <w:rPr>
          <w:sz w:val="22"/>
          <w:szCs w:val="22"/>
        </w:rPr>
        <w:t>s</w:t>
      </w:r>
      <w:r w:rsidR="0090051E" w:rsidRPr="00CE6806">
        <w:rPr>
          <w:sz w:val="22"/>
          <w:szCs w:val="22"/>
        </w:rPr>
        <w:t>)</w:t>
      </w:r>
      <w:r w:rsidR="000B06C9" w:rsidRPr="00CE6806">
        <w:rPr>
          <w:sz w:val="22"/>
          <w:szCs w:val="22"/>
        </w:rPr>
        <w:t xml:space="preserve"> may not be adequately implemented sh</w:t>
      </w:r>
      <w:r w:rsidR="00FD0DAF" w:rsidRPr="00CE6806">
        <w:rPr>
          <w:sz w:val="22"/>
          <w:szCs w:val="22"/>
        </w:rPr>
        <w:t>ould an actual emergency occur</w:t>
      </w:r>
      <w:r w:rsidR="000B06C9" w:rsidRPr="00CE6806">
        <w:rPr>
          <w:sz w:val="22"/>
          <w:szCs w:val="22"/>
        </w:rPr>
        <w:t>.</w:t>
      </w:r>
    </w:p>
    <w:p w:rsidR="000A68F6" w:rsidRPr="00CE6806" w:rsidRDefault="000A68F6" w:rsidP="00EB12BF">
      <w:pPr>
        <w:pStyle w:val="609noindent"/>
        <w:jc w:val="left"/>
        <w:rPr>
          <w:sz w:val="22"/>
          <w:szCs w:val="22"/>
        </w:rPr>
      </w:pPr>
    </w:p>
    <w:p w:rsidR="005F2EEA" w:rsidRPr="00CE6806" w:rsidRDefault="000A68F6" w:rsidP="00EB12BF">
      <w:pPr>
        <w:pStyle w:val="aindent"/>
        <w:tabs>
          <w:tab w:val="clear" w:pos="720"/>
          <w:tab w:val="left" w:pos="0"/>
        </w:tabs>
        <w:ind w:left="0" w:firstLine="0"/>
        <w:jc w:val="left"/>
        <w:rPr>
          <w:sz w:val="22"/>
          <w:szCs w:val="22"/>
        </w:rPr>
      </w:pPr>
      <w:r w:rsidRPr="00CE6806">
        <w:rPr>
          <w:sz w:val="22"/>
          <w:szCs w:val="22"/>
        </w:rPr>
        <w:t xml:space="preserve">This is not to say that </w:t>
      </w:r>
      <w:r w:rsidR="007411D6" w:rsidRPr="00CE6806">
        <w:rPr>
          <w:sz w:val="22"/>
          <w:szCs w:val="22"/>
        </w:rPr>
        <w:t>findings</w:t>
      </w:r>
      <w:r w:rsidR="00790AC3" w:rsidRPr="00CE6806">
        <w:rPr>
          <w:sz w:val="22"/>
          <w:szCs w:val="22"/>
        </w:rPr>
        <w:t xml:space="preserve"> related to </w:t>
      </w:r>
      <w:r w:rsidRPr="00CE6806">
        <w:rPr>
          <w:sz w:val="22"/>
          <w:szCs w:val="22"/>
        </w:rPr>
        <w:t>the other 12</w:t>
      </w:r>
      <w:r w:rsidR="00EB659D" w:rsidRPr="00CE6806">
        <w:rPr>
          <w:sz w:val="22"/>
          <w:szCs w:val="22"/>
        </w:rPr>
        <w:t> </w:t>
      </w:r>
      <w:r w:rsidR="00BD4493" w:rsidRPr="00CE6806">
        <w:rPr>
          <w:caps/>
          <w:sz w:val="22"/>
          <w:szCs w:val="22"/>
        </w:rPr>
        <w:t>PS</w:t>
      </w:r>
      <w:r w:rsidRPr="00CE6806">
        <w:rPr>
          <w:sz w:val="22"/>
          <w:szCs w:val="22"/>
        </w:rPr>
        <w:t xml:space="preserve"> </w:t>
      </w:r>
      <w:r w:rsidR="00846E95" w:rsidRPr="00CE6806">
        <w:rPr>
          <w:sz w:val="22"/>
          <w:szCs w:val="22"/>
        </w:rPr>
        <w:t>may not warrant enforcement action</w:t>
      </w:r>
      <w:r w:rsidR="007F06A5">
        <w:rPr>
          <w:sz w:val="22"/>
          <w:szCs w:val="22"/>
        </w:rPr>
        <w:t>;</w:t>
      </w:r>
      <w:r w:rsidR="00790AC3" w:rsidRPr="00CE6806">
        <w:rPr>
          <w:sz w:val="22"/>
          <w:szCs w:val="22"/>
        </w:rPr>
        <w:t xml:space="preserve"> but</w:t>
      </w:r>
      <w:r w:rsidR="007F06A5">
        <w:rPr>
          <w:sz w:val="22"/>
          <w:szCs w:val="22"/>
        </w:rPr>
        <w:t>,</w:t>
      </w:r>
      <w:r w:rsidR="00790AC3" w:rsidRPr="00CE6806">
        <w:rPr>
          <w:sz w:val="22"/>
          <w:szCs w:val="22"/>
        </w:rPr>
        <w:t xml:space="preserve"> </w:t>
      </w:r>
      <w:r w:rsidR="000B06C9" w:rsidRPr="00CE6806">
        <w:rPr>
          <w:sz w:val="22"/>
          <w:szCs w:val="22"/>
        </w:rPr>
        <w:t>that</w:t>
      </w:r>
      <w:r w:rsidRPr="00CE6806">
        <w:rPr>
          <w:sz w:val="22"/>
          <w:szCs w:val="22"/>
        </w:rPr>
        <w:t xml:space="preserve"> they are not as significant as </w:t>
      </w:r>
      <w:r w:rsidR="0090051E" w:rsidRPr="00CE6806">
        <w:rPr>
          <w:caps/>
          <w:sz w:val="22"/>
          <w:szCs w:val="22"/>
        </w:rPr>
        <w:t>RSPS</w:t>
      </w:r>
      <w:r w:rsidR="0090051E" w:rsidRPr="00CE6806">
        <w:rPr>
          <w:rStyle w:val="FootnoteReference"/>
          <w:sz w:val="22"/>
          <w:szCs w:val="22"/>
          <w:vertAlign w:val="superscript"/>
        </w:rPr>
        <w:footnoteReference w:id="6"/>
      </w:r>
      <w:r w:rsidR="0090051E" w:rsidRPr="00CE6806">
        <w:rPr>
          <w:sz w:val="22"/>
          <w:szCs w:val="22"/>
        </w:rPr>
        <w:t xml:space="preserve"> </w:t>
      </w:r>
      <w:r w:rsidR="007411D6" w:rsidRPr="00CE6806">
        <w:rPr>
          <w:sz w:val="22"/>
          <w:szCs w:val="22"/>
        </w:rPr>
        <w:t>findings</w:t>
      </w:r>
      <w:r w:rsidR="0090051E" w:rsidRPr="00CE6806">
        <w:rPr>
          <w:sz w:val="22"/>
          <w:szCs w:val="22"/>
        </w:rPr>
        <w:t>.</w:t>
      </w:r>
      <w:r w:rsidRPr="00CE6806">
        <w:rPr>
          <w:sz w:val="22"/>
          <w:szCs w:val="22"/>
        </w:rPr>
        <w:t xml:space="preserve"> The non</w:t>
      </w:r>
      <w:r w:rsidR="002D25C4" w:rsidRPr="00CE6806">
        <w:rPr>
          <w:sz w:val="22"/>
          <w:szCs w:val="22"/>
        </w:rPr>
        <w:t>-</w:t>
      </w:r>
      <w:r w:rsidR="007411D6" w:rsidRPr="00CE6806">
        <w:rPr>
          <w:caps/>
          <w:sz w:val="22"/>
          <w:szCs w:val="22"/>
        </w:rPr>
        <w:t>RSPS</w:t>
      </w:r>
      <w:r w:rsidRPr="00CE6806">
        <w:rPr>
          <w:sz w:val="22"/>
          <w:szCs w:val="22"/>
        </w:rPr>
        <w:t xml:space="preserve"> often support the </w:t>
      </w:r>
      <w:r w:rsidR="00BD4493" w:rsidRPr="00CE6806">
        <w:rPr>
          <w:sz w:val="22"/>
          <w:szCs w:val="22"/>
        </w:rPr>
        <w:t>RSPS</w:t>
      </w:r>
      <w:r w:rsidRPr="00CE6806">
        <w:rPr>
          <w:sz w:val="22"/>
          <w:szCs w:val="22"/>
        </w:rPr>
        <w:t xml:space="preserve">.  For example, </w:t>
      </w:r>
      <w:r w:rsidR="007411D6" w:rsidRPr="00CE6806">
        <w:rPr>
          <w:sz w:val="22"/>
          <w:szCs w:val="22"/>
        </w:rPr>
        <w:t>findings</w:t>
      </w:r>
      <w:r w:rsidRPr="00CE6806">
        <w:rPr>
          <w:sz w:val="22"/>
          <w:szCs w:val="22"/>
        </w:rPr>
        <w:t xml:space="preserve"> in </w:t>
      </w:r>
      <w:r w:rsidRPr="00CE6806">
        <w:rPr>
          <w:caps/>
          <w:sz w:val="22"/>
          <w:szCs w:val="22"/>
        </w:rPr>
        <w:t xml:space="preserve">emergency response organization </w:t>
      </w:r>
      <w:r w:rsidR="00A46494" w:rsidRPr="00CE6806">
        <w:rPr>
          <w:sz w:val="22"/>
          <w:szCs w:val="22"/>
        </w:rPr>
        <w:t xml:space="preserve">(ERO) </w:t>
      </w:r>
      <w:r w:rsidRPr="00CE6806">
        <w:rPr>
          <w:sz w:val="22"/>
          <w:szCs w:val="22"/>
        </w:rPr>
        <w:t xml:space="preserve">staffing under </w:t>
      </w:r>
      <w:r w:rsidR="00FD0DAF" w:rsidRPr="00CE6806">
        <w:rPr>
          <w:sz w:val="22"/>
          <w:szCs w:val="22"/>
        </w:rPr>
        <w:t>PS</w:t>
      </w:r>
      <w:r w:rsidRPr="00CE6806">
        <w:rPr>
          <w:sz w:val="22"/>
          <w:szCs w:val="22"/>
        </w:rPr>
        <w:t xml:space="preserve"> 10</w:t>
      </w:r>
      <w:r w:rsidR="00EB659D" w:rsidRPr="00CE6806">
        <w:rPr>
          <w:sz w:val="22"/>
          <w:szCs w:val="22"/>
        </w:rPr>
        <w:t> </w:t>
      </w:r>
      <w:r w:rsidRPr="00CE6806">
        <w:rPr>
          <w:sz w:val="22"/>
          <w:szCs w:val="22"/>
        </w:rPr>
        <w:t>CFR 50.47(b</w:t>
      </w:r>
      <w:proofErr w:type="gramStart"/>
      <w:r w:rsidRPr="00CE6806">
        <w:rPr>
          <w:sz w:val="22"/>
          <w:szCs w:val="22"/>
        </w:rPr>
        <w:t>)(</w:t>
      </w:r>
      <w:proofErr w:type="gramEnd"/>
      <w:r w:rsidRPr="00CE6806">
        <w:rPr>
          <w:sz w:val="22"/>
          <w:szCs w:val="22"/>
        </w:rPr>
        <w:t xml:space="preserve">2), could impact the performance of the </w:t>
      </w:r>
      <w:r w:rsidR="007411D6" w:rsidRPr="00CE6806">
        <w:rPr>
          <w:caps/>
          <w:sz w:val="22"/>
          <w:szCs w:val="22"/>
        </w:rPr>
        <w:t>RSPS</w:t>
      </w:r>
      <w:r w:rsidR="00790AC3" w:rsidRPr="00CE6806">
        <w:rPr>
          <w:sz w:val="22"/>
          <w:szCs w:val="22"/>
        </w:rPr>
        <w:t>.</w:t>
      </w:r>
    </w:p>
    <w:p w:rsidR="000A68F6" w:rsidRPr="00CE6806" w:rsidRDefault="000A68F6" w:rsidP="00EB12BF">
      <w:pPr>
        <w:pStyle w:val="aindent"/>
        <w:tabs>
          <w:tab w:val="clear" w:pos="720"/>
          <w:tab w:val="left" w:pos="0"/>
        </w:tabs>
        <w:ind w:left="0" w:firstLine="0"/>
        <w:jc w:val="left"/>
        <w:rPr>
          <w:sz w:val="22"/>
          <w:szCs w:val="22"/>
        </w:rPr>
      </w:pPr>
    </w:p>
    <w:p w:rsidR="0010073C" w:rsidRPr="00CE6806" w:rsidRDefault="000B06C9" w:rsidP="00EB12BF">
      <w:pPr>
        <w:pStyle w:val="609noindent"/>
        <w:jc w:val="left"/>
        <w:rPr>
          <w:sz w:val="22"/>
          <w:szCs w:val="22"/>
        </w:rPr>
      </w:pPr>
      <w:r w:rsidRPr="00CE6806">
        <w:rPr>
          <w:sz w:val="22"/>
          <w:szCs w:val="22"/>
        </w:rPr>
        <w:t>Because the</w:t>
      </w:r>
      <w:r w:rsidR="00CE7362" w:rsidRPr="00CE6806">
        <w:rPr>
          <w:sz w:val="22"/>
          <w:szCs w:val="22"/>
        </w:rPr>
        <w:t xml:space="preserve"> </w:t>
      </w:r>
      <w:r w:rsidR="00FD0DAF" w:rsidRPr="00CE6806">
        <w:rPr>
          <w:caps/>
          <w:sz w:val="22"/>
          <w:szCs w:val="22"/>
        </w:rPr>
        <w:t>PS</w:t>
      </w:r>
      <w:r w:rsidR="00CE7362" w:rsidRPr="00CE6806">
        <w:rPr>
          <w:sz w:val="22"/>
          <w:szCs w:val="22"/>
        </w:rPr>
        <w:t xml:space="preserve"> </w:t>
      </w:r>
      <w:r w:rsidRPr="00CE6806">
        <w:rPr>
          <w:sz w:val="22"/>
          <w:szCs w:val="22"/>
        </w:rPr>
        <w:t xml:space="preserve">are broadly worded to be applicable to both onsite and offsite emergency plans and </w:t>
      </w:r>
      <w:r w:rsidR="0090051E" w:rsidRPr="00CE6806">
        <w:rPr>
          <w:sz w:val="22"/>
          <w:szCs w:val="22"/>
        </w:rPr>
        <w:t xml:space="preserve">they </w:t>
      </w:r>
      <w:r w:rsidR="00CE7362" w:rsidRPr="00CE6806">
        <w:rPr>
          <w:sz w:val="22"/>
          <w:szCs w:val="22"/>
        </w:rPr>
        <w:t xml:space="preserve">describe what is required to be in an emergency plan, rather than what is to be done </w:t>
      </w:r>
      <w:r w:rsidR="002D25C4" w:rsidRPr="00CE6806">
        <w:rPr>
          <w:sz w:val="22"/>
          <w:szCs w:val="22"/>
        </w:rPr>
        <w:t xml:space="preserve">by the licensee </w:t>
      </w:r>
      <w:r w:rsidR="00CE7362" w:rsidRPr="00CE6806">
        <w:rPr>
          <w:sz w:val="22"/>
          <w:szCs w:val="22"/>
        </w:rPr>
        <w:t xml:space="preserve">during an emergency, </w:t>
      </w:r>
      <w:r w:rsidR="002708DC" w:rsidRPr="00CE6806">
        <w:rPr>
          <w:sz w:val="22"/>
          <w:szCs w:val="22"/>
        </w:rPr>
        <w:t xml:space="preserve">one or more functions for each </w:t>
      </w:r>
      <w:r w:rsidR="00FD0DAF" w:rsidRPr="00CE6806">
        <w:rPr>
          <w:caps/>
          <w:sz w:val="22"/>
          <w:szCs w:val="22"/>
        </w:rPr>
        <w:t>PS</w:t>
      </w:r>
      <w:r w:rsidR="004D2465" w:rsidRPr="00CE6806">
        <w:rPr>
          <w:caps/>
          <w:sz w:val="22"/>
          <w:szCs w:val="22"/>
        </w:rPr>
        <w:t xml:space="preserve"> </w:t>
      </w:r>
      <w:r w:rsidR="004D2465" w:rsidRPr="00CE6806">
        <w:rPr>
          <w:sz w:val="22"/>
          <w:szCs w:val="22"/>
        </w:rPr>
        <w:t>were developed</w:t>
      </w:r>
      <w:r w:rsidR="002708DC" w:rsidRPr="00CE6806">
        <w:rPr>
          <w:sz w:val="22"/>
          <w:szCs w:val="22"/>
        </w:rPr>
        <w:t xml:space="preserve">.  These </w:t>
      </w:r>
      <w:r w:rsidR="00FD0DAF" w:rsidRPr="00CE6806">
        <w:rPr>
          <w:caps/>
          <w:sz w:val="22"/>
          <w:szCs w:val="22"/>
        </w:rPr>
        <w:t>PS</w:t>
      </w:r>
      <w:r w:rsidR="002708DC" w:rsidRPr="00CE6806">
        <w:rPr>
          <w:caps/>
          <w:sz w:val="22"/>
          <w:szCs w:val="22"/>
        </w:rPr>
        <w:t xml:space="preserve"> functions</w:t>
      </w:r>
      <w:r w:rsidR="002708DC" w:rsidRPr="00CE6806">
        <w:rPr>
          <w:sz w:val="22"/>
          <w:szCs w:val="22"/>
        </w:rPr>
        <w:t xml:space="preserve"> are pa</w:t>
      </w:r>
      <w:r w:rsidR="00CE7362" w:rsidRPr="00CE6806">
        <w:rPr>
          <w:sz w:val="22"/>
          <w:szCs w:val="22"/>
        </w:rPr>
        <w:t xml:space="preserve">raphrases of the </w:t>
      </w:r>
      <w:r w:rsidR="00FD0DAF" w:rsidRPr="00CE6806">
        <w:rPr>
          <w:caps/>
          <w:sz w:val="22"/>
          <w:szCs w:val="22"/>
        </w:rPr>
        <w:t>PS</w:t>
      </w:r>
      <w:r w:rsidR="002708DC" w:rsidRPr="00CE6806">
        <w:rPr>
          <w:sz w:val="22"/>
          <w:szCs w:val="22"/>
        </w:rPr>
        <w:t xml:space="preserve"> in terms of the significant functions that need to be accomplished, or the capabilities that need to be in place, to maintain the effectiveness of the emergency plan.  </w:t>
      </w:r>
      <w:r w:rsidR="0090051E" w:rsidRPr="00CE6806">
        <w:rPr>
          <w:sz w:val="22"/>
          <w:szCs w:val="22"/>
        </w:rPr>
        <w:t>The PS FUNCTIONS are used in assessing significance, not compliance, and are</w:t>
      </w:r>
      <w:r w:rsidR="009D233E" w:rsidRPr="00CE6806">
        <w:rPr>
          <w:sz w:val="22"/>
          <w:szCs w:val="22"/>
        </w:rPr>
        <w:t xml:space="preserve"> identified in the EP SDP.</w:t>
      </w:r>
    </w:p>
    <w:p w:rsidR="00620362" w:rsidRPr="00CE6806" w:rsidRDefault="00620362" w:rsidP="00EB12BF">
      <w:pPr>
        <w:pStyle w:val="609noindent"/>
        <w:jc w:val="left"/>
        <w:rPr>
          <w:sz w:val="22"/>
          <w:szCs w:val="22"/>
        </w:rPr>
      </w:pPr>
    </w:p>
    <w:p w:rsidR="0099339C" w:rsidRPr="00CE6806" w:rsidRDefault="002352B0" w:rsidP="00EB12BF">
      <w:pPr>
        <w:pStyle w:val="609noindent"/>
        <w:jc w:val="left"/>
        <w:rPr>
          <w:b/>
          <w:sz w:val="22"/>
          <w:szCs w:val="22"/>
        </w:rPr>
      </w:pPr>
      <w:r w:rsidRPr="00CE6806">
        <w:rPr>
          <w:b/>
          <w:sz w:val="22"/>
          <w:szCs w:val="22"/>
        </w:rPr>
        <w:t>4.0</w:t>
      </w:r>
      <w:r w:rsidR="0099339C" w:rsidRPr="00CE6806">
        <w:rPr>
          <w:b/>
          <w:sz w:val="22"/>
          <w:szCs w:val="22"/>
        </w:rPr>
        <w:tab/>
        <w:t>EP SIGNIFICANCE PROCESS</w:t>
      </w:r>
    </w:p>
    <w:p w:rsidR="005F2EEA" w:rsidRPr="00CE6806" w:rsidRDefault="005F2EEA" w:rsidP="00EB12BF">
      <w:pPr>
        <w:pStyle w:val="609noindent"/>
        <w:jc w:val="left"/>
        <w:rPr>
          <w:sz w:val="22"/>
          <w:szCs w:val="22"/>
        </w:rPr>
      </w:pPr>
    </w:p>
    <w:p w:rsidR="00F46406" w:rsidRPr="00CE6806" w:rsidRDefault="00F46406" w:rsidP="00EB12BF">
      <w:pPr>
        <w:pStyle w:val="609noindent"/>
        <w:jc w:val="left"/>
        <w:rPr>
          <w:sz w:val="22"/>
          <w:szCs w:val="22"/>
        </w:rPr>
      </w:pPr>
      <w:r w:rsidRPr="00CE6806">
        <w:rPr>
          <w:sz w:val="22"/>
          <w:szCs w:val="22"/>
        </w:rPr>
        <w:t>The EP SDP addresses three categories of findings, those findings that:</w:t>
      </w:r>
    </w:p>
    <w:p w:rsidR="00F46406" w:rsidRPr="00CE6806" w:rsidRDefault="00F46406" w:rsidP="00EB12BF">
      <w:pPr>
        <w:pStyle w:val="609noindent"/>
        <w:jc w:val="left"/>
        <w:rPr>
          <w:sz w:val="22"/>
          <w:szCs w:val="22"/>
        </w:rPr>
      </w:pPr>
    </w:p>
    <w:p w:rsidR="00F46406" w:rsidRPr="00CE6806" w:rsidRDefault="00AB21C1" w:rsidP="00EB12BF">
      <w:pPr>
        <w:pStyle w:val="609noindent"/>
        <w:numPr>
          <w:ilvl w:val="0"/>
          <w:numId w:val="6"/>
        </w:numPr>
        <w:jc w:val="left"/>
        <w:rPr>
          <w:i/>
          <w:sz w:val="22"/>
          <w:szCs w:val="22"/>
        </w:rPr>
      </w:pPr>
      <w:r w:rsidRPr="00CE6806">
        <w:rPr>
          <w:sz w:val="22"/>
          <w:szCs w:val="22"/>
        </w:rPr>
        <w:t>a</w:t>
      </w:r>
      <w:r w:rsidR="00F46406" w:rsidRPr="00CE6806">
        <w:rPr>
          <w:sz w:val="22"/>
          <w:szCs w:val="22"/>
        </w:rPr>
        <w:t>re associated with the licensee’s fail</w:t>
      </w:r>
      <w:r w:rsidR="00FD0DAF" w:rsidRPr="00CE6806">
        <w:rPr>
          <w:sz w:val="22"/>
          <w:szCs w:val="22"/>
        </w:rPr>
        <w:t>ure to follow</w:t>
      </w:r>
      <w:r w:rsidR="00F46406" w:rsidRPr="00CE6806">
        <w:rPr>
          <w:sz w:val="22"/>
          <w:szCs w:val="22"/>
        </w:rPr>
        <w:t xml:space="preserve"> its emergency plan—an emergency response</w:t>
      </w:r>
      <w:r w:rsidR="00F46406" w:rsidRPr="00CE6806">
        <w:rPr>
          <w:i/>
          <w:sz w:val="22"/>
          <w:szCs w:val="22"/>
        </w:rPr>
        <w:t xml:space="preserve"> </w:t>
      </w:r>
      <w:r w:rsidR="00F46406" w:rsidRPr="00CE6806">
        <w:rPr>
          <w:sz w:val="22"/>
          <w:szCs w:val="22"/>
        </w:rPr>
        <w:t>issue—during an actual radiological emergency,</w:t>
      </w:r>
      <w:r w:rsidRPr="00CE6806">
        <w:rPr>
          <w:sz w:val="22"/>
          <w:szCs w:val="22"/>
        </w:rPr>
        <w:t xml:space="preserve"> referred to as a </w:t>
      </w:r>
      <w:r w:rsidRPr="00CE6806">
        <w:rPr>
          <w:caps/>
          <w:sz w:val="22"/>
          <w:szCs w:val="22"/>
        </w:rPr>
        <w:t>failure to implement</w:t>
      </w:r>
      <w:r w:rsidR="00FD0DAF" w:rsidRPr="00CE6806">
        <w:rPr>
          <w:caps/>
          <w:sz w:val="22"/>
          <w:szCs w:val="22"/>
        </w:rPr>
        <w:t xml:space="preserve"> (FTI)</w:t>
      </w:r>
      <w:r w:rsidRPr="00CE6806">
        <w:rPr>
          <w:sz w:val="22"/>
          <w:szCs w:val="22"/>
        </w:rPr>
        <w:t>;</w:t>
      </w:r>
    </w:p>
    <w:p w:rsidR="00F46406" w:rsidRPr="00CE6806" w:rsidRDefault="00F46406" w:rsidP="00EB12BF">
      <w:pPr>
        <w:pStyle w:val="609noindent"/>
        <w:jc w:val="left"/>
        <w:rPr>
          <w:i/>
          <w:sz w:val="22"/>
          <w:szCs w:val="22"/>
        </w:rPr>
      </w:pPr>
    </w:p>
    <w:p w:rsidR="00F46406" w:rsidRPr="00CE6806" w:rsidRDefault="00AB21C1" w:rsidP="00EB12BF">
      <w:pPr>
        <w:pStyle w:val="609noindent"/>
        <w:numPr>
          <w:ilvl w:val="0"/>
          <w:numId w:val="6"/>
        </w:numPr>
        <w:jc w:val="left"/>
        <w:rPr>
          <w:sz w:val="22"/>
          <w:szCs w:val="22"/>
        </w:rPr>
      </w:pPr>
      <w:r w:rsidRPr="00CE6806">
        <w:rPr>
          <w:sz w:val="22"/>
          <w:szCs w:val="22"/>
        </w:rPr>
        <w:t xml:space="preserve">are associated with the licensee’s failure to maintain its emergency plan—an emergency preparedness issue—typically identified through baseline and supplemental inspections, referred to as a </w:t>
      </w:r>
      <w:r w:rsidR="00AA465E" w:rsidRPr="00CE6806">
        <w:rPr>
          <w:caps/>
          <w:sz w:val="22"/>
          <w:szCs w:val="22"/>
        </w:rPr>
        <w:t>Failure to Comply</w:t>
      </w:r>
      <w:r w:rsidR="00FD0DAF" w:rsidRPr="00CE6806">
        <w:rPr>
          <w:caps/>
          <w:sz w:val="22"/>
          <w:szCs w:val="22"/>
        </w:rPr>
        <w:t xml:space="preserve"> (FTC)</w:t>
      </w:r>
      <w:r w:rsidRPr="00CE6806">
        <w:rPr>
          <w:sz w:val="22"/>
          <w:szCs w:val="22"/>
        </w:rPr>
        <w:t xml:space="preserve">; </w:t>
      </w:r>
    </w:p>
    <w:p w:rsidR="00F46406" w:rsidRPr="00CE6806" w:rsidRDefault="00F46406" w:rsidP="00EB12BF">
      <w:pPr>
        <w:pStyle w:val="609noindent"/>
        <w:jc w:val="left"/>
        <w:rPr>
          <w:sz w:val="22"/>
          <w:szCs w:val="22"/>
        </w:rPr>
      </w:pPr>
    </w:p>
    <w:p w:rsidR="00AB21C1" w:rsidRPr="00CE6806" w:rsidRDefault="00AB21C1" w:rsidP="00EB12BF">
      <w:pPr>
        <w:pStyle w:val="609noindent"/>
        <w:numPr>
          <w:ilvl w:val="0"/>
          <w:numId w:val="6"/>
        </w:numPr>
        <w:jc w:val="left"/>
        <w:rPr>
          <w:sz w:val="22"/>
          <w:szCs w:val="22"/>
        </w:rPr>
      </w:pPr>
      <w:proofErr w:type="gramStart"/>
      <w:r w:rsidRPr="00CE6806">
        <w:rPr>
          <w:sz w:val="22"/>
          <w:szCs w:val="22"/>
        </w:rPr>
        <w:t>are</w:t>
      </w:r>
      <w:proofErr w:type="gramEnd"/>
      <w:r w:rsidRPr="00CE6806">
        <w:rPr>
          <w:sz w:val="22"/>
          <w:szCs w:val="22"/>
        </w:rPr>
        <w:t xml:space="preserve"> associated with the licensee’s failure to identify a </w:t>
      </w:r>
      <w:r w:rsidRPr="00CE6806">
        <w:rPr>
          <w:caps/>
          <w:sz w:val="22"/>
          <w:szCs w:val="22"/>
        </w:rPr>
        <w:t>weakness</w:t>
      </w:r>
      <w:r w:rsidRPr="00CE6806">
        <w:rPr>
          <w:sz w:val="22"/>
          <w:szCs w:val="22"/>
        </w:rPr>
        <w:t xml:space="preserve"> in a drill or exercise, or to correct that </w:t>
      </w:r>
      <w:r w:rsidRPr="00CE6806">
        <w:rPr>
          <w:caps/>
          <w:sz w:val="22"/>
          <w:szCs w:val="22"/>
        </w:rPr>
        <w:t>weakness</w:t>
      </w:r>
      <w:r w:rsidRPr="00CE6806">
        <w:rPr>
          <w:sz w:val="22"/>
          <w:szCs w:val="22"/>
        </w:rPr>
        <w:t>.  Th</w:t>
      </w:r>
      <w:r w:rsidR="005C7EC3" w:rsidRPr="00CE6806">
        <w:rPr>
          <w:sz w:val="22"/>
          <w:szCs w:val="22"/>
        </w:rPr>
        <w:t xml:space="preserve">ese findings are addressed as </w:t>
      </w:r>
      <w:r w:rsidR="00FD0DAF" w:rsidRPr="00CE6806">
        <w:rPr>
          <w:caps/>
          <w:sz w:val="22"/>
          <w:szCs w:val="22"/>
        </w:rPr>
        <w:t>FTC</w:t>
      </w:r>
      <w:r w:rsidRPr="00CE6806">
        <w:rPr>
          <w:sz w:val="22"/>
          <w:szCs w:val="22"/>
        </w:rPr>
        <w:t xml:space="preserve">.  </w:t>
      </w:r>
      <w:r w:rsidRPr="00CE6806">
        <w:rPr>
          <w:caps/>
          <w:sz w:val="22"/>
          <w:szCs w:val="22"/>
        </w:rPr>
        <w:t>Weaknesses</w:t>
      </w:r>
      <w:r w:rsidRPr="00CE6806">
        <w:rPr>
          <w:sz w:val="22"/>
          <w:szCs w:val="22"/>
        </w:rPr>
        <w:t xml:space="preserve"> that are identified by the licensee in a drill or exercise, and </w:t>
      </w:r>
      <w:r w:rsidR="00FD0DAF" w:rsidRPr="00CE6806">
        <w:rPr>
          <w:sz w:val="22"/>
          <w:szCs w:val="22"/>
        </w:rPr>
        <w:t>entered into a corrective action program</w:t>
      </w:r>
      <w:r w:rsidRPr="00CE6806">
        <w:rPr>
          <w:sz w:val="22"/>
          <w:szCs w:val="22"/>
        </w:rPr>
        <w:t xml:space="preserve"> are not considered </w:t>
      </w:r>
      <w:r w:rsidR="007375F6" w:rsidRPr="00CE6806">
        <w:rPr>
          <w:sz w:val="22"/>
          <w:szCs w:val="22"/>
        </w:rPr>
        <w:t>findings</w:t>
      </w:r>
      <w:r w:rsidRPr="00CE6806">
        <w:rPr>
          <w:sz w:val="22"/>
          <w:szCs w:val="22"/>
        </w:rPr>
        <w:t xml:space="preserve"> in the EP SDP an</w:t>
      </w:r>
      <w:r w:rsidR="009D600F" w:rsidRPr="00CE6806">
        <w:rPr>
          <w:sz w:val="22"/>
          <w:szCs w:val="22"/>
        </w:rPr>
        <w:t xml:space="preserve">d are not assigned significance; </w:t>
      </w:r>
      <w:r w:rsidR="00990CBA">
        <w:rPr>
          <w:sz w:val="22"/>
          <w:szCs w:val="22"/>
        </w:rPr>
        <w:t>or;</w:t>
      </w:r>
    </w:p>
    <w:p w:rsidR="009D600F" w:rsidRPr="00CE6806" w:rsidRDefault="009D600F" w:rsidP="00EB12BF">
      <w:pPr>
        <w:pStyle w:val="ListParagraph"/>
        <w:rPr>
          <w:rFonts w:cs="Arial"/>
          <w:sz w:val="22"/>
          <w:szCs w:val="22"/>
        </w:rPr>
      </w:pPr>
    </w:p>
    <w:p w:rsidR="00FD0DAF" w:rsidRPr="00CE6806" w:rsidRDefault="00C979DE" w:rsidP="00EB12BF">
      <w:pPr>
        <w:pStyle w:val="609noindent"/>
        <w:jc w:val="left"/>
        <w:rPr>
          <w:sz w:val="22"/>
          <w:szCs w:val="22"/>
        </w:rPr>
      </w:pPr>
      <w:r w:rsidRPr="00CE6806">
        <w:rPr>
          <w:sz w:val="22"/>
          <w:szCs w:val="22"/>
        </w:rPr>
        <w:t>The EP SDP is not applied to offsite deficiencies identified by the Federal Eme</w:t>
      </w:r>
      <w:r w:rsidR="00FD0DAF" w:rsidRPr="00CE6806">
        <w:rPr>
          <w:sz w:val="22"/>
          <w:szCs w:val="22"/>
        </w:rPr>
        <w:t>rgency Management Agency (FEMA)</w:t>
      </w:r>
      <w:r w:rsidR="00CF6A61" w:rsidRPr="00CE6806">
        <w:rPr>
          <w:sz w:val="22"/>
          <w:szCs w:val="22"/>
        </w:rPr>
        <w:t>.</w:t>
      </w:r>
      <w:r w:rsidR="00CF6A61" w:rsidRPr="00CE6806">
        <w:rPr>
          <w:rStyle w:val="FootnoteReference"/>
          <w:sz w:val="22"/>
          <w:szCs w:val="22"/>
          <w:vertAlign w:val="superscript"/>
        </w:rPr>
        <w:footnoteReference w:id="7"/>
      </w:r>
      <w:r w:rsidR="00DA2F37" w:rsidRPr="00CE6806">
        <w:rPr>
          <w:sz w:val="22"/>
          <w:szCs w:val="22"/>
        </w:rPr>
        <w:t xml:space="preserve">  However, </w:t>
      </w:r>
      <w:r w:rsidR="00FD0DAF" w:rsidRPr="00CE6806">
        <w:rPr>
          <w:sz w:val="22"/>
          <w:szCs w:val="22"/>
        </w:rPr>
        <w:t xml:space="preserve">if the licensee has assumed responsibility (i.e., self-imposed standard) for </w:t>
      </w:r>
      <w:r w:rsidR="0040141E" w:rsidRPr="00CE6806">
        <w:rPr>
          <w:sz w:val="22"/>
          <w:szCs w:val="22"/>
        </w:rPr>
        <w:t xml:space="preserve">alert and notification system (ANS) </w:t>
      </w:r>
      <w:r w:rsidR="00FD0DAF" w:rsidRPr="00CE6806">
        <w:rPr>
          <w:sz w:val="22"/>
          <w:szCs w:val="22"/>
        </w:rPr>
        <w:t>testing and maintenance commitments made in the FEMA-approved ANS final design report</w:t>
      </w:r>
      <w:r w:rsidR="0040141E" w:rsidRPr="00CE6806">
        <w:rPr>
          <w:sz w:val="22"/>
          <w:szCs w:val="22"/>
        </w:rPr>
        <w:t>, the EP SDP will be applied to findings related to these commitments.</w:t>
      </w:r>
    </w:p>
    <w:p w:rsidR="009D233E" w:rsidRPr="00CE6806" w:rsidRDefault="009D233E" w:rsidP="00EB12BF">
      <w:pPr>
        <w:pStyle w:val="609noindent"/>
        <w:jc w:val="left"/>
        <w:rPr>
          <w:sz w:val="22"/>
          <w:szCs w:val="22"/>
        </w:rPr>
      </w:pPr>
    </w:p>
    <w:p w:rsidR="009D233E" w:rsidRPr="00CE6806" w:rsidRDefault="009D233E" w:rsidP="00EB12BF">
      <w:pPr>
        <w:pStyle w:val="609noindent"/>
        <w:jc w:val="left"/>
        <w:rPr>
          <w:sz w:val="22"/>
          <w:szCs w:val="22"/>
        </w:rPr>
      </w:pPr>
      <w:r w:rsidRPr="00CE6806">
        <w:rPr>
          <w:sz w:val="22"/>
          <w:szCs w:val="22"/>
        </w:rPr>
        <w:t>The significance of non</w:t>
      </w:r>
      <w:r w:rsidR="00C979DE" w:rsidRPr="00CE6806">
        <w:rPr>
          <w:sz w:val="22"/>
          <w:szCs w:val="22"/>
        </w:rPr>
        <w:t>-</w:t>
      </w:r>
      <w:r w:rsidRPr="00CE6806">
        <w:rPr>
          <w:sz w:val="22"/>
          <w:szCs w:val="22"/>
        </w:rPr>
        <w:t xml:space="preserve">compliances with </w:t>
      </w:r>
      <w:r w:rsidRPr="00CE6806">
        <w:rPr>
          <w:caps/>
          <w:sz w:val="22"/>
          <w:szCs w:val="22"/>
        </w:rPr>
        <w:t>regulatory requirements</w:t>
      </w:r>
      <w:r w:rsidRPr="00CE6806">
        <w:rPr>
          <w:sz w:val="22"/>
          <w:szCs w:val="22"/>
        </w:rPr>
        <w:t xml:space="preserve"> that are </w:t>
      </w:r>
      <w:r w:rsidR="007375F6" w:rsidRPr="00CE6806">
        <w:rPr>
          <w:sz w:val="22"/>
          <w:szCs w:val="22"/>
        </w:rPr>
        <w:t>not</w:t>
      </w:r>
      <w:r w:rsidRPr="00CE6806">
        <w:rPr>
          <w:sz w:val="22"/>
          <w:szCs w:val="22"/>
        </w:rPr>
        <w:t xml:space="preserve"> associated with a </w:t>
      </w:r>
      <w:r w:rsidR="002D25C4" w:rsidRPr="00CE6806">
        <w:rPr>
          <w:caps/>
          <w:sz w:val="22"/>
          <w:szCs w:val="22"/>
        </w:rPr>
        <w:t>PS</w:t>
      </w:r>
      <w:r w:rsidR="00C979DE" w:rsidRPr="00CE6806">
        <w:rPr>
          <w:sz w:val="22"/>
          <w:szCs w:val="22"/>
        </w:rPr>
        <w:t xml:space="preserve">, such as non-compliance with </w:t>
      </w:r>
      <w:r w:rsidRPr="00CE6806">
        <w:rPr>
          <w:sz w:val="22"/>
          <w:szCs w:val="22"/>
        </w:rPr>
        <w:t>10 CFR 50.54(q</w:t>
      </w:r>
      <w:proofErr w:type="gramStart"/>
      <w:r w:rsidRPr="00CE6806">
        <w:rPr>
          <w:sz w:val="22"/>
          <w:szCs w:val="22"/>
        </w:rPr>
        <w:t>)</w:t>
      </w:r>
      <w:r w:rsidR="00C979DE" w:rsidRPr="00CE6806">
        <w:rPr>
          <w:sz w:val="22"/>
          <w:szCs w:val="22"/>
        </w:rPr>
        <w:t>(</w:t>
      </w:r>
      <w:proofErr w:type="gramEnd"/>
      <w:r w:rsidR="00C979DE" w:rsidRPr="00CE6806">
        <w:rPr>
          <w:sz w:val="22"/>
          <w:szCs w:val="22"/>
        </w:rPr>
        <w:t>4)</w:t>
      </w:r>
      <w:r w:rsidRPr="00CE6806">
        <w:rPr>
          <w:sz w:val="22"/>
          <w:szCs w:val="22"/>
        </w:rPr>
        <w:t>,</w:t>
      </w:r>
      <w:r w:rsidR="00DA2F37" w:rsidRPr="00CE6806">
        <w:rPr>
          <w:sz w:val="22"/>
          <w:szCs w:val="22"/>
        </w:rPr>
        <w:t> </w:t>
      </w:r>
      <w:r w:rsidR="00C979DE" w:rsidRPr="00CE6806">
        <w:rPr>
          <w:sz w:val="22"/>
          <w:szCs w:val="22"/>
        </w:rPr>
        <w:t>(5), and</w:t>
      </w:r>
      <w:r w:rsidR="00DA2F37" w:rsidRPr="00CE6806">
        <w:rPr>
          <w:sz w:val="22"/>
          <w:szCs w:val="22"/>
        </w:rPr>
        <w:t> </w:t>
      </w:r>
      <w:r w:rsidR="00C979DE" w:rsidRPr="00CE6806">
        <w:rPr>
          <w:sz w:val="22"/>
          <w:szCs w:val="22"/>
        </w:rPr>
        <w:t>(6);</w:t>
      </w:r>
      <w:r w:rsidRPr="00CE6806">
        <w:rPr>
          <w:sz w:val="22"/>
          <w:szCs w:val="22"/>
        </w:rPr>
        <w:t xml:space="preserve"> 50.54(t), 50.72,</w:t>
      </w:r>
      <w:r w:rsidRPr="00CE6806">
        <w:rPr>
          <w:rStyle w:val="FootnoteReference"/>
          <w:sz w:val="22"/>
          <w:szCs w:val="22"/>
          <w:vertAlign w:val="superscript"/>
        </w:rPr>
        <w:footnoteReference w:id="8"/>
      </w:r>
      <w:r w:rsidRPr="00CE6806">
        <w:rPr>
          <w:sz w:val="22"/>
          <w:szCs w:val="22"/>
        </w:rPr>
        <w:t xml:space="preserve"> </w:t>
      </w:r>
      <w:r w:rsidR="00C979DE" w:rsidRPr="00CE6806">
        <w:rPr>
          <w:sz w:val="22"/>
          <w:szCs w:val="22"/>
        </w:rPr>
        <w:t>or</w:t>
      </w:r>
      <w:r w:rsidRPr="00CE6806">
        <w:rPr>
          <w:sz w:val="22"/>
          <w:szCs w:val="22"/>
        </w:rPr>
        <w:t xml:space="preserve"> </w:t>
      </w:r>
      <w:r w:rsidR="00C979DE" w:rsidRPr="00CE6806">
        <w:rPr>
          <w:sz w:val="22"/>
          <w:szCs w:val="22"/>
        </w:rPr>
        <w:t xml:space="preserve">certain </w:t>
      </w:r>
      <w:r w:rsidRPr="00CE6806">
        <w:rPr>
          <w:sz w:val="22"/>
          <w:szCs w:val="22"/>
        </w:rPr>
        <w:t>requirements of Appendix E (e.g., § VI), are assigned Green significance by the EP SDP because of the very low safety significance of these findings.</w:t>
      </w:r>
    </w:p>
    <w:p w:rsidR="00AA465E" w:rsidRPr="00CE6806" w:rsidRDefault="00AA465E" w:rsidP="00EB12BF">
      <w:pPr>
        <w:pStyle w:val="609noindent"/>
        <w:jc w:val="left"/>
        <w:rPr>
          <w:sz w:val="22"/>
          <w:szCs w:val="22"/>
        </w:rPr>
      </w:pPr>
    </w:p>
    <w:p w:rsidR="00352D14" w:rsidRPr="00CE6806" w:rsidRDefault="000F7FAD" w:rsidP="00EB12BF">
      <w:pPr>
        <w:pStyle w:val="609noindent"/>
        <w:jc w:val="left"/>
        <w:rPr>
          <w:b/>
          <w:sz w:val="22"/>
          <w:szCs w:val="22"/>
        </w:rPr>
      </w:pPr>
      <w:r w:rsidRPr="00CE6806">
        <w:rPr>
          <w:b/>
          <w:sz w:val="22"/>
          <w:szCs w:val="22"/>
        </w:rPr>
        <w:t>4</w:t>
      </w:r>
      <w:r w:rsidR="00352D14" w:rsidRPr="00CE6806">
        <w:rPr>
          <w:b/>
          <w:sz w:val="22"/>
          <w:szCs w:val="22"/>
        </w:rPr>
        <w:t>.1</w:t>
      </w:r>
      <w:r w:rsidR="00352D14" w:rsidRPr="00CE6806">
        <w:rPr>
          <w:b/>
          <w:sz w:val="22"/>
          <w:szCs w:val="22"/>
        </w:rPr>
        <w:tab/>
      </w:r>
      <w:r w:rsidR="00352D14" w:rsidRPr="00CE6806">
        <w:rPr>
          <w:b/>
          <w:sz w:val="22"/>
          <w:szCs w:val="22"/>
          <w:u w:val="single"/>
        </w:rPr>
        <w:t>Failure to Implement</w:t>
      </w:r>
      <w:r w:rsidR="005717B9" w:rsidRPr="00CE6806">
        <w:rPr>
          <w:b/>
          <w:sz w:val="22"/>
          <w:szCs w:val="22"/>
          <w:u w:val="single"/>
        </w:rPr>
        <w:t xml:space="preserve"> (FTI)</w:t>
      </w:r>
    </w:p>
    <w:p w:rsidR="00352D14" w:rsidRPr="00CE6806" w:rsidRDefault="00352D14" w:rsidP="00EB12BF">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00EC0821" w:rsidRPr="00CE6806" w:rsidRDefault="00EC0821" w:rsidP="00EB12BF">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CE6806">
        <w:rPr>
          <w:rFonts w:cs="Arial"/>
          <w:sz w:val="22"/>
          <w:szCs w:val="22"/>
        </w:rPr>
        <w:t>4.1.1</w:t>
      </w:r>
      <w:r w:rsidRPr="00CE6806">
        <w:rPr>
          <w:rFonts w:cs="Arial"/>
          <w:sz w:val="22"/>
          <w:szCs w:val="22"/>
        </w:rPr>
        <w:tab/>
      </w:r>
      <w:r w:rsidRPr="00CE6806">
        <w:rPr>
          <w:rFonts w:cs="Arial"/>
          <w:sz w:val="22"/>
          <w:szCs w:val="22"/>
          <w:u w:val="single"/>
        </w:rPr>
        <w:t>Description</w:t>
      </w:r>
    </w:p>
    <w:p w:rsidR="00EC0821" w:rsidRPr="00CE6806" w:rsidRDefault="00EC0821" w:rsidP="00EB12BF">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009F35FE" w:rsidRDefault="00352D14" w:rsidP="00EB12BF">
      <w:pPr>
        <w:pStyle w:val="609noindent"/>
        <w:jc w:val="left"/>
        <w:rPr>
          <w:sz w:val="22"/>
          <w:szCs w:val="22"/>
        </w:rPr>
      </w:pPr>
      <w:r w:rsidRPr="00CE6806">
        <w:rPr>
          <w:sz w:val="22"/>
          <w:szCs w:val="22"/>
        </w:rPr>
        <w:t xml:space="preserve">A </w:t>
      </w:r>
      <w:r w:rsidR="005717B9" w:rsidRPr="00CE6806">
        <w:rPr>
          <w:caps/>
          <w:sz w:val="22"/>
          <w:szCs w:val="22"/>
        </w:rPr>
        <w:t>FTI</w:t>
      </w:r>
      <w:r w:rsidRPr="00CE6806">
        <w:rPr>
          <w:sz w:val="22"/>
          <w:szCs w:val="22"/>
        </w:rPr>
        <w:t xml:space="preserve"> occurs when performance deficiencies are observed in a licensee’s response to an actual radiological emergency in which the failure precluded effective </w:t>
      </w:r>
      <w:r w:rsidRPr="007F06A5">
        <w:rPr>
          <w:iCs/>
          <w:sz w:val="22"/>
          <w:szCs w:val="22"/>
        </w:rPr>
        <w:t>implementation</w:t>
      </w:r>
      <w:r w:rsidRPr="00CE6806">
        <w:rPr>
          <w:sz w:val="22"/>
          <w:szCs w:val="22"/>
        </w:rPr>
        <w:t xml:space="preserve"> of the licensee’s </w:t>
      </w:r>
      <w:r w:rsidR="0040141E" w:rsidRPr="00CE6806">
        <w:rPr>
          <w:caps/>
          <w:sz w:val="22"/>
          <w:szCs w:val="22"/>
        </w:rPr>
        <w:t>PE</w:t>
      </w:r>
      <w:r w:rsidRPr="00CE6806">
        <w:rPr>
          <w:sz w:val="22"/>
          <w:szCs w:val="22"/>
        </w:rPr>
        <w:t xml:space="preserve">.  </w:t>
      </w:r>
      <w:r w:rsidR="00A209BE" w:rsidRPr="00CE6806">
        <w:rPr>
          <w:sz w:val="22"/>
          <w:szCs w:val="22"/>
        </w:rPr>
        <w:t xml:space="preserve">A </w:t>
      </w:r>
      <w:r w:rsidR="0040141E" w:rsidRPr="00CE6806">
        <w:rPr>
          <w:caps/>
          <w:sz w:val="22"/>
          <w:szCs w:val="22"/>
        </w:rPr>
        <w:t>FTI</w:t>
      </w:r>
      <w:r w:rsidR="00A209BE" w:rsidRPr="00CE6806">
        <w:rPr>
          <w:sz w:val="22"/>
          <w:szCs w:val="22"/>
        </w:rPr>
        <w:t xml:space="preserve"> denotes that </w:t>
      </w:r>
      <w:r w:rsidR="007F06A5">
        <w:rPr>
          <w:sz w:val="22"/>
          <w:szCs w:val="22"/>
        </w:rPr>
        <w:t xml:space="preserve">a </w:t>
      </w:r>
      <w:r w:rsidR="0040141E" w:rsidRPr="00CE6806">
        <w:rPr>
          <w:caps/>
          <w:sz w:val="22"/>
          <w:szCs w:val="22"/>
        </w:rPr>
        <w:t>PE</w:t>
      </w:r>
      <w:r w:rsidR="00A209BE" w:rsidRPr="00CE6806">
        <w:rPr>
          <w:sz w:val="22"/>
          <w:szCs w:val="22"/>
        </w:rPr>
        <w:t xml:space="preserve"> </w:t>
      </w:r>
      <w:r w:rsidR="00547DE2" w:rsidRPr="00CE6806">
        <w:rPr>
          <w:sz w:val="22"/>
          <w:szCs w:val="22"/>
        </w:rPr>
        <w:t>was</w:t>
      </w:r>
      <w:r w:rsidR="00A209BE" w:rsidRPr="00CE6806">
        <w:rPr>
          <w:sz w:val="22"/>
          <w:szCs w:val="22"/>
        </w:rPr>
        <w:t xml:space="preserve"> not effectively implemented by the </w:t>
      </w:r>
      <w:r w:rsidR="002352B0" w:rsidRPr="00CE6806">
        <w:rPr>
          <w:sz w:val="22"/>
          <w:szCs w:val="22"/>
        </w:rPr>
        <w:t xml:space="preserve">licensee’s </w:t>
      </w:r>
      <w:r w:rsidR="00A209BE" w:rsidRPr="00CE6806">
        <w:rPr>
          <w:sz w:val="22"/>
          <w:szCs w:val="22"/>
        </w:rPr>
        <w:t xml:space="preserve">ERO during an actual radiological emergency such that protection of the public may have been impacted.  </w:t>
      </w:r>
      <w:r w:rsidR="009F35FE" w:rsidRPr="00CE6806">
        <w:rPr>
          <w:sz w:val="22"/>
          <w:szCs w:val="22"/>
        </w:rPr>
        <w:t xml:space="preserve">Such a </w:t>
      </w:r>
      <w:r w:rsidR="00413F86" w:rsidRPr="00CE6806">
        <w:rPr>
          <w:sz w:val="22"/>
          <w:szCs w:val="22"/>
        </w:rPr>
        <w:t>finding</w:t>
      </w:r>
      <w:r w:rsidR="009F35FE" w:rsidRPr="00CE6806">
        <w:rPr>
          <w:sz w:val="22"/>
          <w:szCs w:val="22"/>
        </w:rPr>
        <w:t xml:space="preserve"> may be identified by reviewing the licensee</w:t>
      </w:r>
      <w:r w:rsidR="008344A8">
        <w:rPr>
          <w:sz w:val="22"/>
          <w:szCs w:val="22"/>
        </w:rPr>
        <w:t>’</w:t>
      </w:r>
      <w:r w:rsidR="009F35FE" w:rsidRPr="00CE6806">
        <w:rPr>
          <w:sz w:val="22"/>
          <w:szCs w:val="22"/>
        </w:rPr>
        <w:t xml:space="preserve">s ERO performance during (or after) a radiological emergency for compliance with </w:t>
      </w:r>
      <w:r w:rsidR="000743C8" w:rsidRPr="00CE6806">
        <w:rPr>
          <w:caps/>
          <w:sz w:val="22"/>
          <w:szCs w:val="22"/>
        </w:rPr>
        <w:t>regulatory requirements</w:t>
      </w:r>
      <w:r w:rsidR="000743C8" w:rsidRPr="00CE6806">
        <w:rPr>
          <w:sz w:val="22"/>
          <w:szCs w:val="22"/>
        </w:rPr>
        <w:t xml:space="preserve"> and would generally be associated with </w:t>
      </w:r>
      <w:r w:rsidR="002517FF" w:rsidRPr="00CE6806">
        <w:rPr>
          <w:sz w:val="22"/>
          <w:szCs w:val="22"/>
        </w:rPr>
        <w:t>failure of the licensee to follow its emergency plan as required by</w:t>
      </w:r>
      <w:r w:rsidR="000743C8" w:rsidRPr="00CE6806">
        <w:rPr>
          <w:sz w:val="22"/>
          <w:szCs w:val="22"/>
        </w:rPr>
        <w:t xml:space="preserve"> </w:t>
      </w:r>
      <w:r w:rsidR="002517FF" w:rsidRPr="00CE6806">
        <w:rPr>
          <w:sz w:val="22"/>
          <w:szCs w:val="22"/>
        </w:rPr>
        <w:t>10 CFR 50.54(q</w:t>
      </w:r>
      <w:proofErr w:type="gramStart"/>
      <w:r w:rsidR="002517FF" w:rsidRPr="00CE6806">
        <w:rPr>
          <w:sz w:val="22"/>
          <w:szCs w:val="22"/>
        </w:rPr>
        <w:t>)(</w:t>
      </w:r>
      <w:proofErr w:type="gramEnd"/>
      <w:r w:rsidR="002517FF" w:rsidRPr="00CE6806">
        <w:rPr>
          <w:sz w:val="22"/>
          <w:szCs w:val="22"/>
        </w:rPr>
        <w:t>2)</w:t>
      </w:r>
      <w:r w:rsidR="000743C8" w:rsidRPr="00CE6806">
        <w:rPr>
          <w:sz w:val="22"/>
          <w:szCs w:val="22"/>
        </w:rPr>
        <w:t>.</w:t>
      </w:r>
      <w:r w:rsidR="002352B0" w:rsidRPr="00CE6806">
        <w:rPr>
          <w:sz w:val="22"/>
          <w:szCs w:val="22"/>
        </w:rPr>
        <w:t xml:space="preserve"> </w:t>
      </w:r>
      <w:r w:rsidR="003632E7" w:rsidRPr="00CE6806">
        <w:rPr>
          <w:sz w:val="22"/>
          <w:szCs w:val="22"/>
        </w:rPr>
        <w:t xml:space="preserve"> The EP SDP </w:t>
      </w:r>
      <w:r w:rsidR="005C7EC3" w:rsidRPr="00CE6806">
        <w:rPr>
          <w:sz w:val="22"/>
          <w:szCs w:val="22"/>
        </w:rPr>
        <w:t>incorporates</w:t>
      </w:r>
      <w:r w:rsidR="003632E7" w:rsidRPr="00CE6806">
        <w:rPr>
          <w:sz w:val="22"/>
          <w:szCs w:val="22"/>
        </w:rPr>
        <w:t xml:space="preserve"> the following considerations</w:t>
      </w:r>
      <w:r w:rsidR="00AF2051" w:rsidRPr="00CE6806">
        <w:rPr>
          <w:sz w:val="22"/>
          <w:szCs w:val="22"/>
        </w:rPr>
        <w:t>:</w:t>
      </w:r>
    </w:p>
    <w:p w:rsidR="008344A8" w:rsidRPr="00CE6806" w:rsidRDefault="008344A8" w:rsidP="00EB12BF">
      <w:pPr>
        <w:pStyle w:val="609noindent"/>
        <w:jc w:val="left"/>
        <w:rPr>
          <w:sz w:val="22"/>
          <w:szCs w:val="22"/>
        </w:rPr>
      </w:pPr>
    </w:p>
    <w:p w:rsidR="003632E7" w:rsidRPr="008344A8" w:rsidRDefault="002352B0" w:rsidP="00AA465E">
      <w:pPr>
        <w:pStyle w:val="609noindent"/>
        <w:numPr>
          <w:ilvl w:val="0"/>
          <w:numId w:val="5"/>
        </w:numPr>
        <w:jc w:val="left"/>
        <w:rPr>
          <w:sz w:val="22"/>
          <w:szCs w:val="22"/>
        </w:rPr>
      </w:pPr>
      <w:r w:rsidRPr="00CE6806">
        <w:rPr>
          <w:sz w:val="22"/>
          <w:szCs w:val="22"/>
        </w:rPr>
        <w:t xml:space="preserve">A </w:t>
      </w:r>
      <w:r w:rsidR="0040141E" w:rsidRPr="00CE6806">
        <w:rPr>
          <w:sz w:val="22"/>
          <w:szCs w:val="22"/>
        </w:rPr>
        <w:t>performance deficiency</w:t>
      </w:r>
      <w:r w:rsidRPr="00CE6806">
        <w:rPr>
          <w:sz w:val="22"/>
          <w:szCs w:val="22"/>
        </w:rPr>
        <w:t xml:space="preserve"> that occurs during an actual radiological emergency </w:t>
      </w:r>
      <w:r w:rsidR="000F7FAD" w:rsidRPr="00CE6806">
        <w:rPr>
          <w:sz w:val="22"/>
          <w:szCs w:val="22"/>
        </w:rPr>
        <w:t>might</w:t>
      </w:r>
      <w:r w:rsidRPr="00CE6806">
        <w:rPr>
          <w:sz w:val="22"/>
          <w:szCs w:val="22"/>
        </w:rPr>
        <w:t xml:space="preserve"> not rise to the level of a </w:t>
      </w:r>
      <w:r w:rsidR="0040141E" w:rsidRPr="00CE6806">
        <w:rPr>
          <w:caps/>
          <w:sz w:val="22"/>
          <w:szCs w:val="22"/>
        </w:rPr>
        <w:t>FTI</w:t>
      </w:r>
      <w:r w:rsidRPr="00CE6806">
        <w:rPr>
          <w:sz w:val="22"/>
          <w:szCs w:val="22"/>
        </w:rPr>
        <w:t xml:space="preserve">, particularly if the deficiency is self-identified by the ERO </w:t>
      </w:r>
      <w:r w:rsidR="005C7EC3" w:rsidRPr="00CE6806">
        <w:rPr>
          <w:sz w:val="22"/>
          <w:szCs w:val="22"/>
        </w:rPr>
        <w:t xml:space="preserve">(e.g., peer review) </w:t>
      </w:r>
      <w:r w:rsidRPr="00CE6806">
        <w:rPr>
          <w:sz w:val="22"/>
          <w:szCs w:val="22"/>
        </w:rPr>
        <w:t xml:space="preserve">and corrected in a timely manner such that the </w:t>
      </w:r>
      <w:r w:rsidR="0040141E" w:rsidRPr="00CE6806">
        <w:rPr>
          <w:caps/>
          <w:sz w:val="22"/>
          <w:szCs w:val="22"/>
        </w:rPr>
        <w:t>PS</w:t>
      </w:r>
      <w:r w:rsidRPr="00CE6806">
        <w:rPr>
          <w:caps/>
          <w:sz w:val="22"/>
          <w:szCs w:val="22"/>
        </w:rPr>
        <w:t xml:space="preserve"> functions</w:t>
      </w:r>
      <w:r w:rsidRPr="00CE6806">
        <w:rPr>
          <w:sz w:val="22"/>
          <w:szCs w:val="22"/>
        </w:rPr>
        <w:t xml:space="preserve"> are successfully accomplished.</w:t>
      </w:r>
      <w:r w:rsidR="003632E7" w:rsidRPr="00CE6806">
        <w:rPr>
          <w:sz w:val="22"/>
          <w:szCs w:val="22"/>
        </w:rPr>
        <w:t xml:space="preserve">  </w:t>
      </w:r>
    </w:p>
    <w:p w:rsidR="003632E7" w:rsidRPr="00CE6806" w:rsidRDefault="002352B0" w:rsidP="00EB12BF">
      <w:pPr>
        <w:pStyle w:val="609noindent"/>
        <w:numPr>
          <w:ilvl w:val="0"/>
          <w:numId w:val="5"/>
        </w:numPr>
        <w:jc w:val="left"/>
        <w:rPr>
          <w:sz w:val="22"/>
          <w:szCs w:val="22"/>
        </w:rPr>
      </w:pPr>
      <w:r w:rsidRPr="00CE6806">
        <w:rPr>
          <w:sz w:val="22"/>
          <w:szCs w:val="22"/>
        </w:rPr>
        <w:t xml:space="preserve">The failure of the ERO to implement a single </w:t>
      </w:r>
      <w:r w:rsidR="0040141E" w:rsidRPr="00CE6806">
        <w:rPr>
          <w:sz w:val="22"/>
          <w:szCs w:val="22"/>
        </w:rPr>
        <w:t>PE</w:t>
      </w:r>
      <w:r w:rsidRPr="00CE6806">
        <w:rPr>
          <w:sz w:val="22"/>
          <w:szCs w:val="22"/>
        </w:rPr>
        <w:t xml:space="preserve"> does not necessarily mean that </w:t>
      </w:r>
      <w:r w:rsidR="0040141E" w:rsidRPr="00CE6806">
        <w:rPr>
          <w:sz w:val="22"/>
          <w:szCs w:val="22"/>
        </w:rPr>
        <w:t xml:space="preserve">any of </w:t>
      </w:r>
      <w:r w:rsidRPr="00CE6806">
        <w:rPr>
          <w:sz w:val="22"/>
          <w:szCs w:val="22"/>
        </w:rPr>
        <w:t xml:space="preserve">the associated </w:t>
      </w:r>
      <w:r w:rsidR="0040141E" w:rsidRPr="00CE6806">
        <w:rPr>
          <w:caps/>
          <w:sz w:val="22"/>
          <w:szCs w:val="22"/>
        </w:rPr>
        <w:t>PS function</w:t>
      </w:r>
      <w:r w:rsidRPr="00CE6806">
        <w:rPr>
          <w:caps/>
          <w:sz w:val="22"/>
          <w:szCs w:val="22"/>
        </w:rPr>
        <w:t>s</w:t>
      </w:r>
      <w:r w:rsidRPr="00CE6806">
        <w:rPr>
          <w:sz w:val="22"/>
          <w:szCs w:val="22"/>
        </w:rPr>
        <w:t xml:space="preserve"> were not accomplished.  </w:t>
      </w:r>
    </w:p>
    <w:p w:rsidR="003632E7" w:rsidRPr="00CE6806" w:rsidRDefault="003632E7" w:rsidP="00EB12BF">
      <w:pPr>
        <w:pStyle w:val="609noindent"/>
        <w:jc w:val="left"/>
        <w:rPr>
          <w:sz w:val="22"/>
          <w:szCs w:val="22"/>
        </w:rPr>
      </w:pPr>
    </w:p>
    <w:p w:rsidR="002352B0" w:rsidRPr="00CE6806" w:rsidRDefault="003632E7" w:rsidP="00EB12BF">
      <w:pPr>
        <w:pStyle w:val="609noindent"/>
        <w:numPr>
          <w:ilvl w:val="0"/>
          <w:numId w:val="5"/>
        </w:numPr>
        <w:jc w:val="left"/>
        <w:rPr>
          <w:sz w:val="22"/>
          <w:szCs w:val="22"/>
        </w:rPr>
      </w:pPr>
      <w:r w:rsidRPr="00CE6806">
        <w:rPr>
          <w:sz w:val="22"/>
          <w:szCs w:val="22"/>
        </w:rPr>
        <w:t xml:space="preserve">A </w:t>
      </w:r>
      <w:r w:rsidR="0040141E" w:rsidRPr="00CE6806">
        <w:rPr>
          <w:caps/>
          <w:sz w:val="22"/>
          <w:szCs w:val="22"/>
        </w:rPr>
        <w:t>FTI</w:t>
      </w:r>
      <w:r w:rsidRPr="00CE6806">
        <w:rPr>
          <w:sz w:val="22"/>
          <w:szCs w:val="22"/>
        </w:rPr>
        <w:t xml:space="preserve"> may uncover performance deficiencies in the licensee’s emergency program (e.g., the emergency plan is less than adequate, </w:t>
      </w:r>
      <w:r w:rsidR="00A9455B" w:rsidRPr="00CE6806">
        <w:rPr>
          <w:sz w:val="22"/>
          <w:szCs w:val="22"/>
        </w:rPr>
        <w:t>the EP program design is not fully adequate, or, ERO personnel are not capable of implementing the plan)</w:t>
      </w:r>
      <w:r w:rsidRPr="00CE6806">
        <w:rPr>
          <w:sz w:val="22"/>
          <w:szCs w:val="22"/>
        </w:rPr>
        <w:t xml:space="preserve">.  </w:t>
      </w:r>
      <w:r w:rsidR="00A9455B" w:rsidRPr="00CE6806">
        <w:rPr>
          <w:sz w:val="22"/>
          <w:szCs w:val="22"/>
        </w:rPr>
        <w:t>The EP SDP requires that such</w:t>
      </w:r>
      <w:r w:rsidRPr="00CE6806">
        <w:rPr>
          <w:sz w:val="22"/>
          <w:szCs w:val="22"/>
        </w:rPr>
        <w:t xml:space="preserve"> findings </w:t>
      </w:r>
      <w:r w:rsidR="002369B7" w:rsidRPr="00CE6806">
        <w:rPr>
          <w:sz w:val="22"/>
          <w:szCs w:val="22"/>
        </w:rPr>
        <w:t>be</w:t>
      </w:r>
      <w:r w:rsidRPr="00CE6806">
        <w:rPr>
          <w:sz w:val="22"/>
          <w:szCs w:val="22"/>
        </w:rPr>
        <w:t xml:space="preserve"> evaluated as </w:t>
      </w:r>
      <w:r w:rsidR="00A9455B" w:rsidRPr="00CE6806">
        <w:rPr>
          <w:sz w:val="22"/>
          <w:szCs w:val="22"/>
        </w:rPr>
        <w:t xml:space="preserve">a </w:t>
      </w:r>
      <w:r w:rsidR="0040141E" w:rsidRPr="00CE6806">
        <w:rPr>
          <w:caps/>
          <w:sz w:val="22"/>
          <w:szCs w:val="22"/>
        </w:rPr>
        <w:t>FTI</w:t>
      </w:r>
      <w:r w:rsidR="00A9455B" w:rsidRPr="00CE6806">
        <w:rPr>
          <w:sz w:val="22"/>
          <w:szCs w:val="22"/>
        </w:rPr>
        <w:t xml:space="preserve"> and as a </w:t>
      </w:r>
      <w:r w:rsidR="0040141E" w:rsidRPr="00CE6806">
        <w:rPr>
          <w:caps/>
          <w:sz w:val="22"/>
          <w:szCs w:val="22"/>
        </w:rPr>
        <w:t>FTC</w:t>
      </w:r>
      <w:r w:rsidR="00A9455B" w:rsidRPr="00CE6806">
        <w:rPr>
          <w:sz w:val="22"/>
          <w:szCs w:val="22"/>
        </w:rPr>
        <w:t xml:space="preserve"> </w:t>
      </w:r>
      <w:r w:rsidR="002369B7" w:rsidRPr="00CE6806">
        <w:rPr>
          <w:sz w:val="22"/>
          <w:szCs w:val="22"/>
        </w:rPr>
        <w:t>with</w:t>
      </w:r>
      <w:r w:rsidR="00A9455B" w:rsidRPr="00CE6806">
        <w:rPr>
          <w:sz w:val="22"/>
          <w:szCs w:val="22"/>
        </w:rPr>
        <w:t xml:space="preserve"> the higher significance be</w:t>
      </w:r>
      <w:r w:rsidR="00AF018F" w:rsidRPr="00CE6806">
        <w:rPr>
          <w:sz w:val="22"/>
          <w:szCs w:val="22"/>
        </w:rPr>
        <w:t>ing</w:t>
      </w:r>
      <w:r w:rsidR="00A9455B" w:rsidRPr="00CE6806">
        <w:rPr>
          <w:sz w:val="22"/>
          <w:szCs w:val="22"/>
        </w:rPr>
        <w:t xml:space="preserve"> assigned to the finding.</w:t>
      </w:r>
    </w:p>
    <w:p w:rsidR="00EC0821" w:rsidRPr="00CE6806" w:rsidRDefault="00EC0821" w:rsidP="00EB12BF">
      <w:pPr>
        <w:pStyle w:val="ListParagraph"/>
        <w:rPr>
          <w:rFonts w:cs="Arial"/>
          <w:sz w:val="22"/>
          <w:szCs w:val="22"/>
        </w:rPr>
      </w:pPr>
    </w:p>
    <w:p w:rsidR="002352B0" w:rsidRPr="00CE6806" w:rsidRDefault="00661809" w:rsidP="00EB12BF">
      <w:pPr>
        <w:pStyle w:val="609noindent"/>
        <w:numPr>
          <w:ilvl w:val="0"/>
          <w:numId w:val="5"/>
        </w:numPr>
        <w:jc w:val="left"/>
        <w:rPr>
          <w:sz w:val="22"/>
          <w:szCs w:val="22"/>
        </w:rPr>
      </w:pPr>
      <w:r w:rsidRPr="00CE6806">
        <w:rPr>
          <w:sz w:val="22"/>
          <w:szCs w:val="22"/>
        </w:rPr>
        <w:t>There</w:t>
      </w:r>
      <w:r w:rsidR="00EC0821" w:rsidRPr="00CE6806">
        <w:rPr>
          <w:sz w:val="22"/>
          <w:szCs w:val="22"/>
        </w:rPr>
        <w:t xml:space="preserve"> are specific requirements for the licensee to maintain </w:t>
      </w:r>
      <w:r w:rsidRPr="00CE6806">
        <w:rPr>
          <w:sz w:val="22"/>
          <w:szCs w:val="22"/>
        </w:rPr>
        <w:t xml:space="preserve">a </w:t>
      </w:r>
      <w:r w:rsidR="00EC0821" w:rsidRPr="007F06A5">
        <w:rPr>
          <w:sz w:val="22"/>
          <w:szCs w:val="22"/>
        </w:rPr>
        <w:t>capability</w:t>
      </w:r>
      <w:r w:rsidR="00EC0821" w:rsidRPr="00CE6806">
        <w:rPr>
          <w:sz w:val="22"/>
          <w:szCs w:val="22"/>
        </w:rPr>
        <w:t xml:space="preserve"> to make classifications, notifications, and PARs, within certain time criteria</w:t>
      </w:r>
      <w:r w:rsidRPr="00CE6806">
        <w:rPr>
          <w:sz w:val="22"/>
          <w:szCs w:val="22"/>
        </w:rPr>
        <w:t xml:space="preserve">.  However, there may be unanticipated circumstances during an emergency that cause the licensee’s </w:t>
      </w:r>
      <w:r w:rsidRPr="007F06A5">
        <w:rPr>
          <w:sz w:val="22"/>
          <w:szCs w:val="22"/>
        </w:rPr>
        <w:t>performance</w:t>
      </w:r>
      <w:r w:rsidRPr="00CE6806">
        <w:rPr>
          <w:sz w:val="22"/>
          <w:szCs w:val="22"/>
        </w:rPr>
        <w:t xml:space="preserve"> to be delayed.  </w:t>
      </w:r>
      <w:r w:rsidR="00293E75" w:rsidRPr="00CE6806">
        <w:rPr>
          <w:sz w:val="22"/>
          <w:szCs w:val="22"/>
        </w:rPr>
        <w:t xml:space="preserve">Such delays </w:t>
      </w:r>
      <w:r w:rsidR="00CF6A61" w:rsidRPr="00CE6806">
        <w:rPr>
          <w:sz w:val="22"/>
          <w:szCs w:val="22"/>
        </w:rPr>
        <w:t xml:space="preserve">do not necessarily </w:t>
      </w:r>
      <w:r w:rsidR="00293E75" w:rsidRPr="00CE6806">
        <w:rPr>
          <w:sz w:val="22"/>
          <w:szCs w:val="22"/>
        </w:rPr>
        <w:t xml:space="preserve">represent a </w:t>
      </w:r>
      <w:r w:rsidR="0040141E" w:rsidRPr="00CE6806">
        <w:rPr>
          <w:caps/>
          <w:sz w:val="22"/>
          <w:szCs w:val="22"/>
        </w:rPr>
        <w:t>FTI</w:t>
      </w:r>
      <w:r w:rsidR="00293E75" w:rsidRPr="00CE6806">
        <w:rPr>
          <w:sz w:val="22"/>
          <w:szCs w:val="22"/>
        </w:rPr>
        <w:t>.</w:t>
      </w:r>
      <w:r w:rsidR="00293E75" w:rsidRPr="00CE6806">
        <w:rPr>
          <w:rStyle w:val="FootnoteReference"/>
          <w:sz w:val="22"/>
          <w:szCs w:val="22"/>
          <w:vertAlign w:val="superscript"/>
        </w:rPr>
        <w:footnoteReference w:id="9"/>
      </w:r>
      <w:r w:rsidR="00293E75" w:rsidRPr="00CE6806">
        <w:rPr>
          <w:sz w:val="22"/>
          <w:szCs w:val="22"/>
        </w:rPr>
        <w:t xml:space="preserve">  </w:t>
      </w:r>
    </w:p>
    <w:p w:rsidR="00CF6A61" w:rsidRPr="00CE6806" w:rsidRDefault="00CF6A61" w:rsidP="00EB12BF">
      <w:pPr>
        <w:pStyle w:val="609noindent"/>
        <w:ind w:left="360"/>
        <w:jc w:val="left"/>
        <w:rPr>
          <w:sz w:val="22"/>
          <w:szCs w:val="22"/>
        </w:rPr>
      </w:pPr>
    </w:p>
    <w:p w:rsidR="00EC0821" w:rsidRPr="00CE6806" w:rsidRDefault="00EC0821" w:rsidP="00EB12BF">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CE6806">
        <w:rPr>
          <w:rFonts w:cs="Arial"/>
          <w:sz w:val="22"/>
          <w:szCs w:val="22"/>
        </w:rPr>
        <w:t>4.1.2</w:t>
      </w:r>
      <w:r w:rsidRPr="00CE6806">
        <w:rPr>
          <w:rFonts w:cs="Arial"/>
          <w:sz w:val="22"/>
          <w:szCs w:val="22"/>
        </w:rPr>
        <w:tab/>
      </w:r>
      <w:r w:rsidRPr="00CE6806">
        <w:rPr>
          <w:rFonts w:cs="Arial"/>
          <w:sz w:val="22"/>
          <w:szCs w:val="22"/>
          <w:u w:val="single"/>
        </w:rPr>
        <w:t>Significance Determination</w:t>
      </w:r>
    </w:p>
    <w:p w:rsidR="00EC0821" w:rsidRPr="00CE6806" w:rsidRDefault="00EC0821" w:rsidP="00EB12BF">
      <w:pPr>
        <w:pStyle w:val="609noindent"/>
        <w:jc w:val="left"/>
        <w:rPr>
          <w:sz w:val="22"/>
          <w:szCs w:val="22"/>
        </w:rPr>
      </w:pPr>
    </w:p>
    <w:p w:rsidR="00A209BE" w:rsidRPr="00CE6806" w:rsidRDefault="009F35FE" w:rsidP="00EB12BF">
      <w:pPr>
        <w:pStyle w:val="609noindent"/>
        <w:jc w:val="left"/>
        <w:rPr>
          <w:sz w:val="22"/>
          <w:szCs w:val="22"/>
        </w:rPr>
      </w:pPr>
      <w:r w:rsidRPr="00CE6806">
        <w:rPr>
          <w:sz w:val="22"/>
          <w:szCs w:val="22"/>
        </w:rPr>
        <w:t xml:space="preserve">The significance of a </w:t>
      </w:r>
      <w:r w:rsidR="0040141E" w:rsidRPr="00CE6806">
        <w:rPr>
          <w:caps/>
          <w:sz w:val="22"/>
          <w:szCs w:val="22"/>
        </w:rPr>
        <w:t>FTI</w:t>
      </w:r>
      <w:r w:rsidRPr="00CE6806">
        <w:rPr>
          <w:sz w:val="22"/>
          <w:szCs w:val="22"/>
        </w:rPr>
        <w:t xml:space="preserve"> is based on the emergency classification level that was, or should have been, declared during the event and whether a </w:t>
      </w:r>
      <w:r w:rsidR="0040141E" w:rsidRPr="00CE6806">
        <w:rPr>
          <w:caps/>
          <w:sz w:val="22"/>
          <w:szCs w:val="22"/>
        </w:rPr>
        <w:t>RSPS</w:t>
      </w:r>
      <w:r w:rsidRPr="00CE6806">
        <w:rPr>
          <w:sz w:val="22"/>
          <w:szCs w:val="22"/>
        </w:rPr>
        <w:t xml:space="preserve"> was involved.  Generally, findings associated with </w:t>
      </w:r>
      <w:r w:rsidR="007F06A5">
        <w:rPr>
          <w:sz w:val="22"/>
          <w:szCs w:val="22"/>
        </w:rPr>
        <w:t xml:space="preserve">a </w:t>
      </w:r>
      <w:r w:rsidR="0040141E" w:rsidRPr="00CE6806">
        <w:rPr>
          <w:caps/>
          <w:sz w:val="22"/>
          <w:szCs w:val="22"/>
        </w:rPr>
        <w:t>FTI</w:t>
      </w:r>
      <w:r w:rsidRPr="00CE6806">
        <w:rPr>
          <w:sz w:val="22"/>
          <w:szCs w:val="22"/>
        </w:rPr>
        <w:t xml:space="preserve"> are assigned greater significance than those associated with </w:t>
      </w:r>
      <w:r w:rsidR="007F06A5">
        <w:rPr>
          <w:sz w:val="22"/>
          <w:szCs w:val="22"/>
        </w:rPr>
        <w:t xml:space="preserve">a </w:t>
      </w:r>
      <w:r w:rsidR="0040141E" w:rsidRPr="00CE6806">
        <w:rPr>
          <w:caps/>
          <w:sz w:val="22"/>
          <w:szCs w:val="22"/>
        </w:rPr>
        <w:t>FTC</w:t>
      </w:r>
      <w:r w:rsidRPr="00CE6806">
        <w:rPr>
          <w:sz w:val="22"/>
          <w:szCs w:val="22"/>
        </w:rPr>
        <w:t xml:space="preserve"> </w:t>
      </w:r>
      <w:r w:rsidR="005C224D" w:rsidRPr="00CE6806">
        <w:rPr>
          <w:sz w:val="22"/>
          <w:szCs w:val="22"/>
        </w:rPr>
        <w:t>because</w:t>
      </w:r>
      <w:r w:rsidRPr="00CE6806">
        <w:rPr>
          <w:sz w:val="22"/>
          <w:szCs w:val="22"/>
        </w:rPr>
        <w:t xml:space="preserve"> findings that occur during actual events may have a greater impact on public health and safety.  The minimum significance level of a </w:t>
      </w:r>
      <w:r w:rsidR="0040141E" w:rsidRPr="00CE6806">
        <w:rPr>
          <w:caps/>
          <w:sz w:val="22"/>
          <w:szCs w:val="22"/>
        </w:rPr>
        <w:t>FTI</w:t>
      </w:r>
      <w:r w:rsidRPr="00CE6806">
        <w:rPr>
          <w:sz w:val="22"/>
          <w:szCs w:val="22"/>
        </w:rPr>
        <w:t xml:space="preserve"> is Green;</w:t>
      </w:r>
      <w:r w:rsidR="001F6E0C" w:rsidRPr="001F6E0C">
        <w:rPr>
          <w:rStyle w:val="FootnoteReference"/>
          <w:sz w:val="22"/>
          <w:szCs w:val="22"/>
          <w:vertAlign w:val="superscript"/>
        </w:rPr>
        <w:footnoteReference w:id="10"/>
      </w:r>
      <w:r w:rsidRPr="00CE6806">
        <w:rPr>
          <w:sz w:val="22"/>
          <w:szCs w:val="22"/>
        </w:rPr>
        <w:t xml:space="preserve"> the maximum is Red.</w:t>
      </w:r>
      <w:r w:rsidRPr="00CE6806">
        <w:rPr>
          <w:sz w:val="22"/>
          <w:szCs w:val="22"/>
          <w:vertAlign w:val="superscript"/>
        </w:rPr>
        <w:footnoteReference w:id="11"/>
      </w:r>
      <w:r w:rsidRPr="00CE6806">
        <w:rPr>
          <w:sz w:val="22"/>
          <w:szCs w:val="22"/>
        </w:rPr>
        <w:t xml:space="preserve">  In comparison, the maximum significance level for a </w:t>
      </w:r>
      <w:r w:rsidR="0040141E" w:rsidRPr="00CE6806">
        <w:rPr>
          <w:caps/>
          <w:sz w:val="22"/>
          <w:szCs w:val="22"/>
        </w:rPr>
        <w:t>FTC</w:t>
      </w:r>
      <w:r w:rsidRPr="00CE6806">
        <w:rPr>
          <w:sz w:val="22"/>
          <w:szCs w:val="22"/>
        </w:rPr>
        <w:t xml:space="preserve"> associated with a lost </w:t>
      </w:r>
      <w:r w:rsidR="0040141E" w:rsidRPr="00CE6806">
        <w:rPr>
          <w:caps/>
          <w:sz w:val="22"/>
          <w:szCs w:val="22"/>
        </w:rPr>
        <w:t>RSPS</w:t>
      </w:r>
      <w:r w:rsidRPr="00CE6806">
        <w:rPr>
          <w:caps/>
          <w:sz w:val="22"/>
          <w:szCs w:val="22"/>
        </w:rPr>
        <w:t xml:space="preserve"> function</w:t>
      </w:r>
      <w:r w:rsidRPr="00CE6806">
        <w:rPr>
          <w:sz w:val="22"/>
          <w:szCs w:val="22"/>
        </w:rPr>
        <w:t xml:space="preserve"> is Yellow.  This elevated significance is consistent with the increased risk to the public of the non-compliance during an actual radiological emergency.</w:t>
      </w:r>
    </w:p>
    <w:p w:rsidR="00403FF7" w:rsidRPr="00CE6806" w:rsidRDefault="00403FF7" w:rsidP="00EB12BF">
      <w:pPr>
        <w:pStyle w:val="609noindent"/>
        <w:jc w:val="left"/>
        <w:rPr>
          <w:sz w:val="22"/>
          <w:szCs w:val="22"/>
        </w:rPr>
      </w:pPr>
    </w:p>
    <w:p w:rsidR="00A209BE" w:rsidRPr="00CE6806" w:rsidRDefault="005C224D" w:rsidP="00EB12BF">
      <w:pPr>
        <w:pStyle w:val="609noindent"/>
        <w:jc w:val="left"/>
        <w:rPr>
          <w:sz w:val="22"/>
          <w:szCs w:val="22"/>
        </w:rPr>
      </w:pPr>
      <w:r w:rsidRPr="00CE6806">
        <w:rPr>
          <w:sz w:val="22"/>
          <w:szCs w:val="22"/>
        </w:rPr>
        <w:t>Because</w:t>
      </w:r>
      <w:r w:rsidR="00403FF7" w:rsidRPr="00CE6806">
        <w:rPr>
          <w:sz w:val="22"/>
          <w:szCs w:val="22"/>
        </w:rPr>
        <w:t xml:space="preserve"> the significance of a </w:t>
      </w:r>
      <w:r w:rsidR="0040141E" w:rsidRPr="00CE6806">
        <w:rPr>
          <w:caps/>
          <w:sz w:val="22"/>
          <w:szCs w:val="22"/>
        </w:rPr>
        <w:t>FTI</w:t>
      </w:r>
      <w:r w:rsidR="00403FF7" w:rsidRPr="00CE6806">
        <w:rPr>
          <w:sz w:val="22"/>
          <w:szCs w:val="22"/>
        </w:rPr>
        <w:t xml:space="preserve"> is based in part on the emergency classification applicable to the event, the EP SDP requires the inspector to base the significance on what the licensee should have declared.  Further, the failure to declare the appropriate emergency classification is</w:t>
      </w:r>
      <w:r w:rsidR="0040141E" w:rsidRPr="00CE6806">
        <w:rPr>
          <w:sz w:val="22"/>
          <w:szCs w:val="22"/>
        </w:rPr>
        <w:t>,</w:t>
      </w:r>
      <w:r w:rsidR="00403FF7" w:rsidRPr="00CE6806">
        <w:rPr>
          <w:sz w:val="22"/>
          <w:szCs w:val="22"/>
        </w:rPr>
        <w:t xml:space="preserve"> in itself</w:t>
      </w:r>
      <w:r w:rsidR="0040141E" w:rsidRPr="00CE6806">
        <w:rPr>
          <w:sz w:val="22"/>
          <w:szCs w:val="22"/>
        </w:rPr>
        <w:t>,</w:t>
      </w:r>
      <w:r w:rsidR="00403FF7" w:rsidRPr="00CE6806">
        <w:rPr>
          <w:sz w:val="22"/>
          <w:szCs w:val="22"/>
        </w:rPr>
        <w:t xml:space="preserve"> a </w:t>
      </w:r>
      <w:r w:rsidRPr="00CE6806">
        <w:rPr>
          <w:sz w:val="22"/>
          <w:szCs w:val="22"/>
        </w:rPr>
        <w:t>finding</w:t>
      </w:r>
      <w:r w:rsidR="00403FF7" w:rsidRPr="00CE6806">
        <w:rPr>
          <w:sz w:val="22"/>
          <w:szCs w:val="22"/>
        </w:rPr>
        <w:t xml:space="preserve"> and is to be </w:t>
      </w:r>
      <w:r w:rsidR="0040141E" w:rsidRPr="00CE6806">
        <w:rPr>
          <w:sz w:val="22"/>
          <w:szCs w:val="22"/>
        </w:rPr>
        <w:t>evaluated</w:t>
      </w:r>
      <w:r w:rsidR="00403FF7" w:rsidRPr="00CE6806">
        <w:rPr>
          <w:sz w:val="22"/>
          <w:szCs w:val="22"/>
        </w:rPr>
        <w:t xml:space="preserve"> separate</w:t>
      </w:r>
      <w:r w:rsidR="0040141E" w:rsidRPr="00CE6806">
        <w:rPr>
          <w:sz w:val="22"/>
          <w:szCs w:val="22"/>
        </w:rPr>
        <w:t>ly</w:t>
      </w:r>
      <w:r w:rsidR="00403FF7" w:rsidRPr="00CE6806">
        <w:rPr>
          <w:sz w:val="22"/>
          <w:szCs w:val="22"/>
        </w:rPr>
        <w:t xml:space="preserve"> from the other </w:t>
      </w:r>
      <w:r w:rsidRPr="00CE6806">
        <w:rPr>
          <w:sz w:val="22"/>
          <w:szCs w:val="22"/>
        </w:rPr>
        <w:t>finding</w:t>
      </w:r>
      <w:r w:rsidR="00403FF7" w:rsidRPr="00CE6806">
        <w:rPr>
          <w:sz w:val="22"/>
          <w:szCs w:val="22"/>
        </w:rPr>
        <w:t xml:space="preserve">, with the </w:t>
      </w:r>
      <w:r w:rsidR="0040141E" w:rsidRPr="00CE6806">
        <w:rPr>
          <w:sz w:val="22"/>
          <w:szCs w:val="22"/>
        </w:rPr>
        <w:t xml:space="preserve">finding </w:t>
      </w:r>
      <w:r w:rsidR="002D25C4" w:rsidRPr="00CE6806">
        <w:rPr>
          <w:sz w:val="22"/>
          <w:szCs w:val="22"/>
        </w:rPr>
        <w:t>having</w:t>
      </w:r>
      <w:r w:rsidR="0040141E" w:rsidRPr="00CE6806">
        <w:rPr>
          <w:sz w:val="22"/>
          <w:szCs w:val="22"/>
        </w:rPr>
        <w:t xml:space="preserve"> the </w:t>
      </w:r>
      <w:r w:rsidR="00403FF7" w:rsidRPr="00CE6806">
        <w:rPr>
          <w:sz w:val="22"/>
          <w:szCs w:val="22"/>
        </w:rPr>
        <w:t xml:space="preserve">greater significance </w:t>
      </w:r>
      <w:r w:rsidR="0040141E" w:rsidRPr="00CE6806">
        <w:rPr>
          <w:sz w:val="22"/>
          <w:szCs w:val="22"/>
        </w:rPr>
        <w:t>cited</w:t>
      </w:r>
      <w:r w:rsidR="00403FF7" w:rsidRPr="00CE6806">
        <w:rPr>
          <w:sz w:val="22"/>
          <w:szCs w:val="22"/>
        </w:rPr>
        <w:t>.</w:t>
      </w:r>
      <w:r w:rsidR="00375F48" w:rsidRPr="00CE6806">
        <w:rPr>
          <w:sz w:val="22"/>
          <w:szCs w:val="22"/>
        </w:rPr>
        <w:t xml:space="preserve">  </w:t>
      </w:r>
    </w:p>
    <w:p w:rsidR="00EC0821" w:rsidRPr="00CE6806" w:rsidRDefault="00EC0821" w:rsidP="00EB12BF">
      <w:pPr>
        <w:pStyle w:val="609noindent"/>
        <w:jc w:val="left"/>
        <w:rPr>
          <w:sz w:val="22"/>
          <w:szCs w:val="22"/>
        </w:rPr>
      </w:pPr>
    </w:p>
    <w:p w:rsidR="003545F3" w:rsidRPr="00CE6806" w:rsidRDefault="005C224D" w:rsidP="00EB12BF">
      <w:pPr>
        <w:pStyle w:val="609noindent"/>
        <w:jc w:val="left"/>
        <w:rPr>
          <w:sz w:val="22"/>
          <w:szCs w:val="22"/>
        </w:rPr>
      </w:pPr>
      <w:r w:rsidRPr="00CE6806">
        <w:rPr>
          <w:sz w:val="22"/>
          <w:szCs w:val="22"/>
        </w:rPr>
        <w:t>Because</w:t>
      </w:r>
      <w:r w:rsidR="00CE7B08" w:rsidRPr="00CE6806">
        <w:rPr>
          <w:sz w:val="22"/>
          <w:szCs w:val="22"/>
        </w:rPr>
        <w:t xml:space="preserve"> an over-</w:t>
      </w:r>
      <w:r w:rsidR="00EC0821" w:rsidRPr="00CE6806">
        <w:rPr>
          <w:sz w:val="22"/>
          <w:szCs w:val="22"/>
        </w:rPr>
        <w:t>classification by the licensee could result in unnecessary protective actions, the EP SDP provides for significance determination based on whether the OROs initiated protective actions for the public</w:t>
      </w:r>
      <w:r w:rsidR="00293E75" w:rsidRPr="00CE6806">
        <w:rPr>
          <w:sz w:val="22"/>
          <w:szCs w:val="22"/>
        </w:rPr>
        <w:t xml:space="preserve">.  The EP SDP assigns a </w:t>
      </w:r>
      <w:r w:rsidR="00CE7B08" w:rsidRPr="00CE6806">
        <w:rPr>
          <w:sz w:val="22"/>
          <w:szCs w:val="22"/>
        </w:rPr>
        <w:t>Yellow significance if the licensee’s classification causes public officials to implement a public evacuation; a White significance for a protective action other than evacuation (e.g., school or park closures, sheltering, etc.); and Green significance otherwise.  This protocol is consistent with the increased risk of unnecessary public evacuations, and does not apply if the ORO action was clearly inappropriate (e.g., ordering a public evacuation at an Alert).</w:t>
      </w:r>
    </w:p>
    <w:p w:rsidR="002517FF" w:rsidRPr="00CE6806" w:rsidRDefault="002517FF" w:rsidP="00EB12BF">
      <w:pPr>
        <w:pStyle w:val="609noindent"/>
        <w:jc w:val="left"/>
        <w:rPr>
          <w:sz w:val="22"/>
          <w:szCs w:val="22"/>
        </w:rPr>
      </w:pPr>
    </w:p>
    <w:p w:rsidR="00A9455B" w:rsidRPr="00CE6806" w:rsidRDefault="002A636A" w:rsidP="00EB12BF">
      <w:pPr>
        <w:pStyle w:val="609noindent"/>
        <w:jc w:val="left"/>
        <w:rPr>
          <w:b/>
          <w:sz w:val="22"/>
          <w:szCs w:val="22"/>
        </w:rPr>
      </w:pPr>
      <w:r w:rsidRPr="00CE6806">
        <w:rPr>
          <w:b/>
          <w:sz w:val="22"/>
          <w:szCs w:val="22"/>
        </w:rPr>
        <w:t>4</w:t>
      </w:r>
      <w:r w:rsidR="00A9455B" w:rsidRPr="00CE6806">
        <w:rPr>
          <w:b/>
          <w:sz w:val="22"/>
          <w:szCs w:val="22"/>
        </w:rPr>
        <w:t>.2</w:t>
      </w:r>
      <w:r w:rsidR="00A9455B" w:rsidRPr="00CE6806">
        <w:rPr>
          <w:b/>
          <w:sz w:val="22"/>
          <w:szCs w:val="22"/>
        </w:rPr>
        <w:tab/>
      </w:r>
      <w:r w:rsidR="00A9455B" w:rsidRPr="00CE6806">
        <w:rPr>
          <w:b/>
          <w:sz w:val="22"/>
          <w:szCs w:val="22"/>
          <w:u w:val="single"/>
        </w:rPr>
        <w:t>Failure to Comply</w:t>
      </w:r>
      <w:r w:rsidR="005717B9" w:rsidRPr="00CE6806">
        <w:rPr>
          <w:b/>
          <w:sz w:val="22"/>
          <w:szCs w:val="22"/>
          <w:u w:val="single"/>
        </w:rPr>
        <w:t xml:space="preserve"> (FTC)</w:t>
      </w:r>
    </w:p>
    <w:p w:rsidR="00CE7B08" w:rsidRPr="00CE6806" w:rsidRDefault="00CE7B08" w:rsidP="00EB12BF">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00CE7B08" w:rsidRPr="00CE6806" w:rsidRDefault="00CE7B08" w:rsidP="00EB12BF">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CE6806">
        <w:rPr>
          <w:rFonts w:cs="Arial"/>
          <w:sz w:val="22"/>
          <w:szCs w:val="22"/>
        </w:rPr>
        <w:t>4.2.1</w:t>
      </w:r>
      <w:r w:rsidRPr="00CE6806">
        <w:rPr>
          <w:rFonts w:cs="Arial"/>
          <w:sz w:val="22"/>
          <w:szCs w:val="22"/>
        </w:rPr>
        <w:tab/>
      </w:r>
      <w:r w:rsidRPr="00CE6806">
        <w:rPr>
          <w:rFonts w:cs="Arial"/>
          <w:sz w:val="22"/>
          <w:szCs w:val="22"/>
          <w:u w:val="single"/>
        </w:rPr>
        <w:t>Description</w:t>
      </w:r>
    </w:p>
    <w:p w:rsidR="00CE7B08" w:rsidRPr="00CE6806" w:rsidRDefault="00CE7B08" w:rsidP="00AA465E">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00803AF5" w:rsidRPr="00CE6806" w:rsidRDefault="000813CD" w:rsidP="00EB12BF">
      <w:pPr>
        <w:pStyle w:val="609noindent"/>
        <w:jc w:val="left"/>
        <w:rPr>
          <w:sz w:val="22"/>
          <w:szCs w:val="22"/>
        </w:rPr>
      </w:pPr>
      <w:r w:rsidRPr="00CE6806">
        <w:rPr>
          <w:sz w:val="22"/>
          <w:szCs w:val="22"/>
        </w:rPr>
        <w:t xml:space="preserve">A </w:t>
      </w:r>
      <w:r w:rsidR="00163D73" w:rsidRPr="00CE6806">
        <w:rPr>
          <w:caps/>
          <w:sz w:val="22"/>
          <w:szCs w:val="22"/>
        </w:rPr>
        <w:t>FTC</w:t>
      </w:r>
      <w:r w:rsidRPr="00CE6806">
        <w:rPr>
          <w:sz w:val="22"/>
          <w:szCs w:val="22"/>
        </w:rPr>
        <w:t xml:space="preserve"> occurs when a licensee’s EP program is noncompliant with a </w:t>
      </w:r>
      <w:r w:rsidRPr="00CE6806">
        <w:rPr>
          <w:caps/>
          <w:sz w:val="22"/>
          <w:szCs w:val="22"/>
        </w:rPr>
        <w:t>regulatory requirement</w:t>
      </w:r>
      <w:r w:rsidRPr="00CE6806">
        <w:rPr>
          <w:sz w:val="22"/>
          <w:szCs w:val="22"/>
        </w:rPr>
        <w:t xml:space="preserve"> where the cause was reasonably within the licensee</w:t>
      </w:r>
      <w:r w:rsidR="008344A8">
        <w:rPr>
          <w:sz w:val="22"/>
          <w:szCs w:val="22"/>
        </w:rPr>
        <w:t>’</w:t>
      </w:r>
      <w:r w:rsidRPr="00CE6806">
        <w:rPr>
          <w:sz w:val="22"/>
          <w:szCs w:val="22"/>
        </w:rPr>
        <w:t xml:space="preserve">s ability to foresee and correct, and which should have been prevented.  Such findings are associated with </w:t>
      </w:r>
      <w:r w:rsidRPr="007F06A5">
        <w:rPr>
          <w:iCs/>
          <w:sz w:val="22"/>
          <w:szCs w:val="22"/>
        </w:rPr>
        <w:t>preparedness</w:t>
      </w:r>
      <w:r w:rsidRPr="00CE6806">
        <w:rPr>
          <w:sz w:val="22"/>
          <w:szCs w:val="22"/>
        </w:rPr>
        <w:t xml:space="preserve"> issues rather than </w:t>
      </w:r>
      <w:r w:rsidRPr="007F06A5">
        <w:rPr>
          <w:iCs/>
          <w:sz w:val="22"/>
          <w:szCs w:val="22"/>
        </w:rPr>
        <w:t>response</w:t>
      </w:r>
      <w:r w:rsidRPr="00CE6806">
        <w:rPr>
          <w:sz w:val="22"/>
          <w:szCs w:val="22"/>
        </w:rPr>
        <w:t xml:space="preserve"> issues (i.e., </w:t>
      </w:r>
      <w:r w:rsidR="00163D73" w:rsidRPr="00CE6806">
        <w:rPr>
          <w:caps/>
          <w:sz w:val="22"/>
          <w:szCs w:val="22"/>
        </w:rPr>
        <w:t>FTI</w:t>
      </w:r>
      <w:r w:rsidRPr="00CE6806">
        <w:rPr>
          <w:sz w:val="22"/>
          <w:szCs w:val="22"/>
        </w:rPr>
        <w:t xml:space="preserve">).  </w:t>
      </w:r>
    </w:p>
    <w:p w:rsidR="00A9455B" w:rsidRPr="00CE6806" w:rsidRDefault="00A9455B" w:rsidP="00EB12BF">
      <w:pPr>
        <w:pStyle w:val="609noindent"/>
        <w:jc w:val="left"/>
        <w:rPr>
          <w:sz w:val="22"/>
          <w:szCs w:val="22"/>
        </w:rPr>
      </w:pPr>
    </w:p>
    <w:p w:rsidR="002C32EF" w:rsidRPr="00CE6806" w:rsidRDefault="004C382F" w:rsidP="00EB12BF">
      <w:pPr>
        <w:pStyle w:val="609noindent"/>
        <w:jc w:val="left"/>
        <w:rPr>
          <w:sz w:val="22"/>
          <w:szCs w:val="22"/>
        </w:rPr>
      </w:pPr>
      <w:r w:rsidRPr="00CE6806">
        <w:rPr>
          <w:sz w:val="22"/>
          <w:szCs w:val="22"/>
        </w:rPr>
        <w:t xml:space="preserve">A </w:t>
      </w:r>
      <w:r w:rsidR="00163D73" w:rsidRPr="00CE6806">
        <w:rPr>
          <w:caps/>
          <w:sz w:val="22"/>
          <w:szCs w:val="22"/>
        </w:rPr>
        <w:t>FTC</w:t>
      </w:r>
      <w:r w:rsidRPr="00CE6806">
        <w:rPr>
          <w:sz w:val="22"/>
          <w:szCs w:val="22"/>
        </w:rPr>
        <w:t xml:space="preserve"> denotes that </w:t>
      </w:r>
      <w:r w:rsidR="00CF6A61" w:rsidRPr="00CE6806">
        <w:rPr>
          <w:sz w:val="22"/>
          <w:szCs w:val="22"/>
        </w:rPr>
        <w:t xml:space="preserve">a </w:t>
      </w:r>
      <w:r w:rsidR="00163D73" w:rsidRPr="00CE6806">
        <w:rPr>
          <w:caps/>
          <w:sz w:val="22"/>
          <w:szCs w:val="22"/>
        </w:rPr>
        <w:t>PE</w:t>
      </w:r>
      <w:r w:rsidRPr="00CE6806">
        <w:rPr>
          <w:sz w:val="22"/>
          <w:szCs w:val="22"/>
        </w:rPr>
        <w:t xml:space="preserve"> </w:t>
      </w:r>
      <w:r w:rsidR="00CF6A61" w:rsidRPr="00CE6806">
        <w:rPr>
          <w:sz w:val="22"/>
          <w:szCs w:val="22"/>
        </w:rPr>
        <w:t>is</w:t>
      </w:r>
      <w:r w:rsidRPr="00CE6806">
        <w:rPr>
          <w:sz w:val="22"/>
          <w:szCs w:val="22"/>
        </w:rPr>
        <w:t xml:space="preserve"> not adequate, not compliant with the </w:t>
      </w:r>
      <w:r w:rsidR="00163D73" w:rsidRPr="00CE6806">
        <w:rPr>
          <w:caps/>
          <w:sz w:val="22"/>
          <w:szCs w:val="22"/>
        </w:rPr>
        <w:t>PS</w:t>
      </w:r>
      <w:r w:rsidRPr="00CE6806">
        <w:rPr>
          <w:sz w:val="22"/>
          <w:szCs w:val="22"/>
        </w:rPr>
        <w:t xml:space="preserve">, or otherwise not functional to such an extent that the </w:t>
      </w:r>
      <w:r w:rsidR="00163D73" w:rsidRPr="00CE6806">
        <w:rPr>
          <w:caps/>
          <w:sz w:val="22"/>
          <w:szCs w:val="22"/>
        </w:rPr>
        <w:t>PS</w:t>
      </w:r>
      <w:r w:rsidR="00A26FA3" w:rsidRPr="00CE6806">
        <w:rPr>
          <w:sz w:val="22"/>
          <w:szCs w:val="22"/>
        </w:rPr>
        <w:t xml:space="preserve"> </w:t>
      </w:r>
      <w:r w:rsidRPr="00CE6806">
        <w:rPr>
          <w:sz w:val="22"/>
          <w:szCs w:val="22"/>
        </w:rPr>
        <w:t xml:space="preserve">is not available for emergency response.  It may be that certain emergency plan commitments are not met; the emergency plan is less than adequate; implementing procedures are not effective; personnel are not capable of implementing the </w:t>
      </w:r>
      <w:r w:rsidR="00163D73" w:rsidRPr="00CE6806">
        <w:rPr>
          <w:caps/>
          <w:sz w:val="22"/>
          <w:szCs w:val="22"/>
        </w:rPr>
        <w:t>PE</w:t>
      </w:r>
      <w:r w:rsidRPr="00CE6806">
        <w:rPr>
          <w:sz w:val="22"/>
          <w:szCs w:val="22"/>
        </w:rPr>
        <w:t xml:space="preserve">; or the EP program design is not fully adequate.  If the deficient </w:t>
      </w:r>
      <w:r w:rsidR="00163D73" w:rsidRPr="00CE6806">
        <w:rPr>
          <w:caps/>
          <w:sz w:val="22"/>
          <w:szCs w:val="22"/>
        </w:rPr>
        <w:t>PE</w:t>
      </w:r>
      <w:r w:rsidR="00CF6A61" w:rsidRPr="00CE6806">
        <w:rPr>
          <w:sz w:val="22"/>
          <w:szCs w:val="22"/>
        </w:rPr>
        <w:t xml:space="preserve"> was implemented</w:t>
      </w:r>
      <w:r w:rsidR="00020822">
        <w:rPr>
          <w:sz w:val="22"/>
          <w:szCs w:val="22"/>
        </w:rPr>
        <w:t>,</w:t>
      </w:r>
      <w:r w:rsidR="002C32EF" w:rsidRPr="00CE6806">
        <w:rPr>
          <w:sz w:val="22"/>
          <w:szCs w:val="22"/>
        </w:rPr>
        <w:t xml:space="preserve"> or </w:t>
      </w:r>
      <w:r w:rsidR="00CF6A61" w:rsidRPr="00CE6806">
        <w:rPr>
          <w:sz w:val="22"/>
          <w:szCs w:val="22"/>
        </w:rPr>
        <w:t xml:space="preserve">could </w:t>
      </w:r>
      <w:r w:rsidR="002C32EF" w:rsidRPr="00CE6806">
        <w:rPr>
          <w:sz w:val="22"/>
          <w:szCs w:val="22"/>
        </w:rPr>
        <w:t xml:space="preserve">not be implemented by the ERO, the </w:t>
      </w:r>
      <w:r w:rsidR="00163D73" w:rsidRPr="00CE6806">
        <w:rPr>
          <w:caps/>
          <w:sz w:val="22"/>
          <w:szCs w:val="22"/>
        </w:rPr>
        <w:t>PS</w:t>
      </w:r>
      <w:r w:rsidR="002C32EF" w:rsidRPr="00CE6806">
        <w:rPr>
          <w:caps/>
          <w:sz w:val="22"/>
          <w:szCs w:val="22"/>
        </w:rPr>
        <w:t xml:space="preserve"> function</w:t>
      </w:r>
      <w:r w:rsidR="002C32EF" w:rsidRPr="00CE6806">
        <w:rPr>
          <w:sz w:val="22"/>
          <w:szCs w:val="22"/>
        </w:rPr>
        <w:t xml:space="preserve"> would not be met.  Such </w:t>
      </w:r>
      <w:r w:rsidR="002A636A" w:rsidRPr="00CE6806">
        <w:rPr>
          <w:sz w:val="22"/>
          <w:szCs w:val="22"/>
        </w:rPr>
        <w:t>finding</w:t>
      </w:r>
      <w:r w:rsidR="002D25C4" w:rsidRPr="00CE6806">
        <w:rPr>
          <w:sz w:val="22"/>
          <w:szCs w:val="22"/>
        </w:rPr>
        <w:t>s</w:t>
      </w:r>
      <w:r w:rsidR="002C32EF" w:rsidRPr="00CE6806">
        <w:rPr>
          <w:sz w:val="22"/>
          <w:szCs w:val="22"/>
        </w:rPr>
        <w:t xml:space="preserve"> are generally identified during normal program inspection activities</w:t>
      </w:r>
      <w:r w:rsidR="003F7B2B" w:rsidRPr="00CE6806">
        <w:rPr>
          <w:sz w:val="22"/>
          <w:szCs w:val="22"/>
        </w:rPr>
        <w:t xml:space="preserve">.  </w:t>
      </w:r>
      <w:r w:rsidR="00A26FA3" w:rsidRPr="00CE6806">
        <w:rPr>
          <w:sz w:val="22"/>
          <w:szCs w:val="22"/>
        </w:rPr>
        <w:t>The EP SDP provides the follow</w:t>
      </w:r>
      <w:r w:rsidR="002C32EF" w:rsidRPr="00CE6806">
        <w:rPr>
          <w:sz w:val="22"/>
          <w:szCs w:val="22"/>
        </w:rPr>
        <w:t>ing considerations</w:t>
      </w:r>
      <w:r w:rsidR="00AF2051" w:rsidRPr="00CE6806">
        <w:rPr>
          <w:sz w:val="22"/>
          <w:szCs w:val="22"/>
        </w:rPr>
        <w:t>:</w:t>
      </w:r>
    </w:p>
    <w:p w:rsidR="002C32EF" w:rsidRPr="00CE6806" w:rsidRDefault="002C32EF" w:rsidP="00EB12BF">
      <w:pPr>
        <w:pStyle w:val="609noindent"/>
        <w:jc w:val="left"/>
        <w:rPr>
          <w:sz w:val="22"/>
          <w:szCs w:val="22"/>
        </w:rPr>
      </w:pPr>
    </w:p>
    <w:p w:rsidR="002C32EF" w:rsidRPr="00CE6806" w:rsidRDefault="00AF2051" w:rsidP="00EB12BF">
      <w:pPr>
        <w:pStyle w:val="609noindent"/>
        <w:numPr>
          <w:ilvl w:val="0"/>
          <w:numId w:val="7"/>
        </w:numPr>
        <w:jc w:val="left"/>
        <w:rPr>
          <w:sz w:val="22"/>
          <w:szCs w:val="22"/>
        </w:rPr>
      </w:pPr>
      <w:r w:rsidRPr="00CE6806">
        <w:rPr>
          <w:sz w:val="22"/>
          <w:szCs w:val="22"/>
        </w:rPr>
        <w:t xml:space="preserve">A single noncompliant </w:t>
      </w:r>
      <w:r w:rsidR="00163D73" w:rsidRPr="00CE6806">
        <w:rPr>
          <w:caps/>
          <w:sz w:val="22"/>
          <w:szCs w:val="22"/>
        </w:rPr>
        <w:t>PE</w:t>
      </w:r>
      <w:r w:rsidRPr="00CE6806">
        <w:rPr>
          <w:sz w:val="22"/>
          <w:szCs w:val="22"/>
        </w:rPr>
        <w:t xml:space="preserve"> does not necessarily mean that the associated </w:t>
      </w:r>
      <w:r w:rsidR="00163D73" w:rsidRPr="00CE6806">
        <w:rPr>
          <w:caps/>
          <w:sz w:val="22"/>
          <w:szCs w:val="22"/>
        </w:rPr>
        <w:t>PS</w:t>
      </w:r>
      <w:r w:rsidRPr="00CE6806">
        <w:rPr>
          <w:caps/>
          <w:sz w:val="22"/>
          <w:szCs w:val="22"/>
        </w:rPr>
        <w:t xml:space="preserve"> function(s)</w:t>
      </w:r>
      <w:r w:rsidRPr="00CE6806">
        <w:rPr>
          <w:sz w:val="22"/>
          <w:szCs w:val="22"/>
        </w:rPr>
        <w:t xml:space="preserve"> could not be accomplished.  </w:t>
      </w:r>
    </w:p>
    <w:p w:rsidR="002C32EF" w:rsidRPr="00CE6806" w:rsidRDefault="002C32EF" w:rsidP="00EB12BF">
      <w:pPr>
        <w:pStyle w:val="609noindent"/>
        <w:jc w:val="left"/>
        <w:rPr>
          <w:sz w:val="22"/>
          <w:szCs w:val="22"/>
        </w:rPr>
      </w:pPr>
    </w:p>
    <w:p w:rsidR="00AF2051" w:rsidRPr="00CE6806" w:rsidRDefault="00AF2051" w:rsidP="00EB12BF">
      <w:pPr>
        <w:pStyle w:val="609noindent"/>
        <w:numPr>
          <w:ilvl w:val="0"/>
          <w:numId w:val="5"/>
        </w:numPr>
        <w:jc w:val="left"/>
        <w:rPr>
          <w:sz w:val="22"/>
          <w:szCs w:val="22"/>
        </w:rPr>
      </w:pPr>
      <w:r w:rsidRPr="00CE6806">
        <w:rPr>
          <w:sz w:val="22"/>
          <w:szCs w:val="22"/>
        </w:rPr>
        <w:t xml:space="preserve">A </w:t>
      </w:r>
      <w:r w:rsidR="00163D73" w:rsidRPr="00CE6806">
        <w:rPr>
          <w:caps/>
          <w:sz w:val="22"/>
          <w:szCs w:val="22"/>
        </w:rPr>
        <w:t>FTI</w:t>
      </w:r>
      <w:r w:rsidRPr="00CE6806">
        <w:rPr>
          <w:sz w:val="22"/>
          <w:szCs w:val="22"/>
        </w:rPr>
        <w:t xml:space="preserve"> may uncover performance deficiencies in the licensee’s emergency program (e.g., the emergency plan is less than adequate, the EP program design is not fully adequate, or, ERO personnel are not capable of implementing the plan).  The EP SDP requires that such findings be evaluated as a </w:t>
      </w:r>
      <w:r w:rsidR="00163D73" w:rsidRPr="00CE6806">
        <w:rPr>
          <w:caps/>
          <w:sz w:val="22"/>
          <w:szCs w:val="22"/>
        </w:rPr>
        <w:t>FTC</w:t>
      </w:r>
      <w:r w:rsidRPr="00CE6806">
        <w:rPr>
          <w:sz w:val="22"/>
          <w:szCs w:val="22"/>
        </w:rPr>
        <w:t xml:space="preserve"> and as a </w:t>
      </w:r>
      <w:r w:rsidR="00163D73" w:rsidRPr="00CE6806">
        <w:rPr>
          <w:caps/>
          <w:sz w:val="22"/>
          <w:szCs w:val="22"/>
        </w:rPr>
        <w:t>FT</w:t>
      </w:r>
      <w:r w:rsidR="00CF6A61" w:rsidRPr="00CE6806">
        <w:rPr>
          <w:caps/>
          <w:sz w:val="22"/>
          <w:szCs w:val="22"/>
        </w:rPr>
        <w:t>I</w:t>
      </w:r>
      <w:r w:rsidRPr="00CE6806">
        <w:rPr>
          <w:sz w:val="22"/>
          <w:szCs w:val="22"/>
        </w:rPr>
        <w:t xml:space="preserve"> with the </w:t>
      </w:r>
      <w:r w:rsidR="00163D73" w:rsidRPr="00CE6806">
        <w:rPr>
          <w:sz w:val="22"/>
          <w:szCs w:val="22"/>
        </w:rPr>
        <w:t xml:space="preserve">finding </w:t>
      </w:r>
      <w:r w:rsidR="002D25C4" w:rsidRPr="00CE6806">
        <w:rPr>
          <w:sz w:val="22"/>
          <w:szCs w:val="22"/>
        </w:rPr>
        <w:t>having</w:t>
      </w:r>
      <w:r w:rsidR="00163D73" w:rsidRPr="00CE6806">
        <w:rPr>
          <w:sz w:val="22"/>
          <w:szCs w:val="22"/>
        </w:rPr>
        <w:t xml:space="preserve"> the </w:t>
      </w:r>
      <w:r w:rsidRPr="00CE6806">
        <w:rPr>
          <w:sz w:val="22"/>
          <w:szCs w:val="22"/>
        </w:rPr>
        <w:t xml:space="preserve">higher significance </w:t>
      </w:r>
      <w:r w:rsidR="00163D73" w:rsidRPr="00CE6806">
        <w:rPr>
          <w:sz w:val="22"/>
          <w:szCs w:val="22"/>
        </w:rPr>
        <w:t>cited</w:t>
      </w:r>
      <w:r w:rsidRPr="00CE6806">
        <w:rPr>
          <w:sz w:val="22"/>
          <w:szCs w:val="22"/>
        </w:rPr>
        <w:t>.</w:t>
      </w:r>
    </w:p>
    <w:p w:rsidR="001D6659" w:rsidRPr="00CE6806" w:rsidRDefault="001D6659" w:rsidP="00EB12BF">
      <w:pPr>
        <w:pStyle w:val="609noindent"/>
        <w:jc w:val="left"/>
        <w:rPr>
          <w:sz w:val="22"/>
          <w:szCs w:val="22"/>
        </w:rPr>
      </w:pPr>
    </w:p>
    <w:p w:rsidR="000813CD" w:rsidRPr="00CE6806" w:rsidRDefault="000813CD" w:rsidP="00EB12BF">
      <w:pPr>
        <w:pStyle w:val="609noindent"/>
        <w:numPr>
          <w:ilvl w:val="0"/>
          <w:numId w:val="5"/>
        </w:numPr>
        <w:jc w:val="left"/>
        <w:rPr>
          <w:sz w:val="22"/>
          <w:szCs w:val="22"/>
        </w:rPr>
      </w:pPr>
      <w:r w:rsidRPr="00CE6806">
        <w:rPr>
          <w:sz w:val="22"/>
          <w:szCs w:val="22"/>
        </w:rPr>
        <w:t xml:space="preserve">A single noncompliant </w:t>
      </w:r>
      <w:r w:rsidR="00163D73" w:rsidRPr="00CE6806">
        <w:rPr>
          <w:caps/>
          <w:sz w:val="22"/>
          <w:szCs w:val="22"/>
        </w:rPr>
        <w:t>PE</w:t>
      </w:r>
      <w:r w:rsidRPr="00CE6806">
        <w:rPr>
          <w:sz w:val="22"/>
          <w:szCs w:val="22"/>
        </w:rPr>
        <w:t xml:space="preserve"> ma</w:t>
      </w:r>
      <w:r w:rsidR="001D6659" w:rsidRPr="00CE6806">
        <w:rPr>
          <w:sz w:val="22"/>
          <w:szCs w:val="22"/>
        </w:rPr>
        <w:t xml:space="preserve">y affect more than one </w:t>
      </w:r>
      <w:r w:rsidR="00163D73" w:rsidRPr="00CE6806">
        <w:rPr>
          <w:caps/>
          <w:sz w:val="22"/>
          <w:szCs w:val="22"/>
        </w:rPr>
        <w:t>PS</w:t>
      </w:r>
      <w:r w:rsidR="001D6659" w:rsidRPr="00CE6806">
        <w:rPr>
          <w:caps/>
          <w:sz w:val="22"/>
          <w:szCs w:val="22"/>
        </w:rPr>
        <w:t xml:space="preserve"> function</w:t>
      </w:r>
      <w:r w:rsidR="001D6659" w:rsidRPr="00CE6806">
        <w:rPr>
          <w:sz w:val="22"/>
          <w:szCs w:val="22"/>
        </w:rPr>
        <w:t xml:space="preserve">.  For example, inadequate ERO staffing (non </w:t>
      </w:r>
      <w:r w:rsidR="00163D73" w:rsidRPr="00CE6806">
        <w:rPr>
          <w:caps/>
          <w:sz w:val="22"/>
          <w:szCs w:val="22"/>
        </w:rPr>
        <w:t>RSPS</w:t>
      </w:r>
      <w:r w:rsidR="001D6659" w:rsidRPr="00CE6806">
        <w:rPr>
          <w:sz w:val="22"/>
          <w:szCs w:val="22"/>
        </w:rPr>
        <w:t xml:space="preserve"> 10 CFR 50.47(b</w:t>
      </w:r>
      <w:proofErr w:type="gramStart"/>
      <w:r w:rsidR="001D6659" w:rsidRPr="00CE6806">
        <w:rPr>
          <w:sz w:val="22"/>
          <w:szCs w:val="22"/>
        </w:rPr>
        <w:t>)(</w:t>
      </w:r>
      <w:proofErr w:type="gramEnd"/>
      <w:r w:rsidR="001D6659" w:rsidRPr="00CE6806">
        <w:rPr>
          <w:sz w:val="22"/>
          <w:szCs w:val="22"/>
        </w:rPr>
        <w:t xml:space="preserve">2)) may </w:t>
      </w:r>
      <w:r w:rsidR="003F7B2B" w:rsidRPr="00CE6806">
        <w:rPr>
          <w:sz w:val="22"/>
          <w:szCs w:val="22"/>
        </w:rPr>
        <w:t>affect</w:t>
      </w:r>
      <w:r w:rsidR="001D6659" w:rsidRPr="00CE6806">
        <w:rPr>
          <w:sz w:val="22"/>
          <w:szCs w:val="22"/>
        </w:rPr>
        <w:t xml:space="preserve"> one or more </w:t>
      </w:r>
      <w:r w:rsidR="00163D73" w:rsidRPr="00CE6806">
        <w:rPr>
          <w:caps/>
          <w:sz w:val="22"/>
          <w:szCs w:val="22"/>
        </w:rPr>
        <w:t>RSPS</w:t>
      </w:r>
      <w:r w:rsidR="001D6659" w:rsidRPr="00CE6806">
        <w:rPr>
          <w:sz w:val="22"/>
          <w:szCs w:val="22"/>
        </w:rPr>
        <w:t xml:space="preserve">. </w:t>
      </w:r>
    </w:p>
    <w:p w:rsidR="006822D3" w:rsidRPr="00CE6806" w:rsidRDefault="006822D3" w:rsidP="00EB12BF">
      <w:pPr>
        <w:pStyle w:val="ListParagraph"/>
        <w:rPr>
          <w:rFonts w:cs="Arial"/>
          <w:sz w:val="22"/>
          <w:szCs w:val="22"/>
        </w:rPr>
      </w:pPr>
    </w:p>
    <w:p w:rsidR="000C1375" w:rsidRPr="00CE6806" w:rsidRDefault="006822D3" w:rsidP="00EB12BF">
      <w:pPr>
        <w:pStyle w:val="609noindent"/>
        <w:numPr>
          <w:ilvl w:val="0"/>
          <w:numId w:val="5"/>
        </w:numPr>
        <w:jc w:val="left"/>
        <w:rPr>
          <w:sz w:val="22"/>
          <w:szCs w:val="22"/>
        </w:rPr>
      </w:pPr>
      <w:r w:rsidRPr="00CE6806">
        <w:rPr>
          <w:sz w:val="22"/>
          <w:szCs w:val="22"/>
        </w:rPr>
        <w:t xml:space="preserve">There are specific requirements for the licensee to maintain a </w:t>
      </w:r>
      <w:r w:rsidRPr="007F06A5">
        <w:rPr>
          <w:sz w:val="22"/>
          <w:szCs w:val="22"/>
        </w:rPr>
        <w:t>capability</w:t>
      </w:r>
      <w:r w:rsidRPr="00CE6806">
        <w:rPr>
          <w:sz w:val="22"/>
          <w:szCs w:val="22"/>
        </w:rPr>
        <w:t xml:space="preserve"> to make classifications, notifications, and PARs, within certain time criteria, as a matter of preparedness.  </w:t>
      </w:r>
      <w:r w:rsidR="007F06A5">
        <w:rPr>
          <w:sz w:val="22"/>
          <w:szCs w:val="22"/>
        </w:rPr>
        <w:t>T</w:t>
      </w:r>
      <w:r w:rsidR="000C1375" w:rsidRPr="00CE6806">
        <w:rPr>
          <w:sz w:val="22"/>
          <w:szCs w:val="22"/>
        </w:rPr>
        <w:t xml:space="preserve">he licensee is expected to demonstrate these capabilities in exercise and program inspections.  Generally, if the licensee’s procedures, staffing, equipment, etc., do not provide the requisite capabilities, a </w:t>
      </w:r>
      <w:r w:rsidR="00163D73" w:rsidRPr="00CE6806">
        <w:rPr>
          <w:sz w:val="22"/>
          <w:szCs w:val="22"/>
        </w:rPr>
        <w:t>performance deficiency</w:t>
      </w:r>
      <w:r w:rsidR="000C1375" w:rsidRPr="00CE6806">
        <w:rPr>
          <w:sz w:val="22"/>
          <w:szCs w:val="22"/>
        </w:rPr>
        <w:t xml:space="preserve"> exists </w:t>
      </w:r>
      <w:r w:rsidR="00E82483" w:rsidRPr="00CE6806">
        <w:rPr>
          <w:sz w:val="22"/>
          <w:szCs w:val="22"/>
        </w:rPr>
        <w:t>because</w:t>
      </w:r>
      <w:r w:rsidR="000C1375" w:rsidRPr="00CE6806">
        <w:rPr>
          <w:sz w:val="22"/>
          <w:szCs w:val="22"/>
        </w:rPr>
        <w:t xml:space="preserve"> the licensee </w:t>
      </w:r>
      <w:r w:rsidR="004D2465" w:rsidRPr="00CE6806">
        <w:rPr>
          <w:sz w:val="22"/>
          <w:szCs w:val="22"/>
        </w:rPr>
        <w:t>had the ability to foresee and correct the condition.</w:t>
      </w:r>
    </w:p>
    <w:p w:rsidR="006822D3" w:rsidRPr="00CE6806" w:rsidRDefault="006822D3" w:rsidP="00EB12BF">
      <w:pPr>
        <w:pStyle w:val="609noindent"/>
        <w:jc w:val="left"/>
        <w:rPr>
          <w:sz w:val="22"/>
          <w:szCs w:val="22"/>
        </w:rPr>
      </w:pPr>
    </w:p>
    <w:p w:rsidR="006822D3" w:rsidRPr="00CE6806" w:rsidRDefault="006822D3" w:rsidP="00EB12BF">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u w:val="single"/>
        </w:rPr>
      </w:pPr>
      <w:r w:rsidRPr="00CE6806">
        <w:rPr>
          <w:rFonts w:cs="Arial"/>
          <w:sz w:val="22"/>
          <w:szCs w:val="22"/>
        </w:rPr>
        <w:t>4.2.2</w:t>
      </w:r>
      <w:r w:rsidRPr="00CE6806">
        <w:rPr>
          <w:rFonts w:cs="Arial"/>
          <w:sz w:val="22"/>
          <w:szCs w:val="22"/>
        </w:rPr>
        <w:tab/>
      </w:r>
      <w:r w:rsidR="005E43B9" w:rsidRPr="00CE6806">
        <w:rPr>
          <w:rFonts w:cs="Arial"/>
          <w:sz w:val="22"/>
          <w:szCs w:val="22"/>
          <w:u w:val="single"/>
        </w:rPr>
        <w:t xml:space="preserve">General </w:t>
      </w:r>
      <w:r w:rsidRPr="00CE6806">
        <w:rPr>
          <w:rFonts w:cs="Arial"/>
          <w:sz w:val="22"/>
          <w:szCs w:val="22"/>
          <w:u w:val="single"/>
        </w:rPr>
        <w:t>Significance Determination</w:t>
      </w:r>
    </w:p>
    <w:p w:rsidR="005E43B9" w:rsidRPr="00CE6806" w:rsidRDefault="005E43B9" w:rsidP="00EB12BF">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u w:val="single"/>
        </w:rPr>
      </w:pPr>
    </w:p>
    <w:p w:rsidR="00BA5AA8" w:rsidRPr="00CE6806" w:rsidRDefault="00BA5AA8" w:rsidP="00EB12BF">
      <w:pPr>
        <w:pStyle w:val="609noindent"/>
        <w:jc w:val="left"/>
        <w:rPr>
          <w:sz w:val="22"/>
          <w:szCs w:val="22"/>
        </w:rPr>
      </w:pPr>
      <w:r w:rsidRPr="00CE6806">
        <w:rPr>
          <w:sz w:val="22"/>
          <w:szCs w:val="22"/>
        </w:rPr>
        <w:t xml:space="preserve">Generally, </w:t>
      </w:r>
      <w:r w:rsidR="00E82483" w:rsidRPr="00CE6806">
        <w:rPr>
          <w:sz w:val="22"/>
          <w:szCs w:val="22"/>
        </w:rPr>
        <w:t>a finding</w:t>
      </w:r>
      <w:r w:rsidRPr="00CE6806">
        <w:rPr>
          <w:sz w:val="22"/>
          <w:szCs w:val="22"/>
        </w:rPr>
        <w:t xml:space="preserve"> associated with </w:t>
      </w:r>
      <w:r w:rsidR="007F06A5">
        <w:rPr>
          <w:sz w:val="22"/>
          <w:szCs w:val="22"/>
        </w:rPr>
        <w:t xml:space="preserve">a </w:t>
      </w:r>
      <w:r w:rsidR="00163D73" w:rsidRPr="00CE6806">
        <w:rPr>
          <w:caps/>
          <w:sz w:val="22"/>
          <w:szCs w:val="22"/>
        </w:rPr>
        <w:t>FTC</w:t>
      </w:r>
      <w:r w:rsidRPr="00CE6806">
        <w:rPr>
          <w:sz w:val="22"/>
          <w:szCs w:val="22"/>
        </w:rPr>
        <w:t xml:space="preserve"> </w:t>
      </w:r>
      <w:r w:rsidR="00E82483" w:rsidRPr="00CE6806">
        <w:rPr>
          <w:sz w:val="22"/>
          <w:szCs w:val="22"/>
        </w:rPr>
        <w:t>is</w:t>
      </w:r>
      <w:r w:rsidRPr="00CE6806">
        <w:rPr>
          <w:sz w:val="22"/>
          <w:szCs w:val="22"/>
        </w:rPr>
        <w:t xml:space="preserve"> assigned lesser significance than th</w:t>
      </w:r>
      <w:r w:rsidR="00E82483" w:rsidRPr="00CE6806">
        <w:rPr>
          <w:sz w:val="22"/>
          <w:szCs w:val="22"/>
        </w:rPr>
        <w:t>at</w:t>
      </w:r>
      <w:r w:rsidRPr="00CE6806">
        <w:rPr>
          <w:sz w:val="22"/>
          <w:szCs w:val="22"/>
        </w:rPr>
        <w:t xml:space="preserve"> associated with </w:t>
      </w:r>
      <w:r w:rsidR="007F06A5">
        <w:rPr>
          <w:sz w:val="22"/>
          <w:szCs w:val="22"/>
        </w:rPr>
        <w:t xml:space="preserve">a </w:t>
      </w:r>
      <w:r w:rsidR="00163D73" w:rsidRPr="00CE6806">
        <w:rPr>
          <w:caps/>
          <w:sz w:val="22"/>
          <w:szCs w:val="22"/>
        </w:rPr>
        <w:t>FTI</w:t>
      </w:r>
      <w:r w:rsidRPr="00CE6806">
        <w:rPr>
          <w:sz w:val="22"/>
          <w:szCs w:val="22"/>
        </w:rPr>
        <w:t xml:space="preserve">, </w:t>
      </w:r>
      <w:r w:rsidR="005C224D" w:rsidRPr="00CE6806">
        <w:rPr>
          <w:sz w:val="22"/>
          <w:szCs w:val="22"/>
        </w:rPr>
        <w:t>because</w:t>
      </w:r>
      <w:r w:rsidRPr="00CE6806">
        <w:rPr>
          <w:sz w:val="22"/>
          <w:szCs w:val="22"/>
        </w:rPr>
        <w:t xml:space="preserve"> </w:t>
      </w:r>
      <w:r w:rsidR="00E82483" w:rsidRPr="00CE6806">
        <w:rPr>
          <w:sz w:val="22"/>
          <w:szCs w:val="22"/>
        </w:rPr>
        <w:t xml:space="preserve">a </w:t>
      </w:r>
      <w:r w:rsidR="00020822">
        <w:rPr>
          <w:sz w:val="22"/>
          <w:szCs w:val="22"/>
        </w:rPr>
        <w:t xml:space="preserve">FTC </w:t>
      </w:r>
      <w:r w:rsidRPr="00CE6806">
        <w:rPr>
          <w:sz w:val="22"/>
          <w:szCs w:val="22"/>
        </w:rPr>
        <w:t>f</w:t>
      </w:r>
      <w:r w:rsidR="00E82483" w:rsidRPr="00CE6806">
        <w:rPr>
          <w:sz w:val="22"/>
          <w:szCs w:val="22"/>
        </w:rPr>
        <w:t>inding</w:t>
      </w:r>
      <w:r w:rsidRPr="00CE6806">
        <w:rPr>
          <w:sz w:val="22"/>
          <w:szCs w:val="22"/>
        </w:rPr>
        <w:t xml:space="preserve"> identified during routine oversight activities </w:t>
      </w:r>
      <w:r w:rsidR="00E82483" w:rsidRPr="00CE6806">
        <w:rPr>
          <w:sz w:val="22"/>
          <w:szCs w:val="22"/>
        </w:rPr>
        <w:t>has</w:t>
      </w:r>
      <w:r w:rsidRPr="00CE6806">
        <w:rPr>
          <w:sz w:val="22"/>
          <w:szCs w:val="22"/>
        </w:rPr>
        <w:t xml:space="preserve"> </w:t>
      </w:r>
      <w:r w:rsidR="00020822">
        <w:rPr>
          <w:sz w:val="22"/>
          <w:szCs w:val="22"/>
        </w:rPr>
        <w:t xml:space="preserve">only </w:t>
      </w:r>
      <w:r w:rsidR="00E82483" w:rsidRPr="00CE6806">
        <w:rPr>
          <w:sz w:val="22"/>
          <w:szCs w:val="22"/>
        </w:rPr>
        <w:t>a prospective</w:t>
      </w:r>
      <w:r w:rsidRPr="00CE6806">
        <w:rPr>
          <w:sz w:val="22"/>
          <w:szCs w:val="22"/>
        </w:rPr>
        <w:t xml:space="preserve"> impact on public health and safety.  The minimum significance level of a </w:t>
      </w:r>
      <w:r w:rsidR="00163D73" w:rsidRPr="00CE6806">
        <w:rPr>
          <w:caps/>
          <w:sz w:val="22"/>
          <w:szCs w:val="22"/>
        </w:rPr>
        <w:t>FTC</w:t>
      </w:r>
      <w:r w:rsidRPr="00CE6806">
        <w:rPr>
          <w:sz w:val="22"/>
          <w:szCs w:val="22"/>
        </w:rPr>
        <w:t xml:space="preserve"> is Green; the maximum is Yellow.  </w:t>
      </w:r>
    </w:p>
    <w:p w:rsidR="00FC3748" w:rsidRPr="00CE6806" w:rsidRDefault="005E43B9" w:rsidP="00EB12BF">
      <w:pPr>
        <w:pStyle w:val="609noindent"/>
        <w:jc w:val="left"/>
        <w:rPr>
          <w:sz w:val="22"/>
          <w:szCs w:val="22"/>
        </w:rPr>
      </w:pPr>
      <w:r w:rsidRPr="00CE6806">
        <w:rPr>
          <w:sz w:val="22"/>
          <w:szCs w:val="22"/>
        </w:rPr>
        <w:t xml:space="preserve">The significance of a </w:t>
      </w:r>
      <w:r w:rsidR="00163D73" w:rsidRPr="00CE6806">
        <w:rPr>
          <w:caps/>
          <w:sz w:val="22"/>
          <w:szCs w:val="22"/>
        </w:rPr>
        <w:t>FTC</w:t>
      </w:r>
      <w:r w:rsidRPr="00CE6806">
        <w:rPr>
          <w:sz w:val="22"/>
          <w:szCs w:val="22"/>
        </w:rPr>
        <w:t xml:space="preserve"> is based on whether a </w:t>
      </w:r>
      <w:r w:rsidR="00163D73" w:rsidRPr="00CE6806">
        <w:rPr>
          <w:caps/>
          <w:sz w:val="22"/>
          <w:szCs w:val="22"/>
        </w:rPr>
        <w:t>RSPS</w:t>
      </w:r>
      <w:r w:rsidRPr="00CE6806">
        <w:rPr>
          <w:sz w:val="22"/>
          <w:szCs w:val="22"/>
        </w:rPr>
        <w:t xml:space="preserve"> was involved and whether the </w:t>
      </w:r>
      <w:r w:rsidR="00163D73" w:rsidRPr="00CE6806">
        <w:rPr>
          <w:caps/>
          <w:sz w:val="22"/>
          <w:szCs w:val="22"/>
        </w:rPr>
        <w:t>FTC</w:t>
      </w:r>
      <w:r w:rsidRPr="00CE6806">
        <w:rPr>
          <w:sz w:val="22"/>
          <w:szCs w:val="22"/>
        </w:rPr>
        <w:t xml:space="preserve"> constituted a loss of the licensee’s ability </w:t>
      </w:r>
      <w:r w:rsidR="00FC3748" w:rsidRPr="00CE6806">
        <w:rPr>
          <w:sz w:val="22"/>
          <w:szCs w:val="22"/>
        </w:rPr>
        <w:t>to</w:t>
      </w:r>
      <w:r w:rsidRPr="00CE6806">
        <w:rPr>
          <w:sz w:val="22"/>
          <w:szCs w:val="22"/>
        </w:rPr>
        <w:t xml:space="preserve"> implement a </w:t>
      </w:r>
      <w:r w:rsidR="00163D73" w:rsidRPr="00CE6806">
        <w:rPr>
          <w:caps/>
          <w:sz w:val="22"/>
          <w:szCs w:val="22"/>
        </w:rPr>
        <w:t>PS</w:t>
      </w:r>
      <w:r w:rsidRPr="00CE6806">
        <w:rPr>
          <w:caps/>
          <w:sz w:val="22"/>
          <w:szCs w:val="22"/>
        </w:rPr>
        <w:t xml:space="preserve"> function</w:t>
      </w:r>
      <w:r w:rsidR="00FC3748" w:rsidRPr="00CE6806">
        <w:rPr>
          <w:sz w:val="22"/>
          <w:szCs w:val="22"/>
        </w:rPr>
        <w:t xml:space="preserve"> if an emergency had occurred or w</w:t>
      </w:r>
      <w:r w:rsidR="00E82483" w:rsidRPr="00CE6806">
        <w:rPr>
          <w:sz w:val="22"/>
          <w:szCs w:val="22"/>
        </w:rPr>
        <w:t>as</w:t>
      </w:r>
      <w:r w:rsidR="00FC3748" w:rsidRPr="00CE6806">
        <w:rPr>
          <w:sz w:val="22"/>
          <w:szCs w:val="22"/>
        </w:rPr>
        <w:t xml:space="preserve"> to occur in the future,</w:t>
      </w:r>
      <w:r w:rsidRPr="00CE6806">
        <w:rPr>
          <w:sz w:val="22"/>
          <w:szCs w:val="22"/>
        </w:rPr>
        <w:t xml:space="preserve"> </w:t>
      </w:r>
      <w:r w:rsidR="00FC3748" w:rsidRPr="00CE6806">
        <w:rPr>
          <w:sz w:val="22"/>
          <w:szCs w:val="22"/>
        </w:rPr>
        <w:t xml:space="preserve">or </w:t>
      </w:r>
      <w:r w:rsidR="00E82483" w:rsidRPr="00CE6806">
        <w:rPr>
          <w:sz w:val="22"/>
          <w:szCs w:val="22"/>
        </w:rPr>
        <w:t>a degradation in that ability.</w:t>
      </w:r>
      <w:r w:rsidR="00FC3748" w:rsidRPr="00CE6806">
        <w:rPr>
          <w:sz w:val="22"/>
          <w:szCs w:val="22"/>
        </w:rPr>
        <w:t xml:space="preserve"> Four resulting conditions and the associated significance levels are:</w:t>
      </w:r>
    </w:p>
    <w:p w:rsidR="00FC3748" w:rsidRPr="00CE6806" w:rsidRDefault="00FC3748" w:rsidP="00EB12BF">
      <w:pPr>
        <w:pStyle w:val="609noindent"/>
        <w:jc w:val="left"/>
        <w:rPr>
          <w:sz w:val="22"/>
          <w:szCs w:val="22"/>
        </w:rPr>
      </w:pPr>
    </w:p>
    <w:p w:rsidR="00FC3748" w:rsidRPr="00CE6806" w:rsidRDefault="00FC3748" w:rsidP="00EB12BF">
      <w:pPr>
        <w:pStyle w:val="609noindent"/>
        <w:numPr>
          <w:ilvl w:val="0"/>
          <w:numId w:val="14"/>
        </w:numPr>
        <w:tabs>
          <w:tab w:val="clear" w:pos="2880"/>
          <w:tab w:val="clear" w:pos="3600"/>
          <w:tab w:val="clear" w:pos="4320"/>
          <w:tab w:val="clear" w:pos="5760"/>
          <w:tab w:val="clear" w:pos="6480"/>
          <w:tab w:val="clear" w:pos="7200"/>
          <w:tab w:val="clear" w:pos="7920"/>
        </w:tabs>
        <w:spacing w:after="100"/>
        <w:jc w:val="left"/>
        <w:rPr>
          <w:sz w:val="22"/>
          <w:szCs w:val="22"/>
        </w:rPr>
      </w:pPr>
      <w:r w:rsidRPr="00CE6806">
        <w:rPr>
          <w:caps/>
          <w:sz w:val="22"/>
          <w:szCs w:val="22"/>
        </w:rPr>
        <w:t xml:space="preserve">Lost </w:t>
      </w:r>
      <w:r w:rsidR="00163D73" w:rsidRPr="00CE6806">
        <w:rPr>
          <w:caps/>
          <w:sz w:val="22"/>
          <w:szCs w:val="22"/>
        </w:rPr>
        <w:t>RSPS</w:t>
      </w:r>
      <w:r w:rsidRPr="00CE6806">
        <w:rPr>
          <w:caps/>
          <w:sz w:val="22"/>
          <w:szCs w:val="22"/>
        </w:rPr>
        <w:t xml:space="preserve"> Function</w:t>
      </w:r>
      <w:r w:rsidRPr="00CE6806">
        <w:rPr>
          <w:sz w:val="22"/>
          <w:szCs w:val="22"/>
        </w:rPr>
        <w:tab/>
        <w:t>Yellow</w:t>
      </w:r>
    </w:p>
    <w:p w:rsidR="00FC3748" w:rsidRPr="00CE6806" w:rsidRDefault="00FC3748" w:rsidP="00EB12BF">
      <w:pPr>
        <w:pStyle w:val="609noindent"/>
        <w:numPr>
          <w:ilvl w:val="0"/>
          <w:numId w:val="14"/>
        </w:numPr>
        <w:tabs>
          <w:tab w:val="clear" w:pos="2880"/>
          <w:tab w:val="clear" w:pos="3600"/>
          <w:tab w:val="clear" w:pos="4320"/>
          <w:tab w:val="clear" w:pos="5760"/>
          <w:tab w:val="clear" w:pos="6480"/>
          <w:tab w:val="clear" w:pos="7200"/>
          <w:tab w:val="clear" w:pos="7920"/>
        </w:tabs>
        <w:spacing w:after="100"/>
        <w:jc w:val="left"/>
        <w:rPr>
          <w:sz w:val="22"/>
          <w:szCs w:val="22"/>
        </w:rPr>
      </w:pPr>
      <w:r w:rsidRPr="00CE6806">
        <w:rPr>
          <w:caps/>
          <w:sz w:val="22"/>
          <w:szCs w:val="22"/>
        </w:rPr>
        <w:t xml:space="preserve">Degraded </w:t>
      </w:r>
      <w:r w:rsidR="00163D73" w:rsidRPr="00CE6806">
        <w:rPr>
          <w:caps/>
          <w:sz w:val="22"/>
          <w:szCs w:val="22"/>
        </w:rPr>
        <w:t>RSPS</w:t>
      </w:r>
      <w:r w:rsidRPr="00CE6806">
        <w:rPr>
          <w:caps/>
          <w:sz w:val="22"/>
          <w:szCs w:val="22"/>
        </w:rPr>
        <w:t xml:space="preserve"> Function</w:t>
      </w:r>
      <w:r w:rsidRPr="00CE6806">
        <w:rPr>
          <w:sz w:val="22"/>
          <w:szCs w:val="22"/>
        </w:rPr>
        <w:tab/>
        <w:t>White</w:t>
      </w:r>
    </w:p>
    <w:p w:rsidR="00FC3748" w:rsidRPr="00CE6806" w:rsidRDefault="00FC3748" w:rsidP="00EB12BF">
      <w:pPr>
        <w:pStyle w:val="609noindent"/>
        <w:numPr>
          <w:ilvl w:val="0"/>
          <w:numId w:val="14"/>
        </w:numPr>
        <w:tabs>
          <w:tab w:val="clear" w:pos="2880"/>
          <w:tab w:val="clear" w:pos="3600"/>
          <w:tab w:val="clear" w:pos="4320"/>
          <w:tab w:val="clear" w:pos="5760"/>
          <w:tab w:val="clear" w:pos="6480"/>
          <w:tab w:val="clear" w:pos="7200"/>
          <w:tab w:val="clear" w:pos="7920"/>
        </w:tabs>
        <w:spacing w:after="100"/>
        <w:jc w:val="left"/>
        <w:rPr>
          <w:sz w:val="22"/>
          <w:szCs w:val="22"/>
        </w:rPr>
      </w:pPr>
      <w:r w:rsidRPr="00CE6806">
        <w:rPr>
          <w:caps/>
          <w:sz w:val="22"/>
          <w:szCs w:val="22"/>
        </w:rPr>
        <w:t xml:space="preserve">Lost </w:t>
      </w:r>
      <w:r w:rsidR="00163D73" w:rsidRPr="00CE6806">
        <w:rPr>
          <w:caps/>
          <w:sz w:val="22"/>
          <w:szCs w:val="22"/>
        </w:rPr>
        <w:t>PS</w:t>
      </w:r>
      <w:r w:rsidRPr="00CE6806">
        <w:rPr>
          <w:caps/>
          <w:sz w:val="22"/>
          <w:szCs w:val="22"/>
        </w:rPr>
        <w:t xml:space="preserve"> Function</w:t>
      </w:r>
      <w:r w:rsidRPr="00CE6806">
        <w:rPr>
          <w:sz w:val="22"/>
          <w:szCs w:val="22"/>
        </w:rPr>
        <w:tab/>
        <w:t>White</w:t>
      </w:r>
    </w:p>
    <w:p w:rsidR="00FC3748" w:rsidRPr="00CE6806" w:rsidRDefault="00FC3748" w:rsidP="00EB12BF">
      <w:pPr>
        <w:pStyle w:val="609noindent"/>
        <w:numPr>
          <w:ilvl w:val="0"/>
          <w:numId w:val="14"/>
        </w:numPr>
        <w:tabs>
          <w:tab w:val="clear" w:pos="2880"/>
          <w:tab w:val="clear" w:pos="3600"/>
          <w:tab w:val="clear" w:pos="4320"/>
          <w:tab w:val="clear" w:pos="5760"/>
          <w:tab w:val="clear" w:pos="6480"/>
          <w:tab w:val="clear" w:pos="7200"/>
          <w:tab w:val="clear" w:pos="7920"/>
        </w:tabs>
        <w:spacing w:after="100"/>
        <w:jc w:val="left"/>
        <w:rPr>
          <w:sz w:val="22"/>
          <w:szCs w:val="22"/>
        </w:rPr>
      </w:pPr>
      <w:r w:rsidRPr="00CE6806">
        <w:rPr>
          <w:caps/>
          <w:sz w:val="22"/>
          <w:szCs w:val="22"/>
        </w:rPr>
        <w:t xml:space="preserve">Degraded </w:t>
      </w:r>
      <w:r w:rsidR="00163D73" w:rsidRPr="00CE6806">
        <w:rPr>
          <w:caps/>
          <w:sz w:val="22"/>
          <w:szCs w:val="22"/>
        </w:rPr>
        <w:t>PS</w:t>
      </w:r>
      <w:r w:rsidRPr="00CE6806">
        <w:rPr>
          <w:caps/>
          <w:sz w:val="22"/>
          <w:szCs w:val="22"/>
        </w:rPr>
        <w:t xml:space="preserve"> Function</w:t>
      </w:r>
      <w:r w:rsidRPr="00CE6806">
        <w:rPr>
          <w:sz w:val="22"/>
          <w:szCs w:val="22"/>
        </w:rPr>
        <w:tab/>
        <w:t>Green</w:t>
      </w:r>
    </w:p>
    <w:p w:rsidR="00FC3748" w:rsidRPr="00CE6806" w:rsidRDefault="00FC3748" w:rsidP="00EB12BF">
      <w:pPr>
        <w:pStyle w:val="609noindent"/>
        <w:jc w:val="left"/>
        <w:rPr>
          <w:sz w:val="22"/>
          <w:szCs w:val="22"/>
        </w:rPr>
      </w:pPr>
    </w:p>
    <w:p w:rsidR="00E1070F" w:rsidRPr="00CE6806" w:rsidRDefault="00E1070F" w:rsidP="00EB12BF">
      <w:pPr>
        <w:pStyle w:val="609noindent"/>
        <w:jc w:val="left"/>
        <w:rPr>
          <w:sz w:val="22"/>
          <w:szCs w:val="22"/>
        </w:rPr>
      </w:pPr>
      <w:r w:rsidRPr="00CE6806">
        <w:rPr>
          <w:sz w:val="22"/>
          <w:szCs w:val="22"/>
        </w:rPr>
        <w:t xml:space="preserve">The EP SDP provides that a </w:t>
      </w:r>
      <w:r w:rsidRPr="00CE6806">
        <w:rPr>
          <w:caps/>
          <w:sz w:val="22"/>
          <w:szCs w:val="22"/>
        </w:rPr>
        <w:t xml:space="preserve">loss of </w:t>
      </w:r>
      <w:r w:rsidR="00163D73" w:rsidRPr="00CE6806">
        <w:rPr>
          <w:caps/>
          <w:sz w:val="22"/>
          <w:szCs w:val="22"/>
        </w:rPr>
        <w:t>PS</w:t>
      </w:r>
      <w:r w:rsidRPr="00CE6806">
        <w:rPr>
          <w:caps/>
          <w:sz w:val="22"/>
          <w:szCs w:val="22"/>
        </w:rPr>
        <w:t xml:space="preserve"> function</w:t>
      </w:r>
      <w:r w:rsidRPr="00CE6806">
        <w:rPr>
          <w:sz w:val="22"/>
          <w:szCs w:val="22"/>
        </w:rPr>
        <w:t xml:space="preserve"> exists when </w:t>
      </w:r>
      <w:r w:rsidR="00163D73" w:rsidRPr="00CE6806">
        <w:rPr>
          <w:caps/>
          <w:sz w:val="22"/>
          <w:szCs w:val="22"/>
        </w:rPr>
        <w:t>PE</w:t>
      </w:r>
      <w:r w:rsidRPr="00CE6806">
        <w:rPr>
          <w:sz w:val="22"/>
          <w:szCs w:val="22"/>
        </w:rPr>
        <w:t xml:space="preserve"> are not adequate, are noncompliant with the </w:t>
      </w:r>
      <w:r w:rsidR="00163D73" w:rsidRPr="00CE6806">
        <w:rPr>
          <w:caps/>
          <w:sz w:val="22"/>
          <w:szCs w:val="22"/>
        </w:rPr>
        <w:t>PS</w:t>
      </w:r>
      <w:r w:rsidRPr="00CE6806">
        <w:rPr>
          <w:sz w:val="22"/>
          <w:szCs w:val="22"/>
        </w:rPr>
        <w:t xml:space="preserve">, or otherwise not functional to the extent that the </w:t>
      </w:r>
      <w:r w:rsidR="00163D73" w:rsidRPr="00CE6806">
        <w:rPr>
          <w:caps/>
          <w:sz w:val="22"/>
          <w:szCs w:val="22"/>
        </w:rPr>
        <w:t>PS</w:t>
      </w:r>
      <w:r w:rsidRPr="00CE6806">
        <w:rPr>
          <w:caps/>
          <w:sz w:val="22"/>
          <w:szCs w:val="22"/>
        </w:rPr>
        <w:t xml:space="preserve"> function</w:t>
      </w:r>
      <w:r w:rsidRPr="00CE6806">
        <w:rPr>
          <w:sz w:val="22"/>
          <w:szCs w:val="22"/>
        </w:rPr>
        <w:t xml:space="preserve"> would not be accomplished if a radiological emergency were to occur.  A </w:t>
      </w:r>
      <w:r w:rsidR="00163D73" w:rsidRPr="00CE6806">
        <w:rPr>
          <w:caps/>
          <w:sz w:val="22"/>
          <w:szCs w:val="22"/>
        </w:rPr>
        <w:t>loss of PS</w:t>
      </w:r>
      <w:r w:rsidRPr="00CE6806">
        <w:rPr>
          <w:caps/>
          <w:sz w:val="22"/>
          <w:szCs w:val="22"/>
        </w:rPr>
        <w:t xml:space="preserve"> function</w:t>
      </w:r>
      <w:r w:rsidRPr="00CE6806">
        <w:rPr>
          <w:sz w:val="22"/>
          <w:szCs w:val="22"/>
        </w:rPr>
        <w:t xml:space="preserve"> would be assigned White significance.  A </w:t>
      </w:r>
      <w:r w:rsidRPr="00CE6806">
        <w:rPr>
          <w:caps/>
          <w:sz w:val="22"/>
          <w:szCs w:val="22"/>
        </w:rPr>
        <w:t xml:space="preserve">loss of </w:t>
      </w:r>
      <w:r w:rsidR="00163D73" w:rsidRPr="00CE6806">
        <w:rPr>
          <w:caps/>
          <w:sz w:val="22"/>
          <w:szCs w:val="22"/>
        </w:rPr>
        <w:t>RSPS</w:t>
      </w:r>
      <w:r w:rsidRPr="00CE6806">
        <w:rPr>
          <w:caps/>
          <w:sz w:val="22"/>
          <w:szCs w:val="22"/>
        </w:rPr>
        <w:t xml:space="preserve"> standard</w:t>
      </w:r>
      <w:r w:rsidRPr="00CE6806">
        <w:rPr>
          <w:sz w:val="22"/>
          <w:szCs w:val="22"/>
        </w:rPr>
        <w:t xml:space="preserve"> would be assigned Yellow significance consistent with its increased potential impact on public health and safety.</w:t>
      </w:r>
    </w:p>
    <w:p w:rsidR="00E1070F" w:rsidRPr="00CE6806" w:rsidRDefault="00E1070F" w:rsidP="00EB12BF">
      <w:pPr>
        <w:pStyle w:val="609noindent"/>
        <w:jc w:val="left"/>
        <w:rPr>
          <w:sz w:val="22"/>
          <w:szCs w:val="22"/>
        </w:rPr>
      </w:pPr>
    </w:p>
    <w:p w:rsidR="00E1070F" w:rsidRPr="00CE6806" w:rsidRDefault="00163D73" w:rsidP="00EB12BF">
      <w:pPr>
        <w:pStyle w:val="609noindent"/>
        <w:jc w:val="left"/>
        <w:rPr>
          <w:sz w:val="22"/>
          <w:szCs w:val="22"/>
        </w:rPr>
      </w:pPr>
      <w:r w:rsidRPr="00CE6806">
        <w:rPr>
          <w:sz w:val="22"/>
          <w:szCs w:val="22"/>
        </w:rPr>
        <w:t xml:space="preserve">There are </w:t>
      </w:r>
      <w:r w:rsidR="00E1070F" w:rsidRPr="00CE6806">
        <w:rPr>
          <w:sz w:val="22"/>
          <w:szCs w:val="22"/>
        </w:rPr>
        <w:t xml:space="preserve">instances in which the </w:t>
      </w:r>
      <w:r w:rsidRPr="00CE6806">
        <w:rPr>
          <w:caps/>
          <w:sz w:val="22"/>
          <w:szCs w:val="22"/>
        </w:rPr>
        <w:t>PS</w:t>
      </w:r>
      <w:r w:rsidR="00E1070F" w:rsidRPr="00CE6806">
        <w:rPr>
          <w:caps/>
          <w:sz w:val="22"/>
          <w:szCs w:val="22"/>
        </w:rPr>
        <w:t xml:space="preserve"> function</w:t>
      </w:r>
      <w:r w:rsidR="00E1070F" w:rsidRPr="00CE6806">
        <w:rPr>
          <w:sz w:val="22"/>
          <w:szCs w:val="22"/>
        </w:rPr>
        <w:t xml:space="preserve"> is degraded, but not lost.  The finding category of </w:t>
      </w:r>
      <w:r w:rsidR="00E1070F" w:rsidRPr="00CE6806">
        <w:rPr>
          <w:caps/>
          <w:sz w:val="22"/>
          <w:szCs w:val="22"/>
        </w:rPr>
        <w:t xml:space="preserve">degraded </w:t>
      </w:r>
      <w:r w:rsidRPr="00CE6806">
        <w:rPr>
          <w:caps/>
          <w:sz w:val="22"/>
          <w:szCs w:val="22"/>
        </w:rPr>
        <w:t>PS</w:t>
      </w:r>
      <w:r w:rsidR="00E1070F" w:rsidRPr="00CE6806">
        <w:rPr>
          <w:caps/>
          <w:sz w:val="22"/>
          <w:szCs w:val="22"/>
        </w:rPr>
        <w:t xml:space="preserve"> function </w:t>
      </w:r>
      <w:r w:rsidR="00E1070F" w:rsidRPr="00CE6806">
        <w:rPr>
          <w:sz w:val="22"/>
          <w:szCs w:val="22"/>
        </w:rPr>
        <w:t xml:space="preserve">was incorporated into the EP SDP to address these situations and allow an intermediate level of significance to be assigned.  </w:t>
      </w:r>
      <w:r w:rsidR="00970E4E">
        <w:rPr>
          <w:sz w:val="22"/>
          <w:szCs w:val="22"/>
        </w:rPr>
        <w:t xml:space="preserve">A licensee may be noncompliant with a </w:t>
      </w:r>
      <w:r w:rsidRPr="00CE6806">
        <w:rPr>
          <w:caps/>
          <w:sz w:val="22"/>
          <w:szCs w:val="22"/>
        </w:rPr>
        <w:t>P</w:t>
      </w:r>
      <w:r w:rsidR="00970E4E">
        <w:rPr>
          <w:caps/>
          <w:sz w:val="22"/>
          <w:szCs w:val="22"/>
        </w:rPr>
        <w:t>E</w:t>
      </w:r>
      <w:r w:rsidR="00E1070F" w:rsidRPr="00CE6806">
        <w:rPr>
          <w:sz w:val="22"/>
          <w:szCs w:val="22"/>
        </w:rPr>
        <w:t xml:space="preserve">, but there </w:t>
      </w:r>
      <w:r w:rsidR="00020822">
        <w:rPr>
          <w:sz w:val="22"/>
          <w:szCs w:val="22"/>
        </w:rPr>
        <w:t>could be</w:t>
      </w:r>
      <w:r w:rsidR="00E1070F" w:rsidRPr="00CE6806">
        <w:rPr>
          <w:sz w:val="22"/>
          <w:szCs w:val="22"/>
        </w:rPr>
        <w:t xml:space="preserve"> reasonable assurance that the </w:t>
      </w:r>
      <w:r w:rsidR="00020822">
        <w:rPr>
          <w:sz w:val="22"/>
          <w:szCs w:val="22"/>
        </w:rPr>
        <w:t xml:space="preserve">associated </w:t>
      </w:r>
      <w:r w:rsidRPr="00CE6806">
        <w:rPr>
          <w:caps/>
          <w:sz w:val="22"/>
          <w:szCs w:val="22"/>
        </w:rPr>
        <w:t>PS</w:t>
      </w:r>
      <w:r w:rsidR="00E1070F" w:rsidRPr="00CE6806">
        <w:rPr>
          <w:caps/>
          <w:sz w:val="22"/>
          <w:szCs w:val="22"/>
        </w:rPr>
        <w:t xml:space="preserve"> function</w:t>
      </w:r>
      <w:r w:rsidR="00E1070F" w:rsidRPr="00CE6806">
        <w:rPr>
          <w:sz w:val="22"/>
          <w:szCs w:val="22"/>
        </w:rPr>
        <w:t xml:space="preserve"> would be acco</w:t>
      </w:r>
      <w:r w:rsidR="00311538" w:rsidRPr="00CE6806">
        <w:rPr>
          <w:sz w:val="22"/>
          <w:szCs w:val="22"/>
        </w:rPr>
        <w:t>mplished if a radiological emer</w:t>
      </w:r>
      <w:r w:rsidR="00E1070F" w:rsidRPr="00CE6806">
        <w:rPr>
          <w:sz w:val="22"/>
          <w:szCs w:val="22"/>
        </w:rPr>
        <w:t xml:space="preserve">gency were to occur.  The EP SDP provides </w:t>
      </w:r>
      <w:r w:rsidRPr="00CE6806">
        <w:rPr>
          <w:sz w:val="22"/>
          <w:szCs w:val="22"/>
        </w:rPr>
        <w:t xml:space="preserve">guidance </w:t>
      </w:r>
      <w:r w:rsidR="00E1070F" w:rsidRPr="00CE6806">
        <w:rPr>
          <w:sz w:val="22"/>
          <w:szCs w:val="22"/>
        </w:rPr>
        <w:t xml:space="preserve">for the inspector to consider diverse </w:t>
      </w:r>
      <w:r w:rsidR="00020822">
        <w:rPr>
          <w:sz w:val="22"/>
          <w:szCs w:val="22"/>
        </w:rPr>
        <w:t>and/</w:t>
      </w:r>
      <w:r w:rsidR="00E1070F" w:rsidRPr="00CE6806">
        <w:rPr>
          <w:sz w:val="22"/>
          <w:szCs w:val="22"/>
        </w:rPr>
        <w:t xml:space="preserve">or redundant </w:t>
      </w:r>
      <w:r w:rsidRPr="00CE6806">
        <w:rPr>
          <w:caps/>
          <w:sz w:val="22"/>
          <w:szCs w:val="22"/>
        </w:rPr>
        <w:t>PE</w:t>
      </w:r>
      <w:r w:rsidR="00E82483" w:rsidRPr="00CE6806">
        <w:rPr>
          <w:caps/>
          <w:sz w:val="22"/>
          <w:szCs w:val="22"/>
        </w:rPr>
        <w:t xml:space="preserve">, MITIGATING FACTORS, </w:t>
      </w:r>
      <w:r w:rsidR="00E82483" w:rsidRPr="00CE6806">
        <w:rPr>
          <w:sz w:val="22"/>
          <w:szCs w:val="22"/>
        </w:rPr>
        <w:t>and</w:t>
      </w:r>
      <w:r w:rsidR="00E82483" w:rsidRPr="00CE6806">
        <w:rPr>
          <w:caps/>
          <w:sz w:val="22"/>
          <w:szCs w:val="22"/>
        </w:rPr>
        <w:t xml:space="preserve"> COMPENSATORY MEASURES, </w:t>
      </w:r>
      <w:r w:rsidR="00970E4E" w:rsidRPr="00970E4E">
        <w:rPr>
          <w:sz w:val="22"/>
          <w:szCs w:val="22"/>
        </w:rPr>
        <w:t>taken</w:t>
      </w:r>
      <w:r w:rsidR="00970E4E">
        <w:rPr>
          <w:caps/>
          <w:sz w:val="22"/>
          <w:szCs w:val="22"/>
        </w:rPr>
        <w:t xml:space="preserve"> </w:t>
      </w:r>
      <w:r w:rsidR="00E1070F" w:rsidRPr="00CE6806">
        <w:rPr>
          <w:sz w:val="22"/>
          <w:szCs w:val="22"/>
        </w:rPr>
        <w:t>in determini</w:t>
      </w:r>
      <w:r w:rsidR="00311538" w:rsidRPr="00CE6806">
        <w:rPr>
          <w:sz w:val="22"/>
          <w:szCs w:val="22"/>
        </w:rPr>
        <w:t xml:space="preserve">ng </w:t>
      </w:r>
      <w:r w:rsidR="00020822">
        <w:rPr>
          <w:sz w:val="22"/>
          <w:szCs w:val="22"/>
        </w:rPr>
        <w:t>if</w:t>
      </w:r>
      <w:r w:rsidR="00311538" w:rsidRPr="00CE6806">
        <w:rPr>
          <w:sz w:val="22"/>
          <w:szCs w:val="22"/>
        </w:rPr>
        <w:t xml:space="preserve"> the affected </w:t>
      </w:r>
      <w:r w:rsidRPr="00CE6806">
        <w:rPr>
          <w:caps/>
          <w:sz w:val="22"/>
          <w:szCs w:val="22"/>
        </w:rPr>
        <w:t>PS</w:t>
      </w:r>
      <w:r w:rsidR="00E1070F" w:rsidRPr="00CE6806">
        <w:rPr>
          <w:caps/>
          <w:sz w:val="22"/>
          <w:szCs w:val="22"/>
        </w:rPr>
        <w:t xml:space="preserve"> function </w:t>
      </w:r>
      <w:r w:rsidRPr="00CE6806">
        <w:rPr>
          <w:sz w:val="22"/>
          <w:szCs w:val="22"/>
        </w:rPr>
        <w:t>w</w:t>
      </w:r>
      <w:r w:rsidR="00E1070F" w:rsidRPr="00CE6806">
        <w:rPr>
          <w:sz w:val="22"/>
          <w:szCs w:val="22"/>
        </w:rPr>
        <w:t>ould still be accomplished, albeit in a degraded manner, the</w:t>
      </w:r>
      <w:r w:rsidR="00BA5AA8" w:rsidRPr="00CE6806">
        <w:rPr>
          <w:sz w:val="22"/>
          <w:szCs w:val="22"/>
        </w:rPr>
        <w:t xml:space="preserve">reby justifying a lesser </w:t>
      </w:r>
      <w:r w:rsidR="00E1070F" w:rsidRPr="00CE6806">
        <w:rPr>
          <w:sz w:val="22"/>
          <w:szCs w:val="22"/>
        </w:rPr>
        <w:t xml:space="preserve">significance.  </w:t>
      </w:r>
    </w:p>
    <w:p w:rsidR="00A6432E" w:rsidRPr="00CE6806" w:rsidRDefault="00A6432E" w:rsidP="00EB12BF">
      <w:pPr>
        <w:pStyle w:val="609noindent"/>
        <w:jc w:val="left"/>
        <w:rPr>
          <w:sz w:val="22"/>
          <w:szCs w:val="22"/>
        </w:rPr>
      </w:pPr>
    </w:p>
    <w:p w:rsidR="00FC3748" w:rsidRPr="00CE6806" w:rsidRDefault="00E82483" w:rsidP="00EB12BF">
      <w:pPr>
        <w:pStyle w:val="609noindent"/>
        <w:jc w:val="left"/>
        <w:rPr>
          <w:sz w:val="22"/>
          <w:szCs w:val="22"/>
        </w:rPr>
      </w:pPr>
      <w:r w:rsidRPr="00CE6806">
        <w:rPr>
          <w:sz w:val="22"/>
          <w:szCs w:val="22"/>
        </w:rPr>
        <w:t>An EP finding</w:t>
      </w:r>
      <w:r w:rsidR="00FC3748" w:rsidRPr="00CE6806">
        <w:rPr>
          <w:sz w:val="22"/>
          <w:szCs w:val="22"/>
        </w:rPr>
        <w:t xml:space="preserve"> not associated with a </w:t>
      </w:r>
      <w:r w:rsidR="00163D73" w:rsidRPr="00CE6806">
        <w:rPr>
          <w:caps/>
          <w:sz w:val="22"/>
          <w:szCs w:val="22"/>
        </w:rPr>
        <w:t>PS</w:t>
      </w:r>
      <w:r w:rsidR="00FC3748" w:rsidRPr="00CE6806">
        <w:rPr>
          <w:sz w:val="22"/>
          <w:szCs w:val="22"/>
        </w:rPr>
        <w:t xml:space="preserve"> </w:t>
      </w:r>
      <w:r w:rsidRPr="00CE6806">
        <w:rPr>
          <w:sz w:val="22"/>
          <w:szCs w:val="22"/>
        </w:rPr>
        <w:t xml:space="preserve">is </w:t>
      </w:r>
      <w:r w:rsidR="00272419" w:rsidRPr="00CE6806">
        <w:rPr>
          <w:sz w:val="22"/>
          <w:szCs w:val="22"/>
        </w:rPr>
        <w:t>genera</w:t>
      </w:r>
      <w:r w:rsidR="00A6432E" w:rsidRPr="00CE6806">
        <w:rPr>
          <w:sz w:val="22"/>
          <w:szCs w:val="22"/>
        </w:rPr>
        <w:t>ll</w:t>
      </w:r>
      <w:r w:rsidR="00272419" w:rsidRPr="00CE6806">
        <w:rPr>
          <w:sz w:val="22"/>
          <w:szCs w:val="22"/>
        </w:rPr>
        <w:t xml:space="preserve">y </w:t>
      </w:r>
      <w:r w:rsidR="00FC3748" w:rsidRPr="00CE6806">
        <w:rPr>
          <w:sz w:val="22"/>
          <w:szCs w:val="22"/>
        </w:rPr>
        <w:t>assigned Green significance</w:t>
      </w:r>
      <w:r w:rsidR="00AA76B4" w:rsidRPr="00CE6806">
        <w:rPr>
          <w:sz w:val="22"/>
          <w:szCs w:val="22"/>
        </w:rPr>
        <w:t xml:space="preserve">.  </w:t>
      </w:r>
      <w:r w:rsidR="00FC3748" w:rsidRPr="00CE6806">
        <w:rPr>
          <w:sz w:val="22"/>
          <w:szCs w:val="22"/>
        </w:rPr>
        <w:t xml:space="preserve">A logic chart in the EP SDP illustrates </w:t>
      </w:r>
      <w:r w:rsidR="00AA76B4" w:rsidRPr="00CE6806">
        <w:rPr>
          <w:sz w:val="22"/>
          <w:szCs w:val="22"/>
        </w:rPr>
        <w:t>this</w:t>
      </w:r>
      <w:r w:rsidR="00FC3748" w:rsidRPr="00CE6806">
        <w:rPr>
          <w:sz w:val="22"/>
          <w:szCs w:val="22"/>
        </w:rPr>
        <w:t xml:space="preserve"> significance determination</w:t>
      </w:r>
      <w:r w:rsidR="00AA76B4" w:rsidRPr="00CE6806">
        <w:rPr>
          <w:sz w:val="22"/>
          <w:szCs w:val="22"/>
        </w:rPr>
        <w:t xml:space="preserve"> and the EP SDP provides a series of significance examples for each </w:t>
      </w:r>
      <w:r w:rsidR="00306FF1" w:rsidRPr="00CE6806">
        <w:rPr>
          <w:caps/>
          <w:sz w:val="22"/>
          <w:szCs w:val="22"/>
        </w:rPr>
        <w:t>PS</w:t>
      </w:r>
      <w:r w:rsidR="00AA76B4" w:rsidRPr="00CE6806">
        <w:rPr>
          <w:caps/>
          <w:sz w:val="22"/>
          <w:szCs w:val="22"/>
        </w:rPr>
        <w:t>.</w:t>
      </w:r>
    </w:p>
    <w:p w:rsidR="00E1070F" w:rsidRPr="00CE6806" w:rsidRDefault="00E1070F" w:rsidP="00EB12BF">
      <w:pPr>
        <w:pStyle w:val="609noindent"/>
        <w:jc w:val="left"/>
        <w:rPr>
          <w:sz w:val="22"/>
          <w:szCs w:val="22"/>
        </w:rPr>
      </w:pPr>
    </w:p>
    <w:p w:rsidR="00AA76B4" w:rsidRPr="00CE6806" w:rsidRDefault="00A6432E" w:rsidP="00EB12BF">
      <w:pPr>
        <w:pStyle w:val="609noindent"/>
        <w:jc w:val="left"/>
        <w:rPr>
          <w:sz w:val="22"/>
          <w:szCs w:val="22"/>
        </w:rPr>
      </w:pPr>
      <w:r w:rsidRPr="00CE6806">
        <w:rPr>
          <w:sz w:val="22"/>
          <w:szCs w:val="22"/>
        </w:rPr>
        <w:t>A</w:t>
      </w:r>
      <w:r w:rsidR="00AA76B4" w:rsidRPr="00CE6806">
        <w:rPr>
          <w:sz w:val="22"/>
          <w:szCs w:val="22"/>
        </w:rPr>
        <w:t xml:space="preserve"> </w:t>
      </w:r>
      <w:r w:rsidR="00163D73" w:rsidRPr="00CE6806">
        <w:rPr>
          <w:caps/>
          <w:sz w:val="22"/>
          <w:szCs w:val="22"/>
        </w:rPr>
        <w:t>FTC</w:t>
      </w:r>
      <w:r w:rsidR="00AA76B4" w:rsidRPr="00CE6806">
        <w:rPr>
          <w:sz w:val="22"/>
          <w:szCs w:val="22"/>
        </w:rPr>
        <w:t xml:space="preserve"> is assessed significance based upon </w:t>
      </w:r>
      <w:r w:rsidR="00272419" w:rsidRPr="00CE6806">
        <w:rPr>
          <w:sz w:val="22"/>
          <w:szCs w:val="22"/>
        </w:rPr>
        <w:t xml:space="preserve">a </w:t>
      </w:r>
      <w:r w:rsidR="00AA76B4" w:rsidRPr="00CE6806">
        <w:rPr>
          <w:sz w:val="22"/>
          <w:szCs w:val="22"/>
        </w:rPr>
        <w:t xml:space="preserve">qualitative predictive evaluation of the potential impact of the noncompliant </w:t>
      </w:r>
      <w:r w:rsidR="00306FF1" w:rsidRPr="00CE6806">
        <w:rPr>
          <w:caps/>
          <w:sz w:val="22"/>
          <w:szCs w:val="22"/>
        </w:rPr>
        <w:t>PE</w:t>
      </w:r>
      <w:r w:rsidR="00AA76B4" w:rsidRPr="00CE6806">
        <w:rPr>
          <w:sz w:val="22"/>
          <w:szCs w:val="22"/>
        </w:rPr>
        <w:t xml:space="preserve"> on the licensee’s capability to implement its emergency plan and to take measures to protect the public health and safety </w:t>
      </w:r>
      <w:r w:rsidR="002D25C4" w:rsidRPr="00CE6806">
        <w:rPr>
          <w:sz w:val="22"/>
          <w:szCs w:val="22"/>
        </w:rPr>
        <w:t>if a</w:t>
      </w:r>
      <w:r w:rsidR="00AA76B4" w:rsidRPr="00CE6806">
        <w:rPr>
          <w:sz w:val="22"/>
          <w:szCs w:val="22"/>
        </w:rPr>
        <w:t xml:space="preserve"> </w:t>
      </w:r>
      <w:r w:rsidR="00306FF1" w:rsidRPr="00CE6806">
        <w:rPr>
          <w:sz w:val="22"/>
          <w:szCs w:val="22"/>
        </w:rPr>
        <w:t xml:space="preserve">radiological </w:t>
      </w:r>
      <w:r w:rsidR="00AA76B4" w:rsidRPr="00CE6806">
        <w:rPr>
          <w:sz w:val="22"/>
          <w:szCs w:val="22"/>
        </w:rPr>
        <w:t xml:space="preserve">emergency occurred, or was to occur in the future.  Re-paraphrased, the question becomes, </w:t>
      </w:r>
      <w:r w:rsidR="003B6B1E">
        <w:rPr>
          <w:sz w:val="22"/>
          <w:szCs w:val="22"/>
        </w:rPr>
        <w:t>“</w:t>
      </w:r>
      <w:r w:rsidR="002D25C4" w:rsidRPr="00CE6806">
        <w:rPr>
          <w:sz w:val="22"/>
          <w:szCs w:val="22"/>
        </w:rPr>
        <w:t>W</w:t>
      </w:r>
      <w:r w:rsidR="00AA76B4" w:rsidRPr="00CE6806">
        <w:rPr>
          <w:sz w:val="22"/>
          <w:szCs w:val="22"/>
        </w:rPr>
        <w:t xml:space="preserve">hat </w:t>
      </w:r>
      <w:r w:rsidR="00020822">
        <w:rPr>
          <w:sz w:val="22"/>
          <w:szCs w:val="22"/>
        </w:rPr>
        <w:t>would</w:t>
      </w:r>
      <w:r w:rsidR="00AA76B4" w:rsidRPr="00CE6806">
        <w:rPr>
          <w:sz w:val="22"/>
          <w:szCs w:val="22"/>
        </w:rPr>
        <w:t xml:space="preserve"> have been the likely impact of this noncompliant </w:t>
      </w:r>
      <w:r w:rsidR="00306FF1" w:rsidRPr="00CE6806">
        <w:rPr>
          <w:caps/>
          <w:sz w:val="22"/>
          <w:szCs w:val="22"/>
        </w:rPr>
        <w:t>PE</w:t>
      </w:r>
      <w:r w:rsidR="00AA76B4" w:rsidRPr="00CE6806">
        <w:rPr>
          <w:sz w:val="22"/>
          <w:szCs w:val="22"/>
        </w:rPr>
        <w:t xml:space="preserve"> if a radiological emergency </w:t>
      </w:r>
      <w:r w:rsidR="00990CBA">
        <w:rPr>
          <w:sz w:val="22"/>
          <w:szCs w:val="22"/>
        </w:rPr>
        <w:t>had</w:t>
      </w:r>
      <w:r w:rsidR="00AA76B4" w:rsidRPr="00CE6806">
        <w:rPr>
          <w:sz w:val="22"/>
          <w:szCs w:val="22"/>
        </w:rPr>
        <w:t xml:space="preserve"> occurred, or was to occur in the future and the finding had not been corrected?</w:t>
      </w:r>
      <w:r w:rsidR="003B6B1E">
        <w:rPr>
          <w:sz w:val="22"/>
          <w:szCs w:val="22"/>
        </w:rPr>
        <w:t>”</w:t>
      </w:r>
      <w:r w:rsidR="00AA76B4" w:rsidRPr="00CE6806">
        <w:rPr>
          <w:sz w:val="22"/>
          <w:szCs w:val="22"/>
        </w:rPr>
        <w:t xml:space="preserve">  This assessment does not consider the circumstances that existed at the time of discovery </w:t>
      </w:r>
      <w:r w:rsidR="005C224D" w:rsidRPr="00CE6806">
        <w:rPr>
          <w:sz w:val="22"/>
          <w:szCs w:val="22"/>
        </w:rPr>
        <w:t>because</w:t>
      </w:r>
      <w:r w:rsidR="00AA76B4" w:rsidRPr="00CE6806">
        <w:rPr>
          <w:sz w:val="22"/>
          <w:szCs w:val="22"/>
        </w:rPr>
        <w:t xml:space="preserve"> the adverse condition could occur under different circumstances when the impact of the noncompliant </w:t>
      </w:r>
      <w:r w:rsidR="00BD4493" w:rsidRPr="00CE6806">
        <w:rPr>
          <w:caps/>
          <w:sz w:val="22"/>
          <w:szCs w:val="22"/>
        </w:rPr>
        <w:t>PE</w:t>
      </w:r>
      <w:r w:rsidR="00990CBA" w:rsidRPr="00990CBA">
        <w:rPr>
          <w:sz w:val="22"/>
          <w:szCs w:val="22"/>
        </w:rPr>
        <w:t>s</w:t>
      </w:r>
      <w:r w:rsidR="00AA76B4" w:rsidRPr="00CE6806">
        <w:rPr>
          <w:sz w:val="22"/>
          <w:szCs w:val="22"/>
        </w:rPr>
        <w:t xml:space="preserve"> </w:t>
      </w:r>
      <w:r w:rsidR="00306FF1" w:rsidRPr="00CE6806">
        <w:rPr>
          <w:sz w:val="22"/>
          <w:szCs w:val="22"/>
        </w:rPr>
        <w:t>w</w:t>
      </w:r>
      <w:r w:rsidR="00AA76B4" w:rsidRPr="00CE6806">
        <w:rPr>
          <w:sz w:val="22"/>
          <w:szCs w:val="22"/>
        </w:rPr>
        <w:t xml:space="preserve">ould be greater.  For example, the fact that a plant is shut down when an at-power </w:t>
      </w:r>
      <w:r w:rsidR="00306FF1" w:rsidRPr="00CE6806">
        <w:rPr>
          <w:sz w:val="22"/>
          <w:szCs w:val="22"/>
        </w:rPr>
        <w:t>emergency action level (</w:t>
      </w:r>
      <w:r w:rsidR="00AA76B4" w:rsidRPr="00CE6806">
        <w:rPr>
          <w:sz w:val="22"/>
          <w:szCs w:val="22"/>
        </w:rPr>
        <w:t>EAL</w:t>
      </w:r>
      <w:r w:rsidR="00306FF1" w:rsidRPr="00CE6806">
        <w:rPr>
          <w:sz w:val="22"/>
          <w:szCs w:val="22"/>
        </w:rPr>
        <w:t>)</w:t>
      </w:r>
      <w:r w:rsidR="00AA76B4" w:rsidRPr="00CE6806">
        <w:rPr>
          <w:sz w:val="22"/>
          <w:szCs w:val="22"/>
        </w:rPr>
        <w:t xml:space="preserve"> was determined to be inadequate has no bearing on the significance of the </w:t>
      </w:r>
      <w:r w:rsidR="00311538" w:rsidRPr="00CE6806">
        <w:rPr>
          <w:sz w:val="22"/>
          <w:szCs w:val="22"/>
        </w:rPr>
        <w:t>ineffective</w:t>
      </w:r>
      <w:r w:rsidR="00AA76B4" w:rsidRPr="00CE6806">
        <w:rPr>
          <w:sz w:val="22"/>
          <w:szCs w:val="22"/>
        </w:rPr>
        <w:t xml:space="preserve"> EAL.</w:t>
      </w:r>
    </w:p>
    <w:p w:rsidR="005E43B9" w:rsidRPr="00CE6806" w:rsidRDefault="005E43B9" w:rsidP="00EB12BF">
      <w:pPr>
        <w:pStyle w:val="609noindent"/>
        <w:jc w:val="left"/>
        <w:rPr>
          <w:sz w:val="22"/>
          <w:szCs w:val="22"/>
        </w:rPr>
      </w:pPr>
    </w:p>
    <w:p w:rsidR="00A6432E" w:rsidRPr="00CE6806" w:rsidRDefault="002D25C4" w:rsidP="00EB12BF">
      <w:pPr>
        <w:pStyle w:val="609noindent"/>
        <w:jc w:val="left"/>
        <w:rPr>
          <w:sz w:val="22"/>
          <w:szCs w:val="22"/>
        </w:rPr>
      </w:pPr>
      <w:r w:rsidRPr="00CE6806">
        <w:rPr>
          <w:sz w:val="22"/>
          <w:szCs w:val="22"/>
        </w:rPr>
        <w:t xml:space="preserve">The </w:t>
      </w:r>
      <w:r w:rsidR="007F06A5">
        <w:rPr>
          <w:sz w:val="22"/>
          <w:szCs w:val="22"/>
        </w:rPr>
        <w:t xml:space="preserve">following </w:t>
      </w:r>
      <w:r w:rsidRPr="00CE6806">
        <w:rPr>
          <w:sz w:val="22"/>
          <w:szCs w:val="22"/>
        </w:rPr>
        <w:t>sections explain some exceptions to the above signifi</w:t>
      </w:r>
      <w:r w:rsidR="00970E4E">
        <w:rPr>
          <w:sz w:val="22"/>
          <w:szCs w:val="22"/>
        </w:rPr>
        <w:t>cance determination methodology</w:t>
      </w:r>
      <w:r w:rsidR="00F6587E">
        <w:rPr>
          <w:sz w:val="22"/>
          <w:szCs w:val="22"/>
        </w:rPr>
        <w:t>.</w:t>
      </w:r>
    </w:p>
    <w:p w:rsidR="009D600F" w:rsidRDefault="009D600F" w:rsidP="00EB12BF">
      <w:pPr>
        <w:pStyle w:val="609noindent"/>
        <w:jc w:val="left"/>
        <w:rPr>
          <w:sz w:val="22"/>
          <w:szCs w:val="22"/>
        </w:rPr>
      </w:pPr>
    </w:p>
    <w:p w:rsidR="00F04B4E" w:rsidRDefault="00F04B4E" w:rsidP="00EB12BF">
      <w:pPr>
        <w:pStyle w:val="609noindent"/>
        <w:jc w:val="left"/>
        <w:rPr>
          <w:sz w:val="22"/>
          <w:szCs w:val="22"/>
        </w:rPr>
      </w:pPr>
    </w:p>
    <w:p w:rsidR="006258ED" w:rsidRPr="00CE6806" w:rsidRDefault="009D600F" w:rsidP="00EB12BF">
      <w:pPr>
        <w:pStyle w:val="609noindent"/>
        <w:jc w:val="left"/>
        <w:rPr>
          <w:b/>
          <w:sz w:val="22"/>
          <w:szCs w:val="22"/>
        </w:rPr>
      </w:pPr>
      <w:r w:rsidRPr="00CE6806">
        <w:rPr>
          <w:b/>
          <w:sz w:val="22"/>
          <w:szCs w:val="22"/>
        </w:rPr>
        <w:t>4.</w:t>
      </w:r>
      <w:r w:rsidR="00490AF7" w:rsidRPr="00CE6806">
        <w:rPr>
          <w:b/>
          <w:sz w:val="22"/>
          <w:szCs w:val="22"/>
        </w:rPr>
        <w:t>3</w:t>
      </w:r>
      <w:r w:rsidRPr="00CE6806">
        <w:rPr>
          <w:b/>
          <w:sz w:val="22"/>
          <w:szCs w:val="22"/>
        </w:rPr>
        <w:tab/>
      </w:r>
      <w:r w:rsidR="00A6432E" w:rsidRPr="00F15FEB">
        <w:rPr>
          <w:b/>
          <w:sz w:val="22"/>
          <w:szCs w:val="22"/>
          <w:u w:val="single"/>
        </w:rPr>
        <w:t xml:space="preserve">Significance of </w:t>
      </w:r>
      <w:r w:rsidRPr="00F15FEB">
        <w:rPr>
          <w:b/>
          <w:sz w:val="22"/>
          <w:szCs w:val="22"/>
          <w:u w:val="single"/>
        </w:rPr>
        <w:t>Emergency Action Level Findings</w:t>
      </w:r>
      <w:r w:rsidR="00057A55" w:rsidRPr="00CE6806">
        <w:rPr>
          <w:b/>
          <w:sz w:val="22"/>
          <w:szCs w:val="22"/>
        </w:rPr>
        <w:t xml:space="preserve"> </w:t>
      </w:r>
    </w:p>
    <w:p w:rsidR="006258ED" w:rsidRPr="00CE6806" w:rsidRDefault="006258ED" w:rsidP="00EB12BF">
      <w:pPr>
        <w:pStyle w:val="609noindent"/>
        <w:jc w:val="left"/>
        <w:rPr>
          <w:sz w:val="22"/>
          <w:szCs w:val="22"/>
        </w:rPr>
      </w:pPr>
    </w:p>
    <w:p w:rsidR="00512E05" w:rsidRDefault="009D600F" w:rsidP="00EB12BF">
      <w:pPr>
        <w:pStyle w:val="609noindent"/>
        <w:jc w:val="left"/>
        <w:rPr>
          <w:sz w:val="22"/>
          <w:szCs w:val="22"/>
        </w:rPr>
      </w:pPr>
      <w:r w:rsidRPr="00CE6806">
        <w:rPr>
          <w:sz w:val="22"/>
          <w:szCs w:val="22"/>
        </w:rPr>
        <w:t xml:space="preserve">The EP SDP provides separate guidance for significance determination of findings associated with </w:t>
      </w:r>
      <w:r w:rsidR="00C2079E">
        <w:rPr>
          <w:sz w:val="22"/>
          <w:szCs w:val="22"/>
        </w:rPr>
        <w:t xml:space="preserve">EALs.  </w:t>
      </w:r>
      <w:r w:rsidR="006A5B6A" w:rsidRPr="008C4C66">
        <w:rPr>
          <w:color w:val="000000" w:themeColor="text1"/>
          <w:sz w:val="22"/>
          <w:szCs w:val="22"/>
        </w:rPr>
        <w:t>Such findings may involve an EAL that ha</w:t>
      </w:r>
      <w:r w:rsidR="008C4C66" w:rsidRPr="008C4C66">
        <w:rPr>
          <w:color w:val="000000" w:themeColor="text1"/>
          <w:sz w:val="22"/>
          <w:szCs w:val="22"/>
        </w:rPr>
        <w:t>s</w:t>
      </w:r>
      <w:r w:rsidR="006A5B6A" w:rsidRPr="008C4C66">
        <w:rPr>
          <w:color w:val="000000" w:themeColor="text1"/>
          <w:sz w:val="22"/>
          <w:szCs w:val="22"/>
        </w:rPr>
        <w:t xml:space="preserve"> been rendered ineffective such that it no longer results in a timely and accurate declaration, or is associated with a deficient EAL process that results in over-classificat</w:t>
      </w:r>
      <w:r w:rsidR="00512E05" w:rsidRPr="008C4C66">
        <w:rPr>
          <w:color w:val="000000" w:themeColor="text1"/>
          <w:sz w:val="22"/>
          <w:szCs w:val="22"/>
        </w:rPr>
        <w:t xml:space="preserve">ion of an emergency condition. </w:t>
      </w:r>
      <w:r w:rsidR="008C4C66" w:rsidRPr="008C4C66">
        <w:rPr>
          <w:color w:val="000000" w:themeColor="text1"/>
          <w:sz w:val="22"/>
          <w:szCs w:val="22"/>
        </w:rPr>
        <w:t xml:space="preserve"> </w:t>
      </w:r>
      <w:r w:rsidR="00512E05" w:rsidRPr="008C4C66">
        <w:rPr>
          <w:color w:val="000000" w:themeColor="text1"/>
          <w:sz w:val="22"/>
          <w:szCs w:val="22"/>
        </w:rPr>
        <w:t>Such findings are cited against 10 CFR 50.54(q</w:t>
      </w:r>
      <w:proofErr w:type="gramStart"/>
      <w:r w:rsidR="00512E05" w:rsidRPr="008C4C66">
        <w:rPr>
          <w:color w:val="000000" w:themeColor="text1"/>
          <w:sz w:val="22"/>
          <w:szCs w:val="22"/>
        </w:rPr>
        <w:t>)(</w:t>
      </w:r>
      <w:proofErr w:type="gramEnd"/>
      <w:r w:rsidR="00512E05" w:rsidRPr="008C4C66">
        <w:rPr>
          <w:color w:val="000000" w:themeColor="text1"/>
          <w:sz w:val="22"/>
          <w:szCs w:val="22"/>
        </w:rPr>
        <w:t>2) and 10 CFR 50.47(b)(</w:t>
      </w:r>
      <w:r w:rsidR="001D66CA">
        <w:rPr>
          <w:color w:val="000000" w:themeColor="text1"/>
          <w:sz w:val="22"/>
          <w:szCs w:val="22"/>
        </w:rPr>
        <w:t>4</w:t>
      </w:r>
      <w:r w:rsidR="00512E05" w:rsidRPr="008C4C66">
        <w:rPr>
          <w:color w:val="000000" w:themeColor="text1"/>
          <w:sz w:val="22"/>
          <w:szCs w:val="22"/>
        </w:rPr>
        <w:t>) and treated under ROP.  However, if these conditions were the result of emergency plan changes made by the licensee without prior NRC approval pursuant to 10 CFR 50.54(q)(</w:t>
      </w:r>
      <w:r w:rsidR="001D66CA">
        <w:rPr>
          <w:color w:val="000000" w:themeColor="text1"/>
          <w:sz w:val="22"/>
          <w:szCs w:val="22"/>
        </w:rPr>
        <w:t>3</w:t>
      </w:r>
      <w:r w:rsidR="00512E05" w:rsidRPr="008C4C66">
        <w:rPr>
          <w:color w:val="000000" w:themeColor="text1"/>
          <w:sz w:val="22"/>
          <w:szCs w:val="22"/>
        </w:rPr>
        <w:t>), the issue will be treated under traditional enforcement as a</w:t>
      </w:r>
      <w:r w:rsidR="00D34171">
        <w:rPr>
          <w:color w:val="000000" w:themeColor="text1"/>
          <w:sz w:val="22"/>
          <w:szCs w:val="22"/>
        </w:rPr>
        <w:t xml:space="preserve"> violation of 10 CFR 50.54(q)</w:t>
      </w:r>
      <w:r w:rsidR="00512E05" w:rsidRPr="008C4C66">
        <w:rPr>
          <w:color w:val="000000" w:themeColor="text1"/>
          <w:sz w:val="22"/>
          <w:szCs w:val="22"/>
        </w:rPr>
        <w:t>(</w:t>
      </w:r>
      <w:r w:rsidR="001D66CA">
        <w:rPr>
          <w:color w:val="000000" w:themeColor="text1"/>
          <w:sz w:val="22"/>
          <w:szCs w:val="22"/>
        </w:rPr>
        <w:t>3</w:t>
      </w:r>
      <w:r w:rsidR="00512E05" w:rsidRPr="008C4C66">
        <w:rPr>
          <w:color w:val="000000" w:themeColor="text1"/>
          <w:sz w:val="22"/>
          <w:szCs w:val="22"/>
        </w:rPr>
        <w:t>).</w:t>
      </w:r>
      <w:r w:rsidR="00512E05">
        <w:rPr>
          <w:sz w:val="22"/>
          <w:szCs w:val="22"/>
        </w:rPr>
        <w:t xml:space="preserve">  </w:t>
      </w:r>
      <w:r w:rsidR="00512E05" w:rsidRPr="00CE6806">
        <w:rPr>
          <w:sz w:val="22"/>
          <w:szCs w:val="22"/>
        </w:rPr>
        <w:t>The significance determination is made in the same manner</w:t>
      </w:r>
      <w:r w:rsidR="00512E05">
        <w:rPr>
          <w:sz w:val="22"/>
          <w:szCs w:val="22"/>
        </w:rPr>
        <w:t xml:space="preserve"> in either case</w:t>
      </w:r>
      <w:r w:rsidR="00512E05" w:rsidRPr="00CE6806">
        <w:rPr>
          <w:sz w:val="22"/>
          <w:szCs w:val="22"/>
        </w:rPr>
        <w:t>.</w:t>
      </w:r>
    </w:p>
    <w:p w:rsidR="00512E05" w:rsidRDefault="00512E05" w:rsidP="00AA465E">
      <w:pPr>
        <w:pStyle w:val="609noindent"/>
        <w:rPr>
          <w:sz w:val="22"/>
          <w:szCs w:val="22"/>
        </w:rPr>
      </w:pPr>
    </w:p>
    <w:p w:rsidR="00497F31" w:rsidRPr="00CE6806" w:rsidRDefault="00497F31" w:rsidP="00EB12BF">
      <w:pPr>
        <w:pStyle w:val="609noindent"/>
        <w:jc w:val="left"/>
        <w:rPr>
          <w:sz w:val="22"/>
          <w:szCs w:val="22"/>
        </w:rPr>
      </w:pPr>
      <w:r w:rsidRPr="00CE6806">
        <w:rPr>
          <w:sz w:val="22"/>
          <w:szCs w:val="22"/>
        </w:rPr>
        <w:t>4.3.1</w:t>
      </w:r>
      <w:r w:rsidRPr="00CE6806">
        <w:rPr>
          <w:sz w:val="22"/>
          <w:szCs w:val="22"/>
        </w:rPr>
        <w:tab/>
      </w:r>
      <w:r w:rsidRPr="00CE6806">
        <w:rPr>
          <w:sz w:val="22"/>
          <w:szCs w:val="22"/>
          <w:u w:val="single"/>
        </w:rPr>
        <w:t>Ineffective EALs</w:t>
      </w:r>
      <w:r w:rsidR="009E4B09" w:rsidRPr="00CE6806">
        <w:rPr>
          <w:sz w:val="22"/>
          <w:szCs w:val="22"/>
          <w:u w:val="single"/>
        </w:rPr>
        <w:t xml:space="preserve"> </w:t>
      </w:r>
    </w:p>
    <w:p w:rsidR="00497F31" w:rsidRPr="00CE6806" w:rsidRDefault="00497F31" w:rsidP="00EB12BF">
      <w:pPr>
        <w:pStyle w:val="609noindent"/>
        <w:jc w:val="left"/>
        <w:rPr>
          <w:sz w:val="22"/>
          <w:szCs w:val="22"/>
        </w:rPr>
      </w:pPr>
    </w:p>
    <w:p w:rsidR="00497F31" w:rsidRPr="00CE6806" w:rsidRDefault="002D25C4" w:rsidP="00EB12BF">
      <w:pPr>
        <w:pStyle w:val="609noindent"/>
        <w:jc w:val="left"/>
        <w:rPr>
          <w:sz w:val="22"/>
          <w:szCs w:val="22"/>
        </w:rPr>
      </w:pPr>
      <w:r w:rsidRPr="00CE6806">
        <w:rPr>
          <w:sz w:val="22"/>
          <w:szCs w:val="22"/>
        </w:rPr>
        <w:t>PS</w:t>
      </w:r>
      <w:r w:rsidR="00497F31" w:rsidRPr="00CE6806">
        <w:rPr>
          <w:sz w:val="22"/>
          <w:szCs w:val="22"/>
        </w:rPr>
        <w:t xml:space="preserve"> 10 CFR 50.47(b</w:t>
      </w:r>
      <w:proofErr w:type="gramStart"/>
      <w:r w:rsidR="00497F31" w:rsidRPr="00CE6806">
        <w:rPr>
          <w:sz w:val="22"/>
          <w:szCs w:val="22"/>
        </w:rPr>
        <w:t>)(</w:t>
      </w:r>
      <w:proofErr w:type="gramEnd"/>
      <w:r w:rsidR="00497F31" w:rsidRPr="00CE6806">
        <w:rPr>
          <w:sz w:val="22"/>
          <w:szCs w:val="22"/>
        </w:rPr>
        <w:t xml:space="preserve">4) requires that a standard emergency classification and action level scheme be in use by the nuclear facility operator.  Emergency classification schemes typically have a series of initiating conditions (IC), which represent </w:t>
      </w:r>
      <w:r w:rsidR="00306FF1" w:rsidRPr="00CE6806">
        <w:rPr>
          <w:sz w:val="22"/>
          <w:szCs w:val="22"/>
        </w:rPr>
        <w:t xml:space="preserve">a particular </w:t>
      </w:r>
      <w:r w:rsidR="00020822">
        <w:rPr>
          <w:sz w:val="22"/>
          <w:szCs w:val="22"/>
        </w:rPr>
        <w:t>classification level</w:t>
      </w:r>
      <w:r w:rsidR="00497F31" w:rsidRPr="00CE6806">
        <w:rPr>
          <w:sz w:val="22"/>
          <w:szCs w:val="22"/>
        </w:rPr>
        <w:t xml:space="preserve"> and, for each IC, one or more EALs that identify particular indications or conditions that correspond to the IC.  An EAL may be rendered ineffective when, for whatever reason, the EAL no longer results in a timely and accurate declaration for the IC.  </w:t>
      </w:r>
      <w:r w:rsidR="008C4C66" w:rsidRPr="008C4C66">
        <w:rPr>
          <w:color w:val="000000" w:themeColor="text1"/>
          <w:sz w:val="22"/>
          <w:szCs w:val="22"/>
        </w:rPr>
        <w:t xml:space="preserve">EALs may be rendered ineffective by unavailability or </w:t>
      </w:r>
      <w:proofErr w:type="spellStart"/>
      <w:r w:rsidR="008C4C66" w:rsidRPr="008C4C66">
        <w:rPr>
          <w:color w:val="000000" w:themeColor="text1"/>
          <w:sz w:val="22"/>
          <w:szCs w:val="22"/>
        </w:rPr>
        <w:t>mis</w:t>
      </w:r>
      <w:proofErr w:type="spellEnd"/>
      <w:r w:rsidR="00970E4E">
        <w:rPr>
          <w:color w:val="000000" w:themeColor="text1"/>
          <w:sz w:val="22"/>
          <w:szCs w:val="22"/>
        </w:rPr>
        <w:t>-</w:t>
      </w:r>
      <w:r w:rsidR="008C4C66" w:rsidRPr="008C4C66">
        <w:rPr>
          <w:color w:val="000000" w:themeColor="text1"/>
          <w:sz w:val="22"/>
          <w:szCs w:val="22"/>
        </w:rPr>
        <w:t xml:space="preserve">calibration of instruments relied upon by the EAL, </w:t>
      </w:r>
      <w:r w:rsidR="00D34171">
        <w:rPr>
          <w:color w:val="000000" w:themeColor="text1"/>
          <w:sz w:val="22"/>
          <w:szCs w:val="22"/>
        </w:rPr>
        <w:t xml:space="preserve">errors in calculation of the EAL threshold, </w:t>
      </w:r>
      <w:r w:rsidR="008C4C66" w:rsidRPr="008C4C66">
        <w:rPr>
          <w:color w:val="000000" w:themeColor="text1"/>
          <w:sz w:val="22"/>
          <w:szCs w:val="22"/>
        </w:rPr>
        <w:t>and by deficiencies in classification procedures, ERO staffing or training, or any other capability necessary to complete the classification or declaration.</w:t>
      </w:r>
      <w:r w:rsidR="008C4C66">
        <w:rPr>
          <w:sz w:val="22"/>
          <w:szCs w:val="22"/>
        </w:rPr>
        <w:t xml:space="preserve">  </w:t>
      </w:r>
      <w:r w:rsidR="00E82483" w:rsidRPr="00CE6806">
        <w:rPr>
          <w:sz w:val="22"/>
          <w:szCs w:val="22"/>
        </w:rPr>
        <w:t>A</w:t>
      </w:r>
      <w:r w:rsidR="00497F31" w:rsidRPr="00CE6806">
        <w:rPr>
          <w:sz w:val="22"/>
          <w:szCs w:val="22"/>
        </w:rPr>
        <w:t xml:space="preserve"> particular EAL may include a list of redundant instrument channels</w:t>
      </w:r>
      <w:r w:rsidR="0063520F">
        <w:rPr>
          <w:sz w:val="22"/>
          <w:szCs w:val="22"/>
        </w:rPr>
        <w:t>;</w:t>
      </w:r>
      <w:r w:rsidR="00497F31" w:rsidRPr="00CE6806">
        <w:rPr>
          <w:sz w:val="22"/>
          <w:szCs w:val="22"/>
        </w:rPr>
        <w:t xml:space="preserve"> </w:t>
      </w:r>
      <w:r w:rsidR="00A03B1E" w:rsidRPr="00CE6806">
        <w:rPr>
          <w:sz w:val="22"/>
          <w:szCs w:val="22"/>
        </w:rPr>
        <w:t xml:space="preserve">however, </w:t>
      </w:r>
      <w:r w:rsidR="00497F31" w:rsidRPr="00CE6806">
        <w:rPr>
          <w:sz w:val="22"/>
          <w:szCs w:val="22"/>
        </w:rPr>
        <w:t xml:space="preserve">it is treated as a single EAL for significance purposes.  </w:t>
      </w:r>
    </w:p>
    <w:p w:rsidR="00C84A94" w:rsidRPr="00CE6806" w:rsidRDefault="00C84A94" w:rsidP="00EB12BF">
      <w:pPr>
        <w:pStyle w:val="609noindent"/>
        <w:jc w:val="left"/>
        <w:rPr>
          <w:sz w:val="22"/>
          <w:szCs w:val="22"/>
        </w:rPr>
      </w:pPr>
    </w:p>
    <w:p w:rsidR="00497F31" w:rsidRPr="00CE6806" w:rsidRDefault="00497F31" w:rsidP="00EB12BF">
      <w:pPr>
        <w:pStyle w:val="609noindent"/>
        <w:jc w:val="left"/>
        <w:rPr>
          <w:sz w:val="22"/>
          <w:szCs w:val="22"/>
        </w:rPr>
      </w:pPr>
      <w:r w:rsidRPr="00CE6806">
        <w:rPr>
          <w:sz w:val="22"/>
          <w:szCs w:val="22"/>
        </w:rPr>
        <w:t>The significance of findings related to ineffective EALs is based on</w:t>
      </w:r>
      <w:r w:rsidR="0063520F">
        <w:rPr>
          <w:sz w:val="22"/>
          <w:szCs w:val="22"/>
        </w:rPr>
        <w:t>:</w:t>
      </w:r>
      <w:r w:rsidRPr="00CE6806">
        <w:rPr>
          <w:sz w:val="22"/>
          <w:szCs w:val="22"/>
        </w:rPr>
        <w:t xml:space="preserve"> (1) </w:t>
      </w:r>
      <w:r w:rsidR="00A9059A">
        <w:rPr>
          <w:sz w:val="22"/>
          <w:szCs w:val="22"/>
        </w:rPr>
        <w:t>the</w:t>
      </w:r>
      <w:r w:rsidRPr="00CE6806">
        <w:rPr>
          <w:sz w:val="22"/>
          <w:szCs w:val="22"/>
        </w:rPr>
        <w:t xml:space="preserve"> emergency classification </w:t>
      </w:r>
      <w:r w:rsidR="00A9059A">
        <w:rPr>
          <w:sz w:val="22"/>
          <w:szCs w:val="22"/>
        </w:rPr>
        <w:t xml:space="preserve">level </w:t>
      </w:r>
      <w:r w:rsidRPr="00CE6806">
        <w:rPr>
          <w:sz w:val="22"/>
          <w:szCs w:val="22"/>
        </w:rPr>
        <w:t>the EAL is associated with</w:t>
      </w:r>
      <w:r w:rsidR="0063520F">
        <w:rPr>
          <w:sz w:val="22"/>
          <w:szCs w:val="22"/>
        </w:rPr>
        <w:t>;</w:t>
      </w:r>
      <w:r w:rsidRPr="00CE6806">
        <w:rPr>
          <w:sz w:val="22"/>
          <w:szCs w:val="22"/>
        </w:rPr>
        <w:t xml:space="preserve"> and</w:t>
      </w:r>
      <w:r w:rsidR="0063520F">
        <w:rPr>
          <w:sz w:val="22"/>
          <w:szCs w:val="22"/>
        </w:rPr>
        <w:t>,</w:t>
      </w:r>
      <w:r w:rsidRPr="00CE6806">
        <w:rPr>
          <w:sz w:val="22"/>
          <w:szCs w:val="22"/>
        </w:rPr>
        <w:t xml:space="preserve"> (2) one of the following characteristics:</w:t>
      </w:r>
    </w:p>
    <w:p w:rsidR="00497F31" w:rsidRPr="00CE6806" w:rsidRDefault="00497F31" w:rsidP="00EB12BF">
      <w:pPr>
        <w:pStyle w:val="609noindent"/>
        <w:jc w:val="left"/>
        <w:rPr>
          <w:sz w:val="22"/>
          <w:szCs w:val="22"/>
        </w:rPr>
      </w:pPr>
    </w:p>
    <w:p w:rsidR="00497F31" w:rsidRPr="00CE6806" w:rsidRDefault="00497F31" w:rsidP="00EB12BF">
      <w:pPr>
        <w:pStyle w:val="609noindent"/>
        <w:numPr>
          <w:ilvl w:val="0"/>
          <w:numId w:val="15"/>
        </w:numPr>
        <w:spacing w:after="100"/>
        <w:jc w:val="left"/>
        <w:rPr>
          <w:sz w:val="22"/>
          <w:szCs w:val="22"/>
        </w:rPr>
      </w:pPr>
      <w:r w:rsidRPr="00CE6806">
        <w:rPr>
          <w:sz w:val="22"/>
          <w:szCs w:val="22"/>
        </w:rPr>
        <w:t xml:space="preserve">The emergency would not be declared for a particular off-normal event (i.e., </w:t>
      </w:r>
      <w:r w:rsidRPr="00CE6806">
        <w:rPr>
          <w:caps/>
          <w:sz w:val="22"/>
          <w:szCs w:val="22"/>
        </w:rPr>
        <w:t>Loss of RSPS function</w:t>
      </w:r>
      <w:r w:rsidRPr="00CE6806">
        <w:rPr>
          <w:sz w:val="22"/>
          <w:szCs w:val="22"/>
        </w:rPr>
        <w:t>),</w:t>
      </w:r>
    </w:p>
    <w:p w:rsidR="00497F31" w:rsidRPr="00CE6806" w:rsidRDefault="00497F31" w:rsidP="00EB12BF">
      <w:pPr>
        <w:pStyle w:val="609noindent"/>
        <w:numPr>
          <w:ilvl w:val="0"/>
          <w:numId w:val="15"/>
        </w:numPr>
        <w:spacing w:after="100"/>
        <w:jc w:val="left"/>
        <w:rPr>
          <w:sz w:val="22"/>
          <w:szCs w:val="22"/>
        </w:rPr>
      </w:pPr>
      <w:r w:rsidRPr="00CE6806">
        <w:rPr>
          <w:sz w:val="22"/>
          <w:szCs w:val="22"/>
        </w:rPr>
        <w:t xml:space="preserve">The emergency would not be declared for a particular off-normal event, but because of other EALs, an appropriate declaration could be made in a degraded manner (i.e., </w:t>
      </w:r>
      <w:r w:rsidRPr="00CE6806">
        <w:rPr>
          <w:caps/>
          <w:sz w:val="22"/>
          <w:szCs w:val="22"/>
        </w:rPr>
        <w:t>Degraded RSPS function</w:t>
      </w:r>
      <w:r w:rsidRPr="00CE6806">
        <w:rPr>
          <w:sz w:val="22"/>
          <w:szCs w:val="22"/>
        </w:rPr>
        <w:t>)</w:t>
      </w:r>
      <w:r w:rsidR="0063520F">
        <w:rPr>
          <w:sz w:val="22"/>
          <w:szCs w:val="22"/>
        </w:rPr>
        <w:t>,</w:t>
      </w:r>
      <w:r w:rsidRPr="00CE6806">
        <w:rPr>
          <w:sz w:val="22"/>
          <w:szCs w:val="22"/>
        </w:rPr>
        <w:t xml:space="preserve"> or,</w:t>
      </w:r>
    </w:p>
    <w:p w:rsidR="00497F31" w:rsidRPr="00CE6806" w:rsidRDefault="00497F31" w:rsidP="00EB12BF">
      <w:pPr>
        <w:pStyle w:val="609noindent"/>
        <w:numPr>
          <w:ilvl w:val="0"/>
          <w:numId w:val="15"/>
        </w:numPr>
        <w:spacing w:after="100"/>
        <w:jc w:val="left"/>
        <w:rPr>
          <w:sz w:val="22"/>
          <w:szCs w:val="22"/>
        </w:rPr>
      </w:pPr>
      <w:r w:rsidRPr="00CE6806">
        <w:rPr>
          <w:sz w:val="22"/>
          <w:szCs w:val="22"/>
        </w:rPr>
        <w:t xml:space="preserve">The emergency would not be declared for a particular off-normal event, but because of other EALs, an appropriate declaration could be made in an accurate and timely manner (i.e., </w:t>
      </w:r>
      <w:r w:rsidR="00BF02B8" w:rsidRPr="00CE6806">
        <w:rPr>
          <w:sz w:val="22"/>
          <w:szCs w:val="22"/>
        </w:rPr>
        <w:t>Green</w:t>
      </w:r>
      <w:r w:rsidR="002D25C4" w:rsidRPr="00CE6806">
        <w:rPr>
          <w:sz w:val="22"/>
          <w:szCs w:val="22"/>
        </w:rPr>
        <w:t>).</w:t>
      </w:r>
    </w:p>
    <w:p w:rsidR="00BF02B8" w:rsidRPr="00CE6806" w:rsidRDefault="00BF02B8" w:rsidP="00EB12BF">
      <w:pPr>
        <w:pStyle w:val="609noindent"/>
        <w:spacing w:after="100"/>
        <w:ind w:left="360"/>
        <w:jc w:val="left"/>
        <w:rPr>
          <w:sz w:val="22"/>
          <w:szCs w:val="22"/>
        </w:rPr>
      </w:pPr>
    </w:p>
    <w:p w:rsidR="009D7C1F" w:rsidRPr="00CE6806" w:rsidRDefault="009D7C1F" w:rsidP="00EB12BF">
      <w:pPr>
        <w:pStyle w:val="609noindent"/>
        <w:jc w:val="left"/>
        <w:rPr>
          <w:sz w:val="22"/>
          <w:szCs w:val="22"/>
        </w:rPr>
      </w:pPr>
      <w:r w:rsidRPr="00CE6806">
        <w:rPr>
          <w:sz w:val="22"/>
          <w:szCs w:val="22"/>
        </w:rPr>
        <w:t xml:space="preserve">The EP SDP </w:t>
      </w:r>
      <w:r w:rsidR="004D2465" w:rsidRPr="00CE6806">
        <w:rPr>
          <w:sz w:val="22"/>
          <w:szCs w:val="22"/>
        </w:rPr>
        <w:t>generally</w:t>
      </w:r>
      <w:r w:rsidRPr="00CE6806">
        <w:rPr>
          <w:sz w:val="22"/>
          <w:szCs w:val="22"/>
        </w:rPr>
        <w:t xml:space="preserve"> </w:t>
      </w:r>
      <w:r w:rsidR="00306FF1" w:rsidRPr="00CE6806">
        <w:rPr>
          <w:sz w:val="22"/>
          <w:szCs w:val="22"/>
        </w:rPr>
        <w:t>require</w:t>
      </w:r>
      <w:r w:rsidR="004D2465" w:rsidRPr="00CE6806">
        <w:rPr>
          <w:sz w:val="22"/>
          <w:szCs w:val="22"/>
        </w:rPr>
        <w:t>s</w:t>
      </w:r>
      <w:r w:rsidR="00306FF1" w:rsidRPr="00CE6806">
        <w:rPr>
          <w:sz w:val="22"/>
          <w:szCs w:val="22"/>
        </w:rPr>
        <w:t xml:space="preserve"> that the alternative EAL being credited </w:t>
      </w:r>
      <w:r w:rsidRPr="00CE6806">
        <w:rPr>
          <w:sz w:val="22"/>
          <w:szCs w:val="22"/>
        </w:rPr>
        <w:t xml:space="preserve">be one of those specified </w:t>
      </w:r>
      <w:r w:rsidR="00311538" w:rsidRPr="00CE6806">
        <w:rPr>
          <w:sz w:val="22"/>
          <w:szCs w:val="22"/>
        </w:rPr>
        <w:t xml:space="preserve">in the EAL scheme </w:t>
      </w:r>
      <w:r w:rsidRPr="00CE6806">
        <w:rPr>
          <w:sz w:val="22"/>
          <w:szCs w:val="22"/>
        </w:rPr>
        <w:t>for the same IC.  The staff included this condition because each IC addresses a particular abnormal condition that gives rise to an emergency</w:t>
      </w:r>
      <w:r w:rsidR="00A03B1E" w:rsidRPr="00CE6806">
        <w:rPr>
          <w:sz w:val="22"/>
          <w:szCs w:val="22"/>
        </w:rPr>
        <w:t xml:space="preserve"> (e.g., uncontrolled radioactivity release, loss of one or more fission product barriers, </w:t>
      </w:r>
      <w:r w:rsidR="00A9059A">
        <w:rPr>
          <w:sz w:val="22"/>
          <w:szCs w:val="22"/>
        </w:rPr>
        <w:t>natural phenomena</w:t>
      </w:r>
      <w:r w:rsidR="00A03B1E" w:rsidRPr="00CE6806">
        <w:rPr>
          <w:sz w:val="22"/>
          <w:szCs w:val="22"/>
        </w:rPr>
        <w:t>, etc.)</w:t>
      </w:r>
      <w:r w:rsidR="002D25C4" w:rsidRPr="00CE6806">
        <w:rPr>
          <w:sz w:val="22"/>
          <w:szCs w:val="22"/>
        </w:rPr>
        <w:t>.  An</w:t>
      </w:r>
      <w:r w:rsidRPr="00CE6806">
        <w:rPr>
          <w:sz w:val="22"/>
          <w:szCs w:val="22"/>
        </w:rPr>
        <w:t xml:space="preserve"> ineffective EAL affects the licensee’s ability to classify that particular abnormal condition.  For example, an IC may be “a release of radioactivity that results in doses at the site boundary exceeding X</w:t>
      </w:r>
      <w:r w:rsidR="00CB646E" w:rsidRPr="00CE6806">
        <w:rPr>
          <w:sz w:val="22"/>
          <w:szCs w:val="22"/>
        </w:rPr>
        <w:t xml:space="preserve"> dose</w:t>
      </w:r>
      <w:r w:rsidRPr="00CE6806">
        <w:rPr>
          <w:sz w:val="22"/>
          <w:szCs w:val="22"/>
        </w:rPr>
        <w:t xml:space="preserve">.”  While </w:t>
      </w:r>
      <w:r w:rsidR="00CB646E" w:rsidRPr="00CE6806">
        <w:rPr>
          <w:sz w:val="22"/>
          <w:szCs w:val="22"/>
        </w:rPr>
        <w:t>one may</w:t>
      </w:r>
      <w:r w:rsidR="00306FF1" w:rsidRPr="00CE6806">
        <w:rPr>
          <w:sz w:val="22"/>
          <w:szCs w:val="22"/>
        </w:rPr>
        <w:t xml:space="preserve"> argue</w:t>
      </w:r>
      <w:r w:rsidRPr="00CE6806">
        <w:rPr>
          <w:sz w:val="22"/>
          <w:szCs w:val="22"/>
        </w:rPr>
        <w:t xml:space="preserve"> that X </w:t>
      </w:r>
      <w:r w:rsidR="00CB646E" w:rsidRPr="00CE6806">
        <w:rPr>
          <w:sz w:val="22"/>
          <w:szCs w:val="22"/>
        </w:rPr>
        <w:t xml:space="preserve">dose </w:t>
      </w:r>
      <w:r w:rsidRPr="00CE6806">
        <w:rPr>
          <w:sz w:val="22"/>
          <w:szCs w:val="22"/>
        </w:rPr>
        <w:t xml:space="preserve">could not occur without one </w:t>
      </w:r>
      <w:r w:rsidR="0063520F">
        <w:rPr>
          <w:sz w:val="22"/>
          <w:szCs w:val="22"/>
        </w:rPr>
        <w:t>or</w:t>
      </w:r>
      <w:r w:rsidRPr="00CE6806">
        <w:rPr>
          <w:sz w:val="22"/>
          <w:szCs w:val="22"/>
        </w:rPr>
        <w:t xml:space="preserve"> more EAL thresholds in the fission product barrier matrix being exceeded, </w:t>
      </w:r>
      <w:r w:rsidR="009B4F9D" w:rsidRPr="00CE6806">
        <w:rPr>
          <w:sz w:val="22"/>
          <w:szCs w:val="22"/>
        </w:rPr>
        <w:t>a</w:t>
      </w:r>
      <w:r w:rsidRPr="00CE6806">
        <w:rPr>
          <w:sz w:val="22"/>
          <w:szCs w:val="22"/>
        </w:rPr>
        <w:t xml:space="preserve"> </w:t>
      </w:r>
      <w:r w:rsidR="009B4F9D" w:rsidRPr="00CE6806">
        <w:rPr>
          <w:sz w:val="22"/>
          <w:szCs w:val="22"/>
        </w:rPr>
        <w:t xml:space="preserve">release that may result in </w:t>
      </w:r>
      <w:r w:rsidRPr="00CE6806">
        <w:rPr>
          <w:sz w:val="22"/>
          <w:szCs w:val="22"/>
        </w:rPr>
        <w:t>X</w:t>
      </w:r>
      <w:r w:rsidR="00CB646E" w:rsidRPr="00CE6806">
        <w:rPr>
          <w:sz w:val="22"/>
          <w:szCs w:val="22"/>
        </w:rPr>
        <w:t xml:space="preserve"> dose</w:t>
      </w:r>
      <w:r w:rsidRPr="00CE6806">
        <w:rPr>
          <w:sz w:val="22"/>
          <w:szCs w:val="22"/>
        </w:rPr>
        <w:t xml:space="preserve"> may be </w:t>
      </w:r>
      <w:r w:rsidR="009B4F9D" w:rsidRPr="00CE6806">
        <w:rPr>
          <w:sz w:val="22"/>
          <w:szCs w:val="22"/>
        </w:rPr>
        <w:t xml:space="preserve">due to a condition </w:t>
      </w:r>
      <w:r w:rsidR="00306FF1" w:rsidRPr="00CE6806">
        <w:rPr>
          <w:sz w:val="22"/>
          <w:szCs w:val="22"/>
        </w:rPr>
        <w:t>not encompasse</w:t>
      </w:r>
      <w:r w:rsidR="0063520F">
        <w:rPr>
          <w:sz w:val="22"/>
          <w:szCs w:val="22"/>
        </w:rPr>
        <w:t>d</w:t>
      </w:r>
      <w:r w:rsidRPr="00CE6806">
        <w:rPr>
          <w:sz w:val="22"/>
          <w:szCs w:val="22"/>
        </w:rPr>
        <w:t xml:space="preserve"> by the fission product barrier matrix (e.g., spent fuel pool accident</w:t>
      </w:r>
      <w:r w:rsidR="009B4F9D" w:rsidRPr="00CE6806">
        <w:rPr>
          <w:sz w:val="22"/>
          <w:szCs w:val="22"/>
        </w:rPr>
        <w:t xml:space="preserve">, </w:t>
      </w:r>
      <w:r w:rsidR="00CB646E" w:rsidRPr="00CE6806">
        <w:rPr>
          <w:sz w:val="22"/>
          <w:szCs w:val="22"/>
        </w:rPr>
        <w:t>distinguishing between Site Area or General Emergency for a</w:t>
      </w:r>
      <w:r w:rsidR="009B4F9D" w:rsidRPr="00CE6806">
        <w:rPr>
          <w:sz w:val="22"/>
          <w:szCs w:val="22"/>
        </w:rPr>
        <w:t xml:space="preserve"> steam generator tube rupture with steam </w:t>
      </w:r>
      <w:r w:rsidR="002D25C4" w:rsidRPr="00CE6806">
        <w:rPr>
          <w:sz w:val="22"/>
          <w:szCs w:val="22"/>
        </w:rPr>
        <w:t>release</w:t>
      </w:r>
      <w:r w:rsidR="009B4F9D" w:rsidRPr="00CE6806">
        <w:rPr>
          <w:sz w:val="22"/>
          <w:szCs w:val="22"/>
        </w:rPr>
        <w:t xml:space="preserve"> to the environment</w:t>
      </w:r>
      <w:r w:rsidRPr="00CE6806">
        <w:rPr>
          <w:sz w:val="22"/>
          <w:szCs w:val="22"/>
        </w:rPr>
        <w:t>).</w:t>
      </w:r>
    </w:p>
    <w:p w:rsidR="009D7C1F" w:rsidRPr="00CE6806" w:rsidRDefault="009D7C1F" w:rsidP="00EB12BF">
      <w:pPr>
        <w:pStyle w:val="609noindent"/>
        <w:jc w:val="left"/>
        <w:rPr>
          <w:sz w:val="22"/>
          <w:szCs w:val="22"/>
        </w:rPr>
      </w:pPr>
    </w:p>
    <w:p w:rsidR="00BF02B8" w:rsidRPr="00CE6806" w:rsidRDefault="00A9059A" w:rsidP="00EB12BF">
      <w:pPr>
        <w:pStyle w:val="609noindent"/>
        <w:jc w:val="left"/>
        <w:rPr>
          <w:sz w:val="22"/>
          <w:szCs w:val="22"/>
        </w:rPr>
      </w:pPr>
      <w:r>
        <w:rPr>
          <w:sz w:val="22"/>
          <w:szCs w:val="22"/>
        </w:rPr>
        <w:t xml:space="preserve">The consideration of </w:t>
      </w:r>
      <w:r w:rsidR="001F1FF6" w:rsidRPr="00CE6806">
        <w:rPr>
          <w:sz w:val="22"/>
          <w:szCs w:val="22"/>
        </w:rPr>
        <w:t xml:space="preserve">the emergency classification </w:t>
      </w:r>
      <w:r w:rsidR="009E4B09" w:rsidRPr="00CE6806">
        <w:rPr>
          <w:sz w:val="22"/>
          <w:szCs w:val="22"/>
        </w:rPr>
        <w:t>does not</w:t>
      </w:r>
      <w:r w:rsidR="001F1FF6" w:rsidRPr="00CE6806">
        <w:rPr>
          <w:sz w:val="22"/>
          <w:szCs w:val="22"/>
        </w:rPr>
        <w:t xml:space="preserve"> factor into most </w:t>
      </w:r>
      <w:r w:rsidR="00163D73" w:rsidRPr="00CE6806">
        <w:rPr>
          <w:caps/>
          <w:sz w:val="22"/>
          <w:szCs w:val="22"/>
        </w:rPr>
        <w:t>FTC</w:t>
      </w:r>
      <w:r w:rsidR="001F1FF6" w:rsidRPr="00CE6806">
        <w:rPr>
          <w:sz w:val="22"/>
          <w:szCs w:val="22"/>
        </w:rPr>
        <w:t xml:space="preserve"> significance assessments, bu</w:t>
      </w:r>
      <w:r w:rsidR="009E4B09" w:rsidRPr="00CE6806">
        <w:rPr>
          <w:sz w:val="22"/>
          <w:szCs w:val="22"/>
        </w:rPr>
        <w:t xml:space="preserve">t is appropriate here because an ineffective EAL has an impact only if </w:t>
      </w:r>
      <w:r w:rsidR="00CB646E" w:rsidRPr="00CE6806">
        <w:rPr>
          <w:sz w:val="22"/>
          <w:szCs w:val="22"/>
        </w:rPr>
        <w:t>that</w:t>
      </w:r>
      <w:r w:rsidR="009E4B09" w:rsidRPr="00CE6806">
        <w:rPr>
          <w:sz w:val="22"/>
          <w:szCs w:val="22"/>
        </w:rPr>
        <w:t xml:space="preserve"> emergency classification occurs</w:t>
      </w:r>
      <w:r w:rsidR="0063520F">
        <w:rPr>
          <w:sz w:val="22"/>
          <w:szCs w:val="22"/>
        </w:rPr>
        <w:t>;</w:t>
      </w:r>
      <w:r w:rsidR="009E4B09" w:rsidRPr="00CE6806">
        <w:rPr>
          <w:sz w:val="22"/>
          <w:szCs w:val="22"/>
        </w:rPr>
        <w:t xml:space="preserve"> whereas, a finding related to a notification could </w:t>
      </w:r>
      <w:r w:rsidR="00A03B1E" w:rsidRPr="00CE6806">
        <w:rPr>
          <w:sz w:val="22"/>
          <w:szCs w:val="22"/>
        </w:rPr>
        <w:t>affect</w:t>
      </w:r>
      <w:r w:rsidR="009E4B09" w:rsidRPr="00CE6806">
        <w:rPr>
          <w:sz w:val="22"/>
          <w:szCs w:val="22"/>
        </w:rPr>
        <w:t xml:space="preserve"> all emergencies</w:t>
      </w:r>
      <w:r w:rsidR="00306FF1" w:rsidRPr="00CE6806">
        <w:rPr>
          <w:sz w:val="22"/>
          <w:szCs w:val="22"/>
        </w:rPr>
        <w:t xml:space="preserve"> classifications</w:t>
      </w:r>
      <w:r w:rsidR="009E4B09" w:rsidRPr="00CE6806">
        <w:rPr>
          <w:sz w:val="22"/>
          <w:szCs w:val="22"/>
        </w:rPr>
        <w:t xml:space="preserve">.  Accordingly, an ineffective General Emergency EAL has greater potential significance than would an ineffective EAL associated with a Notice of Unusual Event (NOUE).  </w:t>
      </w:r>
    </w:p>
    <w:p w:rsidR="00BF02B8" w:rsidRPr="00CE6806" w:rsidRDefault="00BF02B8" w:rsidP="00EB12BF">
      <w:pPr>
        <w:pStyle w:val="609noindent"/>
        <w:jc w:val="left"/>
        <w:rPr>
          <w:sz w:val="22"/>
          <w:szCs w:val="22"/>
        </w:rPr>
      </w:pPr>
    </w:p>
    <w:p w:rsidR="00497F31" w:rsidRPr="00CE6806" w:rsidRDefault="009E4B09" w:rsidP="00EB12BF">
      <w:pPr>
        <w:pStyle w:val="609noindent"/>
        <w:jc w:val="left"/>
        <w:rPr>
          <w:sz w:val="22"/>
          <w:szCs w:val="22"/>
          <w:u w:val="single"/>
        </w:rPr>
      </w:pPr>
      <w:r w:rsidRPr="00CE6806">
        <w:rPr>
          <w:sz w:val="22"/>
          <w:szCs w:val="22"/>
        </w:rPr>
        <w:t>4.3.2</w:t>
      </w:r>
      <w:r w:rsidRPr="00CE6806">
        <w:rPr>
          <w:sz w:val="22"/>
          <w:szCs w:val="22"/>
        </w:rPr>
        <w:tab/>
      </w:r>
      <w:r w:rsidRPr="00CE6806">
        <w:rPr>
          <w:sz w:val="22"/>
          <w:szCs w:val="22"/>
          <w:u w:val="single"/>
        </w:rPr>
        <w:t>Deficient EAL</w:t>
      </w:r>
      <w:r w:rsidR="00057A55" w:rsidRPr="00CE6806">
        <w:rPr>
          <w:sz w:val="22"/>
          <w:szCs w:val="22"/>
          <w:u w:val="single"/>
        </w:rPr>
        <w:t xml:space="preserve"> Processe</w:t>
      </w:r>
      <w:r w:rsidRPr="00CE6806">
        <w:rPr>
          <w:sz w:val="22"/>
          <w:szCs w:val="22"/>
          <w:u w:val="single"/>
        </w:rPr>
        <w:t xml:space="preserve">s that Could Cause Over-classifications </w:t>
      </w:r>
    </w:p>
    <w:p w:rsidR="00057A55" w:rsidRPr="00CE6806" w:rsidRDefault="00057A55" w:rsidP="00EB12BF">
      <w:pPr>
        <w:pStyle w:val="609noindent"/>
        <w:jc w:val="left"/>
        <w:rPr>
          <w:sz w:val="22"/>
          <w:szCs w:val="22"/>
        </w:rPr>
      </w:pPr>
    </w:p>
    <w:p w:rsidR="0072206F" w:rsidRPr="00CE6806" w:rsidRDefault="0072206F" w:rsidP="00EB12BF">
      <w:pPr>
        <w:pStyle w:val="609noindent"/>
        <w:jc w:val="left"/>
        <w:rPr>
          <w:sz w:val="22"/>
          <w:szCs w:val="22"/>
        </w:rPr>
      </w:pPr>
      <w:r w:rsidRPr="00CE6806">
        <w:rPr>
          <w:sz w:val="22"/>
          <w:szCs w:val="22"/>
        </w:rPr>
        <w:t xml:space="preserve">The EP SDP </w:t>
      </w:r>
      <w:r w:rsidR="00306FF1" w:rsidRPr="00CE6806">
        <w:rPr>
          <w:sz w:val="22"/>
          <w:szCs w:val="22"/>
        </w:rPr>
        <w:t>also establishe</w:t>
      </w:r>
      <w:r w:rsidR="002D25C4" w:rsidRPr="00CE6806">
        <w:rPr>
          <w:sz w:val="22"/>
          <w:szCs w:val="22"/>
        </w:rPr>
        <w:t>s</w:t>
      </w:r>
      <w:r w:rsidRPr="00CE6806">
        <w:rPr>
          <w:sz w:val="22"/>
          <w:szCs w:val="22"/>
        </w:rPr>
        <w:t xml:space="preserve"> significance for emergency action level scheme </w:t>
      </w:r>
      <w:r w:rsidR="005C224D" w:rsidRPr="00CE6806">
        <w:rPr>
          <w:sz w:val="22"/>
          <w:szCs w:val="22"/>
        </w:rPr>
        <w:t>finding</w:t>
      </w:r>
      <w:r w:rsidR="00306FF1" w:rsidRPr="00CE6806">
        <w:rPr>
          <w:sz w:val="22"/>
          <w:szCs w:val="22"/>
        </w:rPr>
        <w:t>s</w:t>
      </w:r>
      <w:r w:rsidRPr="00CE6806">
        <w:rPr>
          <w:sz w:val="22"/>
          <w:szCs w:val="22"/>
        </w:rPr>
        <w:t xml:space="preserve"> that could lead to over</w:t>
      </w:r>
      <w:r w:rsidR="0063520F">
        <w:rPr>
          <w:sz w:val="22"/>
          <w:szCs w:val="22"/>
        </w:rPr>
        <w:t>-</w:t>
      </w:r>
      <w:r w:rsidRPr="00CE6806">
        <w:rPr>
          <w:sz w:val="22"/>
          <w:szCs w:val="22"/>
        </w:rPr>
        <w:t>classifications and unwarranted declarations:</w:t>
      </w:r>
    </w:p>
    <w:p w:rsidR="0072206F" w:rsidRPr="00CE6806" w:rsidRDefault="0072206F" w:rsidP="00EB12BF">
      <w:pPr>
        <w:pStyle w:val="609noindent"/>
        <w:jc w:val="left"/>
        <w:rPr>
          <w:sz w:val="22"/>
          <w:szCs w:val="22"/>
        </w:rPr>
      </w:pPr>
    </w:p>
    <w:p w:rsidR="0072206F" w:rsidRPr="00CE6806" w:rsidRDefault="0072206F" w:rsidP="00EB12BF">
      <w:pPr>
        <w:pStyle w:val="609noindent"/>
        <w:numPr>
          <w:ilvl w:val="0"/>
          <w:numId w:val="11"/>
        </w:numPr>
        <w:jc w:val="left"/>
        <w:rPr>
          <w:sz w:val="22"/>
          <w:szCs w:val="22"/>
        </w:rPr>
      </w:pPr>
      <w:r w:rsidRPr="00CE6806">
        <w:rPr>
          <w:sz w:val="22"/>
          <w:szCs w:val="22"/>
        </w:rPr>
        <w:t xml:space="preserve">A finding associated with a deficient emergency classification process that would cause over classification and would result in OROs implementing unnecessary protective actions for the public would have White significance.  The White significance is consistent with the emergency classification function being degraded rather than lost </w:t>
      </w:r>
      <w:r w:rsidR="00A03B1E" w:rsidRPr="00CE6806">
        <w:rPr>
          <w:sz w:val="22"/>
          <w:szCs w:val="22"/>
        </w:rPr>
        <w:t xml:space="preserve">(e.g., other EALs in scheme are effective) </w:t>
      </w:r>
      <w:r w:rsidRPr="00CE6806">
        <w:rPr>
          <w:sz w:val="22"/>
          <w:szCs w:val="22"/>
        </w:rPr>
        <w:t xml:space="preserve">and the fact that the deficiency was identified </w:t>
      </w:r>
      <w:r w:rsidR="00306FF1" w:rsidRPr="00CE6806">
        <w:rPr>
          <w:sz w:val="22"/>
          <w:szCs w:val="22"/>
        </w:rPr>
        <w:t>during normal operations</w:t>
      </w:r>
      <w:r w:rsidR="00A03B1E" w:rsidRPr="00CE6806">
        <w:rPr>
          <w:sz w:val="22"/>
          <w:szCs w:val="22"/>
        </w:rPr>
        <w:t>, rather than an emergency</w:t>
      </w:r>
      <w:r w:rsidRPr="00CE6806">
        <w:rPr>
          <w:sz w:val="22"/>
          <w:szCs w:val="22"/>
        </w:rPr>
        <w:t>.</w:t>
      </w:r>
      <w:r w:rsidR="00A03B1E" w:rsidRPr="00CE6806">
        <w:rPr>
          <w:sz w:val="22"/>
          <w:szCs w:val="22"/>
        </w:rPr>
        <w:t xml:space="preserve">  The EP SDP applies this criterion only in cases in which the offsite response would be explicitly driven by ORO response procedures triggered by the declared classification (e.g., “…when the plant reports this, do this…”) or the licensee makes an unnecessary PAR to the OROs because of an over-classification.</w:t>
      </w:r>
    </w:p>
    <w:p w:rsidR="0072206F" w:rsidRPr="00CE6806" w:rsidRDefault="0072206F" w:rsidP="00EB12BF">
      <w:pPr>
        <w:pStyle w:val="609noindent"/>
        <w:jc w:val="left"/>
        <w:rPr>
          <w:sz w:val="22"/>
          <w:szCs w:val="22"/>
        </w:rPr>
      </w:pPr>
    </w:p>
    <w:p w:rsidR="0072206F" w:rsidRPr="00CE6806" w:rsidRDefault="0072206F" w:rsidP="00EB12BF">
      <w:pPr>
        <w:pStyle w:val="609noindent"/>
        <w:numPr>
          <w:ilvl w:val="0"/>
          <w:numId w:val="11"/>
        </w:numPr>
        <w:jc w:val="left"/>
        <w:rPr>
          <w:sz w:val="22"/>
          <w:szCs w:val="22"/>
        </w:rPr>
      </w:pPr>
      <w:r w:rsidRPr="00CE6806">
        <w:rPr>
          <w:sz w:val="22"/>
          <w:szCs w:val="22"/>
        </w:rPr>
        <w:t xml:space="preserve">A finding associated with a deficient </w:t>
      </w:r>
      <w:r w:rsidR="00306FF1" w:rsidRPr="00CE6806">
        <w:rPr>
          <w:sz w:val="22"/>
          <w:szCs w:val="22"/>
        </w:rPr>
        <w:t>emergency classification process</w:t>
      </w:r>
      <w:r w:rsidRPr="00CE6806">
        <w:rPr>
          <w:sz w:val="22"/>
          <w:szCs w:val="22"/>
        </w:rPr>
        <w:t xml:space="preserve"> that would cause over</w:t>
      </w:r>
      <w:r w:rsidR="0063520F">
        <w:rPr>
          <w:sz w:val="22"/>
          <w:szCs w:val="22"/>
        </w:rPr>
        <w:t>-</w:t>
      </w:r>
      <w:r w:rsidRPr="00CE6806">
        <w:rPr>
          <w:sz w:val="22"/>
          <w:szCs w:val="22"/>
        </w:rPr>
        <w:t>classification and would result in an unnecessary emergency declaration would have Green significance.</w:t>
      </w:r>
      <w:r w:rsidR="00A9059A">
        <w:rPr>
          <w:sz w:val="22"/>
          <w:szCs w:val="22"/>
        </w:rPr>
        <w:t xml:space="preserve">  </w:t>
      </w:r>
    </w:p>
    <w:p w:rsidR="00AA465E" w:rsidRPr="00CE6806" w:rsidRDefault="00AA465E" w:rsidP="00EB12BF">
      <w:pPr>
        <w:pStyle w:val="609noindent"/>
        <w:jc w:val="left"/>
        <w:rPr>
          <w:sz w:val="22"/>
          <w:szCs w:val="22"/>
        </w:rPr>
      </w:pPr>
    </w:p>
    <w:p w:rsidR="0072206F" w:rsidRPr="00CE6806" w:rsidRDefault="0072206F" w:rsidP="00EB12BF">
      <w:pPr>
        <w:pStyle w:val="609noindent"/>
        <w:jc w:val="left"/>
        <w:rPr>
          <w:b/>
          <w:sz w:val="22"/>
          <w:szCs w:val="22"/>
        </w:rPr>
      </w:pPr>
      <w:r w:rsidRPr="00CE6806">
        <w:rPr>
          <w:b/>
          <w:sz w:val="22"/>
          <w:szCs w:val="22"/>
        </w:rPr>
        <w:t>4.4</w:t>
      </w:r>
      <w:r w:rsidRPr="00CE6806">
        <w:rPr>
          <w:b/>
          <w:sz w:val="22"/>
          <w:szCs w:val="22"/>
        </w:rPr>
        <w:tab/>
      </w:r>
      <w:r w:rsidRPr="00F15FEB">
        <w:rPr>
          <w:b/>
          <w:sz w:val="22"/>
          <w:szCs w:val="22"/>
          <w:u w:val="single"/>
        </w:rPr>
        <w:t>Significance of Findings Related to Hardware Issues</w:t>
      </w:r>
      <w:r w:rsidRPr="00CE6806">
        <w:rPr>
          <w:b/>
          <w:sz w:val="22"/>
          <w:szCs w:val="22"/>
        </w:rPr>
        <w:t xml:space="preserve"> </w:t>
      </w:r>
    </w:p>
    <w:p w:rsidR="0072206F" w:rsidRPr="00CE6806" w:rsidRDefault="0072206F" w:rsidP="00EB12BF">
      <w:pPr>
        <w:pStyle w:val="609noindent"/>
        <w:jc w:val="left"/>
        <w:rPr>
          <w:sz w:val="22"/>
          <w:szCs w:val="22"/>
        </w:rPr>
      </w:pPr>
    </w:p>
    <w:p w:rsidR="0072206F" w:rsidRPr="00CE6806" w:rsidRDefault="0072206F" w:rsidP="00EB12BF">
      <w:pPr>
        <w:pStyle w:val="609noindent"/>
        <w:jc w:val="left"/>
        <w:rPr>
          <w:sz w:val="22"/>
          <w:szCs w:val="22"/>
        </w:rPr>
      </w:pPr>
      <w:r w:rsidRPr="00CE6806">
        <w:rPr>
          <w:sz w:val="22"/>
          <w:szCs w:val="22"/>
        </w:rPr>
        <w:t xml:space="preserve">The EP SDP </w:t>
      </w:r>
      <w:r w:rsidR="00A93526" w:rsidRPr="00CE6806">
        <w:rPr>
          <w:sz w:val="22"/>
          <w:szCs w:val="22"/>
        </w:rPr>
        <w:t>addresses findings related</w:t>
      </w:r>
      <w:r w:rsidRPr="00CE6806">
        <w:rPr>
          <w:sz w:val="22"/>
          <w:szCs w:val="22"/>
        </w:rPr>
        <w:t xml:space="preserve"> to hardware issues (e.g., instrumentation or communication system unavailability), in which the significance may be reduced if the licensee implements </w:t>
      </w:r>
      <w:r w:rsidRPr="00CE6806">
        <w:rPr>
          <w:caps/>
          <w:sz w:val="22"/>
          <w:szCs w:val="22"/>
        </w:rPr>
        <w:t>compensatory measures</w:t>
      </w:r>
      <w:r w:rsidRPr="00CE6806">
        <w:rPr>
          <w:sz w:val="22"/>
          <w:szCs w:val="22"/>
        </w:rPr>
        <w:t xml:space="preserve"> within a certain period following discovery.  This protocol recognizes that not all hardware failures are under the control of the licensee and instead assesses significance on the timeliness and adequacy of short-term </w:t>
      </w:r>
      <w:r w:rsidRPr="00CE6806">
        <w:rPr>
          <w:caps/>
          <w:sz w:val="22"/>
          <w:szCs w:val="22"/>
        </w:rPr>
        <w:t>compensatory actions</w:t>
      </w:r>
      <w:r w:rsidR="00CB70AF" w:rsidRPr="00CE6806">
        <w:rPr>
          <w:sz w:val="22"/>
          <w:szCs w:val="22"/>
        </w:rPr>
        <w:t xml:space="preserve">, </w:t>
      </w:r>
      <w:r w:rsidR="009B4F9D" w:rsidRPr="00CE6806">
        <w:rPr>
          <w:sz w:val="22"/>
          <w:szCs w:val="22"/>
        </w:rPr>
        <w:t>and/or</w:t>
      </w:r>
      <w:r w:rsidR="00CB70AF" w:rsidRPr="00CE6806">
        <w:rPr>
          <w:sz w:val="22"/>
          <w:szCs w:val="22"/>
        </w:rPr>
        <w:t>,</w:t>
      </w:r>
      <w:r w:rsidR="009B4F9D" w:rsidRPr="00CE6806">
        <w:rPr>
          <w:sz w:val="22"/>
          <w:szCs w:val="22"/>
        </w:rPr>
        <w:t xml:space="preserve"> the </w:t>
      </w:r>
      <w:r w:rsidR="00A93526" w:rsidRPr="00CE6806">
        <w:rPr>
          <w:sz w:val="22"/>
          <w:szCs w:val="22"/>
        </w:rPr>
        <w:t>scope</w:t>
      </w:r>
      <w:r w:rsidR="009B4F9D" w:rsidRPr="00CE6806">
        <w:rPr>
          <w:sz w:val="22"/>
          <w:szCs w:val="22"/>
        </w:rPr>
        <w:t xml:space="preserve"> of the outage</w:t>
      </w:r>
      <w:r w:rsidRPr="00CE6806">
        <w:rPr>
          <w:sz w:val="22"/>
          <w:szCs w:val="22"/>
        </w:rPr>
        <w:t xml:space="preserve">.  </w:t>
      </w:r>
    </w:p>
    <w:p w:rsidR="0072206F" w:rsidRPr="00CE6806" w:rsidRDefault="0072206F" w:rsidP="00EB12BF">
      <w:pPr>
        <w:pStyle w:val="609noindent"/>
        <w:jc w:val="left"/>
        <w:rPr>
          <w:sz w:val="22"/>
          <w:szCs w:val="22"/>
        </w:rPr>
      </w:pPr>
    </w:p>
    <w:p w:rsidR="00556464" w:rsidRPr="00CE6806" w:rsidRDefault="00556464" w:rsidP="00EB12BF">
      <w:pPr>
        <w:pStyle w:val="609noindent"/>
        <w:jc w:val="left"/>
        <w:rPr>
          <w:b/>
          <w:sz w:val="22"/>
          <w:szCs w:val="22"/>
        </w:rPr>
      </w:pPr>
      <w:r w:rsidRPr="00CE6806">
        <w:rPr>
          <w:b/>
          <w:sz w:val="22"/>
          <w:szCs w:val="22"/>
        </w:rPr>
        <w:t>4.5</w:t>
      </w:r>
      <w:r w:rsidRPr="00CE6806">
        <w:rPr>
          <w:b/>
          <w:sz w:val="22"/>
          <w:szCs w:val="22"/>
        </w:rPr>
        <w:tab/>
      </w:r>
      <w:r w:rsidR="00BA5AA8" w:rsidRPr="00CE6806">
        <w:rPr>
          <w:b/>
          <w:sz w:val="22"/>
          <w:szCs w:val="22"/>
          <w:u w:val="single"/>
        </w:rPr>
        <w:t>Significance of Findings Related to Alert and Notification System</w:t>
      </w:r>
    </w:p>
    <w:p w:rsidR="00556464" w:rsidRPr="00CE6806" w:rsidRDefault="00556464" w:rsidP="00EB12BF">
      <w:pPr>
        <w:pStyle w:val="609noindent"/>
        <w:jc w:val="left"/>
        <w:rPr>
          <w:sz w:val="22"/>
          <w:szCs w:val="22"/>
        </w:rPr>
      </w:pPr>
    </w:p>
    <w:p w:rsidR="00556464" w:rsidRPr="00CE6806" w:rsidRDefault="00556464" w:rsidP="00EB12BF">
      <w:pPr>
        <w:pStyle w:val="609noindent"/>
        <w:jc w:val="left"/>
        <w:rPr>
          <w:sz w:val="22"/>
          <w:szCs w:val="22"/>
        </w:rPr>
      </w:pPr>
      <w:r w:rsidRPr="00CE6806">
        <w:rPr>
          <w:sz w:val="22"/>
          <w:szCs w:val="22"/>
        </w:rPr>
        <w:t xml:space="preserve">Alert and notification systems (ANS) are used by OROs to alert and to provide instructions </w:t>
      </w:r>
      <w:r w:rsidR="00CB646E" w:rsidRPr="00CE6806">
        <w:rPr>
          <w:sz w:val="22"/>
          <w:szCs w:val="22"/>
        </w:rPr>
        <w:t>to the public</w:t>
      </w:r>
      <w:r w:rsidR="0063520F">
        <w:rPr>
          <w:sz w:val="22"/>
          <w:szCs w:val="22"/>
        </w:rPr>
        <w:t xml:space="preserve"> (i.e., notify)</w:t>
      </w:r>
      <w:r w:rsidR="00CB646E" w:rsidRPr="00CE6806">
        <w:rPr>
          <w:sz w:val="22"/>
          <w:szCs w:val="22"/>
        </w:rPr>
        <w:t xml:space="preserve"> </w:t>
      </w:r>
      <w:r w:rsidRPr="00CE6806">
        <w:rPr>
          <w:sz w:val="22"/>
          <w:szCs w:val="22"/>
        </w:rPr>
        <w:t xml:space="preserve">during an actual radiological emergency.  Because many licensees have assumed responsibility for the </w:t>
      </w:r>
      <w:r w:rsidR="0063520F">
        <w:rPr>
          <w:sz w:val="22"/>
          <w:szCs w:val="22"/>
        </w:rPr>
        <w:t>testing and maintenance</w:t>
      </w:r>
      <w:r w:rsidRPr="00CE6806">
        <w:rPr>
          <w:sz w:val="22"/>
          <w:szCs w:val="22"/>
        </w:rPr>
        <w:t xml:space="preserve"> of ANS on behalf of the ORO officials</w:t>
      </w:r>
      <w:r w:rsidR="002C1D6E" w:rsidRPr="00CE6806">
        <w:rPr>
          <w:sz w:val="22"/>
          <w:szCs w:val="22"/>
        </w:rPr>
        <w:t xml:space="preserve"> (i.e., self-imposed standard)</w:t>
      </w:r>
      <w:r w:rsidRPr="00CE6806">
        <w:rPr>
          <w:sz w:val="22"/>
          <w:szCs w:val="22"/>
        </w:rPr>
        <w:t xml:space="preserve">, significance examples related to </w:t>
      </w:r>
      <w:r w:rsidR="004D2465" w:rsidRPr="00CE6806">
        <w:rPr>
          <w:sz w:val="22"/>
          <w:szCs w:val="22"/>
        </w:rPr>
        <w:t xml:space="preserve">the </w:t>
      </w:r>
      <w:r w:rsidRPr="00CE6806">
        <w:rPr>
          <w:sz w:val="22"/>
          <w:szCs w:val="22"/>
        </w:rPr>
        <w:t xml:space="preserve">ANS </w:t>
      </w:r>
      <w:r w:rsidR="0063520F">
        <w:rPr>
          <w:sz w:val="22"/>
          <w:szCs w:val="22"/>
        </w:rPr>
        <w:t xml:space="preserve">have </w:t>
      </w:r>
      <w:r w:rsidRPr="00CE6806">
        <w:rPr>
          <w:sz w:val="22"/>
          <w:szCs w:val="22"/>
        </w:rPr>
        <w:t>been included in the EP SDP.</w:t>
      </w:r>
      <w:r w:rsidR="006A7254" w:rsidRPr="006A7254">
        <w:rPr>
          <w:rStyle w:val="FootnoteReference"/>
          <w:sz w:val="22"/>
          <w:szCs w:val="22"/>
          <w:vertAlign w:val="superscript"/>
        </w:rPr>
        <w:t xml:space="preserve"> </w:t>
      </w:r>
      <w:r w:rsidR="006A7254" w:rsidRPr="00CE6806">
        <w:rPr>
          <w:rStyle w:val="FootnoteReference"/>
          <w:sz w:val="22"/>
          <w:szCs w:val="22"/>
          <w:vertAlign w:val="superscript"/>
        </w:rPr>
        <w:footnoteReference w:id="12"/>
      </w:r>
      <w:r w:rsidR="006A7254" w:rsidRPr="00CE6806">
        <w:rPr>
          <w:sz w:val="22"/>
          <w:szCs w:val="22"/>
        </w:rPr>
        <w:t xml:space="preserve"> </w:t>
      </w:r>
      <w:r w:rsidRPr="00CE6806">
        <w:rPr>
          <w:sz w:val="22"/>
          <w:szCs w:val="22"/>
        </w:rPr>
        <w:t xml:space="preserve">  The EP Cornerstone does not evaluate the ability of the ANS to alert and notify the public as the technical adequacy of the ANS and its testing and maintena</w:t>
      </w:r>
      <w:r w:rsidR="00A9059A">
        <w:rPr>
          <w:sz w:val="22"/>
          <w:szCs w:val="22"/>
        </w:rPr>
        <w:t xml:space="preserve">nce is under the purview of </w:t>
      </w:r>
      <w:r w:rsidR="00CB646E" w:rsidRPr="00CE6806">
        <w:rPr>
          <w:sz w:val="22"/>
          <w:szCs w:val="22"/>
        </w:rPr>
        <w:t>FEMA</w:t>
      </w:r>
      <w:r w:rsidRPr="00CE6806">
        <w:rPr>
          <w:sz w:val="22"/>
          <w:szCs w:val="22"/>
        </w:rPr>
        <w:t xml:space="preserve">.  </w:t>
      </w:r>
      <w:r w:rsidR="002C1D6E" w:rsidRPr="00CE6806">
        <w:rPr>
          <w:sz w:val="22"/>
          <w:szCs w:val="22"/>
        </w:rPr>
        <w:t>Rather, t</w:t>
      </w:r>
      <w:r w:rsidRPr="00CE6806">
        <w:rPr>
          <w:sz w:val="22"/>
          <w:szCs w:val="22"/>
        </w:rPr>
        <w:t xml:space="preserve">he EP cornerstone of the ROP evaluates the licensee’s performance with regard to maintaining the ANS in accordance with the testing and maintenance </w:t>
      </w:r>
      <w:r w:rsidR="0063520F">
        <w:rPr>
          <w:sz w:val="22"/>
          <w:szCs w:val="22"/>
        </w:rPr>
        <w:t>commitments as outlined</w:t>
      </w:r>
      <w:r w:rsidRPr="00CE6806">
        <w:rPr>
          <w:sz w:val="22"/>
          <w:szCs w:val="22"/>
        </w:rPr>
        <w:t xml:space="preserve"> in the </w:t>
      </w:r>
      <w:r w:rsidR="00A9059A">
        <w:rPr>
          <w:sz w:val="22"/>
          <w:szCs w:val="22"/>
        </w:rPr>
        <w:t xml:space="preserve">FEMA-approved </w:t>
      </w:r>
      <w:r w:rsidRPr="00CE6806">
        <w:rPr>
          <w:sz w:val="22"/>
          <w:szCs w:val="22"/>
        </w:rPr>
        <w:t>final design report</w:t>
      </w:r>
      <w:r w:rsidR="00CB646E" w:rsidRPr="00CE6806">
        <w:rPr>
          <w:sz w:val="22"/>
          <w:szCs w:val="22"/>
        </w:rPr>
        <w:t>.</w:t>
      </w:r>
      <w:r w:rsidR="002C1D6E" w:rsidRPr="00CE6806">
        <w:rPr>
          <w:sz w:val="22"/>
          <w:szCs w:val="22"/>
        </w:rPr>
        <w:t xml:space="preserve">  </w:t>
      </w:r>
    </w:p>
    <w:p w:rsidR="00556464" w:rsidRPr="00CE6806" w:rsidRDefault="00556464" w:rsidP="00EB12BF">
      <w:pPr>
        <w:pStyle w:val="609noindent"/>
        <w:jc w:val="left"/>
        <w:rPr>
          <w:sz w:val="22"/>
          <w:szCs w:val="22"/>
        </w:rPr>
      </w:pPr>
    </w:p>
    <w:p w:rsidR="00556464" w:rsidRPr="00CE6806" w:rsidRDefault="00556464" w:rsidP="00EB12BF">
      <w:pPr>
        <w:pStyle w:val="609noindent"/>
        <w:jc w:val="left"/>
        <w:rPr>
          <w:sz w:val="22"/>
          <w:szCs w:val="22"/>
        </w:rPr>
      </w:pPr>
      <w:r w:rsidRPr="00CE6806">
        <w:rPr>
          <w:sz w:val="22"/>
          <w:szCs w:val="22"/>
        </w:rPr>
        <w:t>Within the EP Cornerstone</w:t>
      </w:r>
      <w:r w:rsidR="0063520F">
        <w:rPr>
          <w:sz w:val="22"/>
          <w:szCs w:val="22"/>
        </w:rPr>
        <w:t>,</w:t>
      </w:r>
      <w:r w:rsidRPr="00CE6806">
        <w:rPr>
          <w:sz w:val="22"/>
          <w:szCs w:val="22"/>
        </w:rPr>
        <w:t xml:space="preserve"> there is a performance indicator (ANS PI) based on the </w:t>
      </w:r>
      <w:r w:rsidRPr="0063520F">
        <w:rPr>
          <w:sz w:val="22"/>
          <w:szCs w:val="22"/>
        </w:rPr>
        <w:t>reliability</w:t>
      </w:r>
      <w:r w:rsidRPr="00CE6806">
        <w:rPr>
          <w:sz w:val="22"/>
          <w:szCs w:val="22"/>
        </w:rPr>
        <w:t xml:space="preserve"> of the ANS system as demonstrated in scheduled testing.  Although the EP SDP contains significance examples under Section 5.5 of the EP SDP that appear similar in purpose, the EP SDP examples are based on the </w:t>
      </w:r>
      <w:r w:rsidRPr="0063520F">
        <w:rPr>
          <w:sz w:val="22"/>
          <w:szCs w:val="22"/>
        </w:rPr>
        <w:t>availability</w:t>
      </w:r>
      <w:r w:rsidR="00F56FF6">
        <w:rPr>
          <w:sz w:val="22"/>
          <w:szCs w:val="22"/>
        </w:rPr>
        <w:t>,</w:t>
      </w:r>
      <w:r w:rsidRPr="00CE6806">
        <w:rPr>
          <w:sz w:val="22"/>
          <w:szCs w:val="22"/>
        </w:rPr>
        <w:t xml:space="preserve"> </w:t>
      </w:r>
      <w:r w:rsidR="00F56FF6">
        <w:rPr>
          <w:sz w:val="22"/>
          <w:szCs w:val="22"/>
        </w:rPr>
        <w:t>rather than the reliability,</w:t>
      </w:r>
      <w:r w:rsidR="00F56FF6" w:rsidRPr="00CE6806">
        <w:rPr>
          <w:sz w:val="22"/>
          <w:szCs w:val="22"/>
        </w:rPr>
        <w:t xml:space="preserve"> </w:t>
      </w:r>
      <w:r w:rsidRPr="00CE6806">
        <w:rPr>
          <w:sz w:val="22"/>
          <w:szCs w:val="22"/>
        </w:rPr>
        <w:t xml:space="preserve">of the ANS.  </w:t>
      </w:r>
      <w:r w:rsidR="00416BC0" w:rsidRPr="00CE6806">
        <w:rPr>
          <w:sz w:val="22"/>
          <w:szCs w:val="22"/>
        </w:rPr>
        <w:t>The</w:t>
      </w:r>
      <w:r w:rsidRPr="00CE6806">
        <w:rPr>
          <w:sz w:val="22"/>
          <w:szCs w:val="22"/>
        </w:rPr>
        <w:t xml:space="preserve"> EP SDP does provide that if the ANS PI has fallen below the </w:t>
      </w:r>
      <w:r w:rsidR="001D66CA">
        <w:rPr>
          <w:sz w:val="22"/>
          <w:szCs w:val="22"/>
        </w:rPr>
        <w:t>G</w:t>
      </w:r>
      <w:r w:rsidRPr="00CE6806">
        <w:rPr>
          <w:sz w:val="22"/>
          <w:szCs w:val="22"/>
        </w:rPr>
        <w:t>reen band, or fallen below the White band</w:t>
      </w:r>
      <w:r w:rsidR="00416BC0" w:rsidRPr="00CE6806">
        <w:rPr>
          <w:sz w:val="22"/>
          <w:szCs w:val="22"/>
        </w:rPr>
        <w:t>,</w:t>
      </w:r>
      <w:r w:rsidRPr="00CE6806">
        <w:rPr>
          <w:sz w:val="22"/>
          <w:szCs w:val="22"/>
        </w:rPr>
        <w:t xml:space="preserve"> during the period under consideration an additional finding is not </w:t>
      </w:r>
      <w:r w:rsidR="00547DE2" w:rsidRPr="00CE6806">
        <w:rPr>
          <w:sz w:val="22"/>
          <w:szCs w:val="22"/>
        </w:rPr>
        <w:t>necessary,</w:t>
      </w:r>
      <w:r w:rsidR="00416BC0" w:rsidRPr="00CE6806">
        <w:rPr>
          <w:sz w:val="22"/>
          <w:szCs w:val="22"/>
        </w:rPr>
        <w:t xml:space="preserve"> as the appropriate regulatory response will already be taken.</w:t>
      </w:r>
    </w:p>
    <w:p w:rsidR="00556464" w:rsidRPr="00CE6806" w:rsidRDefault="00556464" w:rsidP="00EB12BF">
      <w:pPr>
        <w:pStyle w:val="609noindent"/>
        <w:jc w:val="left"/>
        <w:rPr>
          <w:sz w:val="22"/>
          <w:szCs w:val="22"/>
        </w:rPr>
      </w:pPr>
    </w:p>
    <w:p w:rsidR="009B4F9D" w:rsidRPr="00CE6806" w:rsidRDefault="009B4F9D" w:rsidP="00EB12B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b/>
          <w:sz w:val="22"/>
          <w:szCs w:val="22"/>
        </w:rPr>
      </w:pPr>
      <w:r w:rsidRPr="00CE6806">
        <w:rPr>
          <w:rFonts w:cs="Arial"/>
          <w:b/>
          <w:sz w:val="22"/>
          <w:szCs w:val="22"/>
        </w:rPr>
        <w:t>4.6</w:t>
      </w:r>
      <w:r w:rsidRPr="00CE6806">
        <w:rPr>
          <w:rFonts w:cs="Arial"/>
          <w:b/>
          <w:sz w:val="22"/>
          <w:szCs w:val="22"/>
        </w:rPr>
        <w:tab/>
      </w:r>
      <w:r w:rsidR="00BA5AA8" w:rsidRPr="00CE6806">
        <w:rPr>
          <w:rFonts w:cs="Arial"/>
          <w:b/>
          <w:sz w:val="22"/>
          <w:szCs w:val="22"/>
          <w:u w:val="single"/>
        </w:rPr>
        <w:t>Significance of Findings Related to Exercise C</w:t>
      </w:r>
      <w:r w:rsidR="00BD4493" w:rsidRPr="00CE6806">
        <w:rPr>
          <w:rFonts w:cs="Arial"/>
          <w:b/>
          <w:sz w:val="22"/>
          <w:szCs w:val="22"/>
          <w:u w:val="single"/>
        </w:rPr>
        <w:t>RITIQUES</w:t>
      </w:r>
    </w:p>
    <w:p w:rsidR="009B4F9D" w:rsidRPr="00CE6806" w:rsidRDefault="009B4F9D" w:rsidP="00EB1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009B4F9D" w:rsidRPr="00CE6806" w:rsidRDefault="009B4F9D" w:rsidP="00EB12BF">
      <w:pPr>
        <w:pStyle w:val="609noindent"/>
        <w:jc w:val="left"/>
        <w:rPr>
          <w:sz w:val="22"/>
          <w:szCs w:val="22"/>
        </w:rPr>
      </w:pPr>
      <w:r w:rsidRPr="00CE6806">
        <w:rPr>
          <w:sz w:val="22"/>
          <w:szCs w:val="22"/>
        </w:rPr>
        <w:t xml:space="preserve">The EP Cornerstone of the NRC Reactor Oversight Process is designed to foster drill, exercise, and training programs that develop and maintain ERO skills.  Licensees are required under Appendix E, §IV.F.2.g to provide for formal </w:t>
      </w:r>
      <w:r w:rsidRPr="00CE6806">
        <w:rPr>
          <w:caps/>
          <w:sz w:val="22"/>
          <w:szCs w:val="22"/>
        </w:rPr>
        <w:t>critiques</w:t>
      </w:r>
      <w:r w:rsidRPr="00CE6806">
        <w:rPr>
          <w:sz w:val="22"/>
          <w:szCs w:val="22"/>
        </w:rPr>
        <w:t xml:space="preserve"> for all exercises, drills, and training that provide performance opportunities to develop, maintain, and demonstrate key skills, and to correct all weaknesses identified in those </w:t>
      </w:r>
      <w:r w:rsidRPr="00CE6806">
        <w:rPr>
          <w:caps/>
          <w:sz w:val="22"/>
          <w:szCs w:val="22"/>
        </w:rPr>
        <w:t>critiques</w:t>
      </w:r>
      <w:r w:rsidRPr="00CE6806">
        <w:rPr>
          <w:sz w:val="22"/>
          <w:szCs w:val="22"/>
        </w:rPr>
        <w:t xml:space="preserve">.  </w:t>
      </w:r>
      <w:r w:rsidR="00E1070F" w:rsidRPr="00CE6806">
        <w:rPr>
          <w:sz w:val="22"/>
          <w:szCs w:val="22"/>
        </w:rPr>
        <w:t xml:space="preserve">The licensee’s failure to identify </w:t>
      </w:r>
      <w:r w:rsidR="00E1070F" w:rsidRPr="00CE6806">
        <w:rPr>
          <w:caps/>
          <w:sz w:val="22"/>
          <w:szCs w:val="22"/>
        </w:rPr>
        <w:t>weaknesses</w:t>
      </w:r>
      <w:r w:rsidR="00E1070F" w:rsidRPr="00CE6806">
        <w:rPr>
          <w:sz w:val="22"/>
          <w:szCs w:val="22"/>
        </w:rPr>
        <w:t xml:space="preserve"> is a </w:t>
      </w:r>
      <w:r w:rsidR="00163D73" w:rsidRPr="00CE6806">
        <w:rPr>
          <w:sz w:val="22"/>
          <w:szCs w:val="22"/>
        </w:rPr>
        <w:t>FTC</w:t>
      </w:r>
      <w:r w:rsidR="00E1070F" w:rsidRPr="00CE6806">
        <w:rPr>
          <w:sz w:val="22"/>
          <w:szCs w:val="22"/>
        </w:rPr>
        <w:t xml:space="preserve"> with 10 CFR 50.47(b</w:t>
      </w:r>
      <w:proofErr w:type="gramStart"/>
      <w:r w:rsidR="00E1070F" w:rsidRPr="00CE6806">
        <w:rPr>
          <w:sz w:val="22"/>
          <w:szCs w:val="22"/>
        </w:rPr>
        <w:t>)</w:t>
      </w:r>
      <w:r w:rsidR="002D25C4" w:rsidRPr="00CE6806">
        <w:rPr>
          <w:sz w:val="22"/>
          <w:szCs w:val="22"/>
        </w:rPr>
        <w:t>(</w:t>
      </w:r>
      <w:proofErr w:type="gramEnd"/>
      <w:r w:rsidR="00E1070F" w:rsidRPr="00CE6806">
        <w:rPr>
          <w:sz w:val="22"/>
          <w:szCs w:val="22"/>
        </w:rPr>
        <w:t xml:space="preserve">14).  </w:t>
      </w:r>
    </w:p>
    <w:p w:rsidR="009B4F9D" w:rsidRPr="00CE6806" w:rsidRDefault="009B4F9D" w:rsidP="00EB12BF">
      <w:pPr>
        <w:pStyle w:val="609noindent"/>
        <w:jc w:val="left"/>
        <w:rPr>
          <w:sz w:val="22"/>
          <w:szCs w:val="22"/>
        </w:rPr>
      </w:pPr>
    </w:p>
    <w:p w:rsidR="009B4F9D" w:rsidRPr="00CE6806" w:rsidRDefault="009B4F9D" w:rsidP="00EB12BF">
      <w:pPr>
        <w:pStyle w:val="609noindent"/>
        <w:jc w:val="left"/>
        <w:rPr>
          <w:sz w:val="22"/>
          <w:szCs w:val="22"/>
        </w:rPr>
      </w:pPr>
      <w:r w:rsidRPr="00CE6806">
        <w:rPr>
          <w:sz w:val="22"/>
          <w:szCs w:val="22"/>
        </w:rPr>
        <w:t xml:space="preserve">It is the nature of an exercise and drill program that </w:t>
      </w:r>
      <w:r w:rsidRPr="00CE6806">
        <w:rPr>
          <w:caps/>
          <w:sz w:val="22"/>
          <w:szCs w:val="22"/>
        </w:rPr>
        <w:t>weaknesses</w:t>
      </w:r>
      <w:r w:rsidRPr="00CE6806">
        <w:rPr>
          <w:sz w:val="22"/>
          <w:szCs w:val="22"/>
        </w:rPr>
        <w:t xml:space="preserve"> in ERO performance will occur and </w:t>
      </w:r>
      <w:r w:rsidR="00F26D91" w:rsidRPr="00CE6806">
        <w:rPr>
          <w:sz w:val="22"/>
          <w:szCs w:val="22"/>
        </w:rPr>
        <w:t xml:space="preserve">that </w:t>
      </w:r>
      <w:r w:rsidRPr="00CE6806">
        <w:rPr>
          <w:sz w:val="22"/>
          <w:szCs w:val="22"/>
        </w:rPr>
        <w:t xml:space="preserve">equipment, facility and procedure problems will be identified.  The identification and correction of these </w:t>
      </w:r>
      <w:r w:rsidRPr="00CE6806">
        <w:rPr>
          <w:caps/>
          <w:sz w:val="22"/>
          <w:szCs w:val="22"/>
        </w:rPr>
        <w:t>weaknesses</w:t>
      </w:r>
      <w:r w:rsidRPr="00CE6806">
        <w:rPr>
          <w:sz w:val="22"/>
          <w:szCs w:val="22"/>
        </w:rPr>
        <w:t xml:space="preserve"> is a positive and vital aspect of the program that enhances and maintains key ERO skills.  A </w:t>
      </w:r>
      <w:r w:rsidRPr="00CE6806">
        <w:rPr>
          <w:caps/>
          <w:sz w:val="22"/>
          <w:szCs w:val="22"/>
        </w:rPr>
        <w:t xml:space="preserve">weakness </w:t>
      </w:r>
      <w:r w:rsidRPr="00CE6806">
        <w:rPr>
          <w:sz w:val="22"/>
          <w:szCs w:val="22"/>
        </w:rPr>
        <w:t xml:space="preserve">observed during an exercise or drill has little or no direct safety-significance if the </w:t>
      </w:r>
      <w:r w:rsidRPr="00CE6806">
        <w:rPr>
          <w:caps/>
          <w:sz w:val="22"/>
          <w:szCs w:val="22"/>
        </w:rPr>
        <w:t>weakness</w:t>
      </w:r>
      <w:r w:rsidRPr="00CE6806">
        <w:rPr>
          <w:sz w:val="22"/>
          <w:szCs w:val="22"/>
        </w:rPr>
        <w:t xml:space="preserve"> is identified and corrected</w:t>
      </w:r>
      <w:r w:rsidR="00416BC0" w:rsidRPr="00CE6806">
        <w:rPr>
          <w:sz w:val="22"/>
          <w:szCs w:val="22"/>
        </w:rPr>
        <w:t xml:space="preserve"> as this will</w:t>
      </w:r>
      <w:r w:rsidRPr="00CE6806">
        <w:rPr>
          <w:sz w:val="22"/>
          <w:szCs w:val="22"/>
        </w:rPr>
        <w:t xml:space="preserve"> </w:t>
      </w:r>
      <w:r w:rsidR="00A93526" w:rsidRPr="00CE6806">
        <w:rPr>
          <w:sz w:val="22"/>
          <w:szCs w:val="22"/>
        </w:rPr>
        <w:t xml:space="preserve">ultimately </w:t>
      </w:r>
      <w:r w:rsidR="00416BC0" w:rsidRPr="00CE6806">
        <w:rPr>
          <w:sz w:val="22"/>
          <w:szCs w:val="22"/>
        </w:rPr>
        <w:t>enhance</w:t>
      </w:r>
      <w:r w:rsidRPr="00CE6806">
        <w:rPr>
          <w:sz w:val="22"/>
          <w:szCs w:val="22"/>
        </w:rPr>
        <w:t xml:space="preserve"> the ERO performance during an actual radiological emergency.  If NRC oversight were to penalize </w:t>
      </w:r>
      <w:r w:rsidR="00F26D91" w:rsidRPr="00CE6806">
        <w:rPr>
          <w:sz w:val="22"/>
          <w:szCs w:val="22"/>
        </w:rPr>
        <w:t xml:space="preserve">the </w:t>
      </w:r>
      <w:r w:rsidRPr="00CE6806">
        <w:rPr>
          <w:sz w:val="22"/>
          <w:szCs w:val="22"/>
        </w:rPr>
        <w:t>identifi</w:t>
      </w:r>
      <w:r w:rsidR="00F26D91" w:rsidRPr="00CE6806">
        <w:rPr>
          <w:sz w:val="22"/>
          <w:szCs w:val="22"/>
        </w:rPr>
        <w:t>cation of</w:t>
      </w:r>
      <w:r w:rsidRPr="00CE6806">
        <w:rPr>
          <w:sz w:val="22"/>
          <w:szCs w:val="22"/>
        </w:rPr>
        <w:t xml:space="preserve"> </w:t>
      </w:r>
      <w:r w:rsidRPr="00CE6806">
        <w:rPr>
          <w:caps/>
          <w:sz w:val="22"/>
          <w:szCs w:val="22"/>
        </w:rPr>
        <w:t>weaknesses</w:t>
      </w:r>
      <w:r w:rsidRPr="00CE6806">
        <w:rPr>
          <w:sz w:val="22"/>
          <w:szCs w:val="22"/>
        </w:rPr>
        <w:t xml:space="preserve">, this enhancement might not occur and ERO performance could degrade.  For these reasons, the EP SDP does not treat ERO performance </w:t>
      </w:r>
      <w:r w:rsidRPr="00CE6806">
        <w:rPr>
          <w:caps/>
          <w:sz w:val="22"/>
          <w:szCs w:val="22"/>
        </w:rPr>
        <w:t>weaknesses</w:t>
      </w:r>
      <w:r w:rsidRPr="00CE6806">
        <w:rPr>
          <w:sz w:val="22"/>
          <w:szCs w:val="22"/>
        </w:rPr>
        <w:t xml:space="preserve"> as performance deficiencies and instead places focus on the licensee’s ability to identify a </w:t>
      </w:r>
      <w:r w:rsidRPr="00CE6806">
        <w:rPr>
          <w:caps/>
          <w:sz w:val="22"/>
          <w:szCs w:val="22"/>
        </w:rPr>
        <w:t>weakness</w:t>
      </w:r>
      <w:r w:rsidRPr="00CE6806">
        <w:rPr>
          <w:sz w:val="22"/>
          <w:szCs w:val="22"/>
        </w:rPr>
        <w:t xml:space="preserve"> and on the timeliness and adequacy of the corrective actions taken.  A licensee’s ability to observe, evaluate, and </w:t>
      </w:r>
      <w:r w:rsidR="00BD4493" w:rsidRPr="00CE6806">
        <w:rPr>
          <w:sz w:val="22"/>
          <w:szCs w:val="22"/>
        </w:rPr>
        <w:t>CRITIQUE</w:t>
      </w:r>
      <w:r w:rsidRPr="00CE6806">
        <w:rPr>
          <w:sz w:val="22"/>
          <w:szCs w:val="22"/>
        </w:rPr>
        <w:t xml:space="preserve"> a weakness associated with a </w:t>
      </w:r>
      <w:r w:rsidR="00A93526" w:rsidRPr="00CE6806">
        <w:rPr>
          <w:caps/>
          <w:sz w:val="22"/>
          <w:szCs w:val="22"/>
        </w:rPr>
        <w:t>RSPS</w:t>
      </w:r>
      <w:r w:rsidRPr="00CE6806">
        <w:rPr>
          <w:sz w:val="22"/>
          <w:szCs w:val="22"/>
        </w:rPr>
        <w:t xml:space="preserve"> is critical.  Although all drill or exercise </w:t>
      </w:r>
      <w:r w:rsidRPr="00CE6806">
        <w:rPr>
          <w:caps/>
          <w:sz w:val="22"/>
          <w:szCs w:val="22"/>
        </w:rPr>
        <w:t>weaknesses</w:t>
      </w:r>
      <w:r w:rsidRPr="00CE6806">
        <w:rPr>
          <w:sz w:val="22"/>
          <w:szCs w:val="22"/>
        </w:rPr>
        <w:t xml:space="preserve"> are required to be identified and corrected, the EP SDP puts the highest priority to </w:t>
      </w:r>
      <w:r w:rsidRPr="00CE6806">
        <w:rPr>
          <w:caps/>
          <w:sz w:val="22"/>
          <w:szCs w:val="22"/>
        </w:rPr>
        <w:t>weaknesses</w:t>
      </w:r>
      <w:r w:rsidRPr="00CE6806">
        <w:rPr>
          <w:sz w:val="22"/>
          <w:szCs w:val="22"/>
        </w:rPr>
        <w:t xml:space="preserve"> associated with a </w:t>
      </w:r>
      <w:r w:rsidR="00A93526" w:rsidRPr="00CE6806">
        <w:rPr>
          <w:caps/>
          <w:sz w:val="22"/>
          <w:szCs w:val="22"/>
        </w:rPr>
        <w:t>RSPS</w:t>
      </w:r>
      <w:r w:rsidRPr="00CE6806">
        <w:rPr>
          <w:caps/>
          <w:sz w:val="22"/>
          <w:szCs w:val="22"/>
        </w:rPr>
        <w:t>.</w:t>
      </w:r>
    </w:p>
    <w:p w:rsidR="009B4F9D" w:rsidRPr="00CE6806" w:rsidRDefault="009B4F9D" w:rsidP="00EB12BF">
      <w:pPr>
        <w:pStyle w:val="609noindent"/>
        <w:jc w:val="left"/>
        <w:rPr>
          <w:sz w:val="22"/>
          <w:szCs w:val="22"/>
        </w:rPr>
      </w:pPr>
    </w:p>
    <w:p w:rsidR="009B4F9D" w:rsidRPr="00CE6806" w:rsidRDefault="009B4F9D" w:rsidP="00EB12BF">
      <w:pPr>
        <w:pStyle w:val="609noindent"/>
        <w:jc w:val="left"/>
        <w:rPr>
          <w:sz w:val="22"/>
          <w:szCs w:val="22"/>
        </w:rPr>
      </w:pPr>
      <w:r w:rsidRPr="00CE6806">
        <w:rPr>
          <w:sz w:val="22"/>
          <w:szCs w:val="22"/>
        </w:rPr>
        <w:t xml:space="preserve">This treatment of exercise and drill </w:t>
      </w:r>
      <w:r w:rsidRPr="00CE6806">
        <w:rPr>
          <w:caps/>
          <w:sz w:val="22"/>
          <w:szCs w:val="22"/>
        </w:rPr>
        <w:t>weaknesses</w:t>
      </w:r>
      <w:r w:rsidRPr="00CE6806">
        <w:rPr>
          <w:sz w:val="22"/>
          <w:szCs w:val="22"/>
        </w:rPr>
        <w:t xml:space="preserve"> is consistent with the licensee response band </w:t>
      </w:r>
      <w:r w:rsidR="0063520F">
        <w:rPr>
          <w:sz w:val="22"/>
          <w:szCs w:val="22"/>
        </w:rPr>
        <w:t>green threshold</w:t>
      </w:r>
      <w:r w:rsidRPr="00CE6806">
        <w:rPr>
          <w:sz w:val="22"/>
          <w:szCs w:val="22"/>
        </w:rPr>
        <w:t xml:space="preserve"> of 90 percent for the Drill and Exercise Performance (DEP) performance indicator (PI).  The DEP PI tracks ERO performance in drills and exercises in three </w:t>
      </w:r>
      <w:r w:rsidR="00A93526" w:rsidRPr="00CE6806">
        <w:rPr>
          <w:caps/>
          <w:sz w:val="22"/>
          <w:szCs w:val="22"/>
        </w:rPr>
        <w:t>RSPS</w:t>
      </w:r>
      <w:r w:rsidR="0063520F">
        <w:rPr>
          <w:caps/>
          <w:sz w:val="22"/>
          <w:szCs w:val="22"/>
        </w:rPr>
        <w:t xml:space="preserve">: </w:t>
      </w:r>
      <w:r w:rsidRPr="00CE6806">
        <w:rPr>
          <w:sz w:val="22"/>
          <w:szCs w:val="22"/>
        </w:rPr>
        <w:t>emergency classification</w:t>
      </w:r>
      <w:r w:rsidR="0063520F">
        <w:rPr>
          <w:sz w:val="22"/>
          <w:szCs w:val="22"/>
        </w:rPr>
        <w:t>;</w:t>
      </w:r>
      <w:r w:rsidRPr="00CE6806">
        <w:rPr>
          <w:sz w:val="22"/>
          <w:szCs w:val="22"/>
        </w:rPr>
        <w:t xml:space="preserve"> protective action </w:t>
      </w:r>
      <w:r w:rsidR="00CB646E" w:rsidRPr="00CE6806">
        <w:rPr>
          <w:sz w:val="22"/>
          <w:szCs w:val="22"/>
        </w:rPr>
        <w:t>recommen</w:t>
      </w:r>
      <w:r w:rsidRPr="00CE6806">
        <w:rPr>
          <w:sz w:val="22"/>
          <w:szCs w:val="22"/>
        </w:rPr>
        <w:t>dation (PAR)</w:t>
      </w:r>
      <w:r w:rsidR="0063520F">
        <w:rPr>
          <w:sz w:val="22"/>
          <w:szCs w:val="22"/>
        </w:rPr>
        <w:t>;</w:t>
      </w:r>
      <w:r w:rsidRPr="00CE6806">
        <w:rPr>
          <w:sz w:val="22"/>
          <w:szCs w:val="22"/>
        </w:rPr>
        <w:t xml:space="preserve"> and notification.  ERO performance in a fourth </w:t>
      </w:r>
      <w:r w:rsidR="00A93526" w:rsidRPr="00CE6806">
        <w:rPr>
          <w:caps/>
          <w:sz w:val="22"/>
          <w:szCs w:val="22"/>
        </w:rPr>
        <w:t>RSPS</w:t>
      </w:r>
      <w:r w:rsidR="0063520F">
        <w:rPr>
          <w:caps/>
          <w:sz w:val="22"/>
          <w:szCs w:val="22"/>
        </w:rPr>
        <w:t xml:space="preserve">, </w:t>
      </w:r>
      <w:r w:rsidRPr="00CE6806">
        <w:rPr>
          <w:sz w:val="22"/>
          <w:szCs w:val="22"/>
        </w:rPr>
        <w:t xml:space="preserve">dose assessment, </w:t>
      </w:r>
      <w:r w:rsidR="0063520F">
        <w:rPr>
          <w:sz w:val="22"/>
          <w:szCs w:val="22"/>
        </w:rPr>
        <w:t>would most likely</w:t>
      </w:r>
      <w:r w:rsidRPr="00CE6806">
        <w:rPr>
          <w:sz w:val="22"/>
          <w:szCs w:val="22"/>
        </w:rPr>
        <w:t xml:space="preserve"> be reflected in the PAR performance.  If the DEP PI falls below 90 percent, signifying </w:t>
      </w:r>
      <w:r w:rsidRPr="00CE6806">
        <w:rPr>
          <w:caps/>
          <w:sz w:val="22"/>
          <w:szCs w:val="22"/>
        </w:rPr>
        <w:t>weaknesses</w:t>
      </w:r>
      <w:r w:rsidRPr="00CE6806">
        <w:rPr>
          <w:sz w:val="22"/>
          <w:szCs w:val="22"/>
        </w:rPr>
        <w:t xml:space="preserve"> in greater than 10 percent of classification, PAR, and notification opportunities, the increased regulatory response band is entered.  Although the DEP PI only tracks performance in the </w:t>
      </w:r>
      <w:r w:rsidR="00A93526" w:rsidRPr="00CE6806">
        <w:rPr>
          <w:caps/>
          <w:sz w:val="22"/>
          <w:szCs w:val="22"/>
        </w:rPr>
        <w:t>RSPS</w:t>
      </w:r>
      <w:r w:rsidRPr="00CE6806">
        <w:rPr>
          <w:sz w:val="22"/>
          <w:szCs w:val="22"/>
        </w:rPr>
        <w:t>, the same oversight philosophy is appropriate when considering ERO performance in areas not addressed by the DEP PI.</w:t>
      </w:r>
    </w:p>
    <w:p w:rsidR="009B4F9D" w:rsidRPr="00CE6806" w:rsidRDefault="009B4F9D" w:rsidP="00EB12BF">
      <w:pPr>
        <w:pStyle w:val="609noindent"/>
        <w:jc w:val="left"/>
        <w:rPr>
          <w:sz w:val="22"/>
          <w:szCs w:val="22"/>
        </w:rPr>
      </w:pPr>
    </w:p>
    <w:p w:rsidR="00A931F0" w:rsidRPr="00CE6806" w:rsidRDefault="009B4F9D" w:rsidP="00EB12BF">
      <w:pPr>
        <w:pStyle w:val="609noindent"/>
        <w:jc w:val="left"/>
        <w:rPr>
          <w:sz w:val="22"/>
          <w:szCs w:val="22"/>
        </w:rPr>
      </w:pPr>
      <w:r w:rsidRPr="00CE6806">
        <w:rPr>
          <w:sz w:val="22"/>
          <w:szCs w:val="22"/>
        </w:rPr>
        <w:t xml:space="preserve">Identification of exercise and drill </w:t>
      </w:r>
      <w:r w:rsidRPr="00CE6806">
        <w:rPr>
          <w:caps/>
          <w:sz w:val="22"/>
          <w:szCs w:val="22"/>
        </w:rPr>
        <w:t>weaknesses</w:t>
      </w:r>
      <w:r w:rsidRPr="00CE6806">
        <w:rPr>
          <w:sz w:val="22"/>
          <w:szCs w:val="22"/>
        </w:rPr>
        <w:t xml:space="preserve"> is critical to maintaining the validity of the EP Cornerstone licensee response band, which is predicated in part on accurate PI data</w:t>
      </w:r>
      <w:r w:rsidR="00A93526" w:rsidRPr="00CE6806">
        <w:rPr>
          <w:sz w:val="22"/>
          <w:szCs w:val="22"/>
        </w:rPr>
        <w:t xml:space="preserve"> </w:t>
      </w:r>
      <w:r w:rsidRPr="00CE6806">
        <w:rPr>
          <w:sz w:val="22"/>
          <w:szCs w:val="22"/>
        </w:rPr>
        <w:t xml:space="preserve">from drill and exercise </w:t>
      </w:r>
      <w:r w:rsidRPr="00CE6806">
        <w:rPr>
          <w:caps/>
          <w:sz w:val="22"/>
          <w:szCs w:val="22"/>
        </w:rPr>
        <w:t>critiques</w:t>
      </w:r>
      <w:r w:rsidRPr="00CE6806">
        <w:rPr>
          <w:sz w:val="22"/>
          <w:szCs w:val="22"/>
        </w:rPr>
        <w:t xml:space="preserve">.  If the licensee does not </w:t>
      </w:r>
      <w:r w:rsidR="0063520F">
        <w:rPr>
          <w:sz w:val="22"/>
          <w:szCs w:val="22"/>
        </w:rPr>
        <w:t>appropriately assess</w:t>
      </w:r>
      <w:r w:rsidRPr="00CE6806">
        <w:rPr>
          <w:sz w:val="22"/>
          <w:szCs w:val="22"/>
        </w:rPr>
        <w:t xml:space="preserve"> DEP PI </w:t>
      </w:r>
      <w:r w:rsidR="0063520F">
        <w:rPr>
          <w:sz w:val="22"/>
          <w:szCs w:val="22"/>
        </w:rPr>
        <w:t>opportunities</w:t>
      </w:r>
      <w:r w:rsidRPr="00CE6806">
        <w:rPr>
          <w:sz w:val="22"/>
          <w:szCs w:val="22"/>
        </w:rPr>
        <w:t xml:space="preserve"> through the </w:t>
      </w:r>
      <w:r w:rsidRPr="00CE6806">
        <w:rPr>
          <w:caps/>
          <w:sz w:val="22"/>
          <w:szCs w:val="22"/>
        </w:rPr>
        <w:t>critique</w:t>
      </w:r>
      <w:r w:rsidRPr="00CE6806">
        <w:rPr>
          <w:sz w:val="22"/>
          <w:szCs w:val="22"/>
        </w:rPr>
        <w:t xml:space="preserve"> process, the validity of the DEP PI and the licensee response band is brought into question.  </w:t>
      </w:r>
      <w:r w:rsidR="00A931F0" w:rsidRPr="00CE6806">
        <w:rPr>
          <w:sz w:val="22"/>
          <w:szCs w:val="22"/>
        </w:rPr>
        <w:t xml:space="preserve">Accordingly, findings related to the identification of </w:t>
      </w:r>
      <w:r w:rsidR="00A931F0" w:rsidRPr="00CE6806">
        <w:rPr>
          <w:caps/>
          <w:sz w:val="22"/>
          <w:szCs w:val="22"/>
        </w:rPr>
        <w:t>weaknesses</w:t>
      </w:r>
      <w:r w:rsidR="00A931F0" w:rsidRPr="00CE6806">
        <w:rPr>
          <w:sz w:val="22"/>
          <w:szCs w:val="22"/>
        </w:rPr>
        <w:t xml:space="preserve"> </w:t>
      </w:r>
      <w:r w:rsidR="0009504C" w:rsidRPr="00CE6806">
        <w:rPr>
          <w:sz w:val="22"/>
          <w:szCs w:val="22"/>
        </w:rPr>
        <w:t>are</w:t>
      </w:r>
      <w:r w:rsidR="00A931F0" w:rsidRPr="00CE6806">
        <w:rPr>
          <w:sz w:val="22"/>
          <w:szCs w:val="22"/>
        </w:rPr>
        <w:t xml:space="preserve"> assigned significance as follows:</w:t>
      </w:r>
    </w:p>
    <w:p w:rsidR="00A931F0" w:rsidRPr="00CE6806" w:rsidRDefault="00A931F0" w:rsidP="00EB12BF">
      <w:pPr>
        <w:pStyle w:val="609noindent"/>
        <w:jc w:val="left"/>
        <w:rPr>
          <w:sz w:val="22"/>
          <w:szCs w:val="22"/>
        </w:rPr>
      </w:pPr>
    </w:p>
    <w:p w:rsidR="00556464" w:rsidRPr="00CE6806" w:rsidRDefault="00556464" w:rsidP="00EB12BF">
      <w:pPr>
        <w:pStyle w:val="609noindent"/>
        <w:numPr>
          <w:ilvl w:val="0"/>
          <w:numId w:val="9"/>
        </w:numPr>
        <w:jc w:val="left"/>
        <w:rPr>
          <w:sz w:val="22"/>
          <w:szCs w:val="22"/>
        </w:rPr>
      </w:pPr>
      <w:r w:rsidRPr="00CE6806">
        <w:rPr>
          <w:sz w:val="22"/>
          <w:szCs w:val="22"/>
        </w:rPr>
        <w:t xml:space="preserve">The failure of a licensee to identify a </w:t>
      </w:r>
      <w:r w:rsidRPr="00CE6806">
        <w:rPr>
          <w:caps/>
          <w:sz w:val="22"/>
          <w:szCs w:val="22"/>
        </w:rPr>
        <w:t>weakness</w:t>
      </w:r>
      <w:r w:rsidRPr="00CE6806">
        <w:rPr>
          <w:sz w:val="22"/>
          <w:szCs w:val="22"/>
        </w:rPr>
        <w:t xml:space="preserve"> </w:t>
      </w:r>
      <w:r w:rsidR="00E1070F" w:rsidRPr="00CE6806">
        <w:rPr>
          <w:sz w:val="22"/>
          <w:szCs w:val="22"/>
        </w:rPr>
        <w:t>that</w:t>
      </w:r>
      <w:r w:rsidRPr="00CE6806">
        <w:rPr>
          <w:sz w:val="22"/>
          <w:szCs w:val="22"/>
        </w:rPr>
        <w:t xml:space="preserve"> constitutes a DEP PI failed opportunity involving a </w:t>
      </w:r>
      <w:r w:rsidR="00A93526" w:rsidRPr="00CE6806">
        <w:rPr>
          <w:caps/>
          <w:sz w:val="22"/>
          <w:szCs w:val="22"/>
        </w:rPr>
        <w:t>RSPS</w:t>
      </w:r>
      <w:r w:rsidRPr="00CE6806">
        <w:rPr>
          <w:sz w:val="22"/>
          <w:szCs w:val="22"/>
        </w:rPr>
        <w:t xml:space="preserve"> in a </w:t>
      </w:r>
      <w:r w:rsidRPr="00CE6806">
        <w:rPr>
          <w:caps/>
          <w:sz w:val="22"/>
          <w:szCs w:val="22"/>
        </w:rPr>
        <w:t>critique</w:t>
      </w:r>
      <w:r w:rsidRPr="00CE6806">
        <w:rPr>
          <w:sz w:val="22"/>
          <w:szCs w:val="22"/>
        </w:rPr>
        <w:t xml:space="preserve"> for a </w:t>
      </w:r>
      <w:r w:rsidRPr="00CE6806">
        <w:rPr>
          <w:caps/>
          <w:sz w:val="22"/>
          <w:szCs w:val="22"/>
        </w:rPr>
        <w:t>full-scale exercise</w:t>
      </w:r>
      <w:r w:rsidRPr="00CE6806">
        <w:rPr>
          <w:sz w:val="22"/>
          <w:szCs w:val="22"/>
        </w:rPr>
        <w:t xml:space="preserve"> </w:t>
      </w:r>
      <w:r w:rsidR="00E1070F" w:rsidRPr="00CE6806">
        <w:rPr>
          <w:sz w:val="22"/>
          <w:szCs w:val="22"/>
        </w:rPr>
        <w:t xml:space="preserve">is considered </w:t>
      </w:r>
      <w:r w:rsidRPr="00CE6806">
        <w:rPr>
          <w:sz w:val="22"/>
          <w:szCs w:val="22"/>
        </w:rPr>
        <w:t xml:space="preserve">a </w:t>
      </w:r>
      <w:r w:rsidR="00A931F0" w:rsidRPr="00CE6806">
        <w:rPr>
          <w:caps/>
          <w:sz w:val="22"/>
          <w:szCs w:val="22"/>
        </w:rPr>
        <w:t xml:space="preserve">lost </w:t>
      </w:r>
      <w:r w:rsidR="00A93526" w:rsidRPr="00CE6806">
        <w:rPr>
          <w:caps/>
          <w:sz w:val="22"/>
          <w:szCs w:val="22"/>
        </w:rPr>
        <w:t>PS</w:t>
      </w:r>
      <w:r w:rsidR="00A931F0" w:rsidRPr="00CE6806">
        <w:rPr>
          <w:caps/>
          <w:sz w:val="22"/>
          <w:szCs w:val="22"/>
        </w:rPr>
        <w:t xml:space="preserve"> function</w:t>
      </w:r>
      <w:r w:rsidR="00A931F0" w:rsidRPr="00CE6806">
        <w:rPr>
          <w:sz w:val="22"/>
          <w:szCs w:val="22"/>
        </w:rPr>
        <w:t xml:space="preserve"> </w:t>
      </w:r>
      <w:r w:rsidR="00E1070F" w:rsidRPr="00CE6806">
        <w:rPr>
          <w:sz w:val="22"/>
          <w:szCs w:val="22"/>
        </w:rPr>
        <w:t xml:space="preserve">and is assigned a </w:t>
      </w:r>
      <w:r w:rsidRPr="00CE6806">
        <w:rPr>
          <w:sz w:val="22"/>
          <w:szCs w:val="22"/>
        </w:rPr>
        <w:t xml:space="preserve">White finding.  </w:t>
      </w:r>
      <w:r w:rsidR="00E1070F" w:rsidRPr="00CE6806">
        <w:rPr>
          <w:caps/>
          <w:sz w:val="22"/>
          <w:szCs w:val="22"/>
        </w:rPr>
        <w:t>Full-scale</w:t>
      </w:r>
      <w:r w:rsidR="00A931F0" w:rsidRPr="00CE6806">
        <w:rPr>
          <w:caps/>
          <w:sz w:val="22"/>
          <w:szCs w:val="22"/>
        </w:rPr>
        <w:t xml:space="preserve"> exercises </w:t>
      </w:r>
      <w:r w:rsidR="00A931F0" w:rsidRPr="00CE6806">
        <w:rPr>
          <w:sz w:val="22"/>
          <w:szCs w:val="22"/>
        </w:rPr>
        <w:t xml:space="preserve">provide more opportunity for ERO members to exercise key skills and response functions and </w:t>
      </w:r>
      <w:r w:rsidR="00416BC0" w:rsidRPr="00CE6806">
        <w:rPr>
          <w:sz w:val="22"/>
          <w:szCs w:val="22"/>
        </w:rPr>
        <w:t xml:space="preserve">to </w:t>
      </w:r>
      <w:r w:rsidR="00A931F0" w:rsidRPr="00CE6806">
        <w:rPr>
          <w:sz w:val="22"/>
          <w:szCs w:val="22"/>
        </w:rPr>
        <w:t>be observed by a number of observers/evaluators</w:t>
      </w:r>
      <w:r w:rsidR="002D25C4" w:rsidRPr="00CE6806">
        <w:rPr>
          <w:sz w:val="22"/>
          <w:szCs w:val="22"/>
        </w:rPr>
        <w:t>.</w:t>
      </w:r>
      <w:r w:rsidR="00A931F0" w:rsidRPr="00CE6806">
        <w:rPr>
          <w:sz w:val="22"/>
          <w:szCs w:val="22"/>
        </w:rPr>
        <w:t xml:space="preserve"> </w:t>
      </w:r>
      <w:r w:rsidR="002D25C4" w:rsidRPr="00CE6806">
        <w:rPr>
          <w:sz w:val="22"/>
          <w:szCs w:val="22"/>
        </w:rPr>
        <w:t xml:space="preserve"> Accordingly,</w:t>
      </w:r>
      <w:r w:rsidR="00A931F0" w:rsidRPr="00CE6806">
        <w:rPr>
          <w:sz w:val="22"/>
          <w:szCs w:val="22"/>
        </w:rPr>
        <w:t xml:space="preserve"> the failure of the licensee to adequately identify </w:t>
      </w:r>
      <w:r w:rsidR="00A931F0" w:rsidRPr="00CE6806">
        <w:rPr>
          <w:caps/>
          <w:sz w:val="22"/>
          <w:szCs w:val="22"/>
        </w:rPr>
        <w:t xml:space="preserve">weaknesses </w:t>
      </w:r>
      <w:r w:rsidR="00A931F0" w:rsidRPr="00CE6806">
        <w:rPr>
          <w:sz w:val="22"/>
          <w:szCs w:val="22"/>
        </w:rPr>
        <w:t xml:space="preserve">under these circumstances is deemed to have greater significance.  </w:t>
      </w:r>
      <w:r w:rsidRPr="00CE6806">
        <w:rPr>
          <w:sz w:val="22"/>
          <w:szCs w:val="22"/>
        </w:rPr>
        <w:t xml:space="preserve">This level of significance is </w:t>
      </w:r>
      <w:r w:rsidR="00A931F0" w:rsidRPr="00CE6806">
        <w:rPr>
          <w:sz w:val="22"/>
          <w:szCs w:val="22"/>
        </w:rPr>
        <w:t xml:space="preserve">also </w:t>
      </w:r>
      <w:r w:rsidRPr="00CE6806">
        <w:rPr>
          <w:sz w:val="22"/>
          <w:szCs w:val="22"/>
        </w:rPr>
        <w:t>based on the NRC’s need to ensure the efficacy of the licensee</w:t>
      </w:r>
      <w:r w:rsidR="0063520F">
        <w:rPr>
          <w:sz w:val="22"/>
          <w:szCs w:val="22"/>
        </w:rPr>
        <w:t>’</w:t>
      </w:r>
      <w:r w:rsidRPr="00CE6806">
        <w:rPr>
          <w:sz w:val="22"/>
          <w:szCs w:val="22"/>
        </w:rPr>
        <w:t xml:space="preserve">s </w:t>
      </w:r>
      <w:r w:rsidRPr="00CE6806">
        <w:rPr>
          <w:caps/>
          <w:sz w:val="22"/>
          <w:szCs w:val="22"/>
        </w:rPr>
        <w:t>critique</w:t>
      </w:r>
      <w:r w:rsidRPr="00CE6806">
        <w:rPr>
          <w:sz w:val="22"/>
          <w:szCs w:val="22"/>
        </w:rPr>
        <w:t xml:space="preserve"> program and, hence, the licensee response band.  </w:t>
      </w:r>
    </w:p>
    <w:p w:rsidR="00556464" w:rsidRPr="00CE6806" w:rsidRDefault="00556464" w:rsidP="00EB12BF">
      <w:pPr>
        <w:pStyle w:val="609noindent"/>
        <w:jc w:val="left"/>
        <w:rPr>
          <w:sz w:val="22"/>
          <w:szCs w:val="22"/>
        </w:rPr>
      </w:pPr>
    </w:p>
    <w:p w:rsidR="00F26D91" w:rsidRPr="00CE6806" w:rsidRDefault="00A9059A" w:rsidP="00EB12BF">
      <w:pPr>
        <w:pStyle w:val="609noindent"/>
        <w:numPr>
          <w:ilvl w:val="0"/>
          <w:numId w:val="9"/>
        </w:numPr>
        <w:jc w:val="left"/>
        <w:rPr>
          <w:sz w:val="22"/>
          <w:szCs w:val="22"/>
        </w:rPr>
      </w:pPr>
      <w:r>
        <w:rPr>
          <w:sz w:val="22"/>
          <w:szCs w:val="22"/>
        </w:rPr>
        <w:t>L</w:t>
      </w:r>
      <w:r w:rsidR="00556464" w:rsidRPr="00CE6806">
        <w:rPr>
          <w:sz w:val="22"/>
          <w:szCs w:val="22"/>
        </w:rPr>
        <w:t xml:space="preserve">icensee failures to identify </w:t>
      </w:r>
      <w:r w:rsidR="00556464" w:rsidRPr="00CE6806">
        <w:rPr>
          <w:caps/>
          <w:sz w:val="22"/>
          <w:szCs w:val="22"/>
        </w:rPr>
        <w:t>weaknesses</w:t>
      </w:r>
      <w:r>
        <w:rPr>
          <w:caps/>
          <w:sz w:val="22"/>
          <w:szCs w:val="22"/>
        </w:rPr>
        <w:t xml:space="preserve"> </w:t>
      </w:r>
      <w:r>
        <w:rPr>
          <w:sz w:val="22"/>
          <w:szCs w:val="22"/>
        </w:rPr>
        <w:t>in limited scope drills</w:t>
      </w:r>
      <w:r w:rsidR="00556464" w:rsidRPr="00CE6806">
        <w:rPr>
          <w:sz w:val="22"/>
          <w:szCs w:val="22"/>
        </w:rPr>
        <w:t xml:space="preserve">, </w:t>
      </w:r>
      <w:r w:rsidR="00E1070F" w:rsidRPr="00CE6806">
        <w:rPr>
          <w:sz w:val="22"/>
          <w:szCs w:val="22"/>
        </w:rPr>
        <w:t>including those that constitute</w:t>
      </w:r>
      <w:r w:rsidR="00556464" w:rsidRPr="00CE6806">
        <w:rPr>
          <w:sz w:val="22"/>
          <w:szCs w:val="22"/>
        </w:rPr>
        <w:t xml:space="preserve"> a DEP PI successful</w:t>
      </w:r>
      <w:r w:rsidR="00556464" w:rsidRPr="00CE6806">
        <w:rPr>
          <w:rStyle w:val="FootnoteReference"/>
          <w:sz w:val="22"/>
          <w:szCs w:val="22"/>
          <w:vertAlign w:val="superscript"/>
        </w:rPr>
        <w:footnoteReference w:id="13"/>
      </w:r>
      <w:r w:rsidR="00556464" w:rsidRPr="00CE6806">
        <w:rPr>
          <w:sz w:val="22"/>
          <w:szCs w:val="22"/>
        </w:rPr>
        <w:t xml:space="preserve"> opportunity involving a </w:t>
      </w:r>
      <w:r w:rsidR="00A93526" w:rsidRPr="00CE6806">
        <w:rPr>
          <w:caps/>
          <w:sz w:val="22"/>
          <w:szCs w:val="22"/>
        </w:rPr>
        <w:t xml:space="preserve">RSPS </w:t>
      </w:r>
      <w:r w:rsidR="00556464" w:rsidRPr="00CE6806">
        <w:rPr>
          <w:sz w:val="22"/>
          <w:szCs w:val="22"/>
        </w:rPr>
        <w:t>are assigned Green significance</w:t>
      </w:r>
      <w:r w:rsidR="00E1070F" w:rsidRPr="00CE6806">
        <w:rPr>
          <w:sz w:val="22"/>
          <w:szCs w:val="22"/>
        </w:rPr>
        <w:t>.</w:t>
      </w:r>
      <w:r w:rsidR="00556464" w:rsidRPr="00CE6806">
        <w:rPr>
          <w:sz w:val="22"/>
          <w:szCs w:val="22"/>
        </w:rPr>
        <w:t xml:space="preserve"> </w:t>
      </w:r>
    </w:p>
    <w:p w:rsidR="00E1070F" w:rsidRPr="00CE6806" w:rsidRDefault="00E1070F" w:rsidP="00EB12BF">
      <w:pPr>
        <w:pStyle w:val="609noindent"/>
        <w:jc w:val="left"/>
        <w:rPr>
          <w:sz w:val="22"/>
          <w:szCs w:val="22"/>
        </w:rPr>
      </w:pPr>
    </w:p>
    <w:p w:rsidR="00F26D91" w:rsidRPr="00CE6806" w:rsidRDefault="00F26D91" w:rsidP="00EB12BF">
      <w:pPr>
        <w:pStyle w:val="609noindent"/>
        <w:jc w:val="left"/>
        <w:rPr>
          <w:sz w:val="22"/>
          <w:szCs w:val="22"/>
        </w:rPr>
      </w:pPr>
      <w:r w:rsidRPr="00CE6806">
        <w:rPr>
          <w:sz w:val="22"/>
          <w:szCs w:val="22"/>
        </w:rPr>
        <w:t xml:space="preserve">A </w:t>
      </w:r>
      <w:r w:rsidRPr="00CE6806">
        <w:rPr>
          <w:caps/>
          <w:sz w:val="22"/>
          <w:szCs w:val="22"/>
        </w:rPr>
        <w:t>weakness</w:t>
      </w:r>
      <w:r w:rsidR="00A9059A">
        <w:rPr>
          <w:sz w:val="22"/>
          <w:szCs w:val="22"/>
        </w:rPr>
        <w:t xml:space="preserve"> in ERO performance may uncover </w:t>
      </w:r>
      <w:r w:rsidRPr="00CE6806">
        <w:rPr>
          <w:sz w:val="22"/>
          <w:szCs w:val="22"/>
        </w:rPr>
        <w:t xml:space="preserve">inadequate </w:t>
      </w:r>
      <w:r w:rsidR="00A93526" w:rsidRPr="00CE6806">
        <w:rPr>
          <w:caps/>
          <w:sz w:val="22"/>
          <w:szCs w:val="22"/>
        </w:rPr>
        <w:t>PE</w:t>
      </w:r>
      <w:r w:rsidRPr="00CE6806">
        <w:rPr>
          <w:sz w:val="22"/>
          <w:szCs w:val="22"/>
        </w:rPr>
        <w:t>.  For example, an incorrect emergency classification by the ERO may have been caused by an incorrect procedure</w:t>
      </w:r>
      <w:r w:rsidR="00416BC0" w:rsidRPr="00CE6806">
        <w:rPr>
          <w:sz w:val="22"/>
          <w:szCs w:val="22"/>
        </w:rPr>
        <w:t>.</w:t>
      </w:r>
      <w:r w:rsidRPr="00CE6806">
        <w:rPr>
          <w:sz w:val="22"/>
          <w:szCs w:val="22"/>
        </w:rPr>
        <w:t xml:space="preserve">  In this case, the ERO performance may have been </w:t>
      </w:r>
      <w:r w:rsidR="0063520F">
        <w:rPr>
          <w:sz w:val="22"/>
          <w:szCs w:val="22"/>
        </w:rPr>
        <w:t>in accordance with</w:t>
      </w:r>
      <w:r w:rsidRPr="00CE6806">
        <w:rPr>
          <w:sz w:val="22"/>
          <w:szCs w:val="22"/>
        </w:rPr>
        <w:t xml:space="preserve"> the procedure, but the procedure was wrong.  These inadequate </w:t>
      </w:r>
      <w:r w:rsidR="00A93526" w:rsidRPr="00CE6806">
        <w:rPr>
          <w:caps/>
          <w:sz w:val="22"/>
          <w:szCs w:val="22"/>
        </w:rPr>
        <w:t>PE</w:t>
      </w:r>
      <w:r w:rsidRPr="00CE6806">
        <w:rPr>
          <w:sz w:val="22"/>
          <w:szCs w:val="22"/>
        </w:rPr>
        <w:t xml:space="preserve"> are performance deficiencies that the EP SDP treats as </w:t>
      </w:r>
      <w:r w:rsidR="00A93526" w:rsidRPr="00CE6806">
        <w:rPr>
          <w:caps/>
          <w:sz w:val="22"/>
          <w:szCs w:val="22"/>
        </w:rPr>
        <w:t>FTC</w:t>
      </w:r>
      <w:r w:rsidRPr="00CE6806">
        <w:rPr>
          <w:sz w:val="22"/>
          <w:szCs w:val="22"/>
        </w:rPr>
        <w:t xml:space="preserve">, rather than </w:t>
      </w:r>
      <w:r w:rsidRPr="00CE6806">
        <w:rPr>
          <w:caps/>
          <w:sz w:val="22"/>
          <w:szCs w:val="22"/>
        </w:rPr>
        <w:t>weaknesses</w:t>
      </w:r>
      <w:r w:rsidRPr="00CE6806">
        <w:rPr>
          <w:sz w:val="22"/>
          <w:szCs w:val="22"/>
        </w:rPr>
        <w:t xml:space="preserve">, even if the licensee identifies the performance deficiency in its </w:t>
      </w:r>
      <w:r w:rsidRPr="00CE6806">
        <w:rPr>
          <w:caps/>
          <w:sz w:val="22"/>
          <w:szCs w:val="22"/>
        </w:rPr>
        <w:t>critique</w:t>
      </w:r>
      <w:r w:rsidRPr="00CE6806">
        <w:rPr>
          <w:sz w:val="22"/>
          <w:szCs w:val="22"/>
        </w:rPr>
        <w:t>.</w:t>
      </w:r>
    </w:p>
    <w:p w:rsidR="00CB7D09" w:rsidRPr="00CE6806" w:rsidRDefault="00CB7D09" w:rsidP="00EB12BF">
      <w:pPr>
        <w:pStyle w:val="609noindent"/>
        <w:jc w:val="left"/>
        <w:rPr>
          <w:sz w:val="22"/>
          <w:szCs w:val="22"/>
        </w:rPr>
      </w:pPr>
    </w:p>
    <w:p w:rsidR="00BD5DEE" w:rsidRPr="00CE6806" w:rsidRDefault="002A636A" w:rsidP="00EB12BF">
      <w:pPr>
        <w:pStyle w:val="609noindent"/>
        <w:jc w:val="left"/>
        <w:rPr>
          <w:b/>
          <w:sz w:val="22"/>
          <w:szCs w:val="22"/>
          <w:u w:val="single"/>
        </w:rPr>
      </w:pPr>
      <w:r w:rsidRPr="00CE6806">
        <w:rPr>
          <w:b/>
          <w:sz w:val="22"/>
          <w:szCs w:val="22"/>
        </w:rPr>
        <w:t>4</w:t>
      </w:r>
      <w:r w:rsidR="00B46C29" w:rsidRPr="00CE6806">
        <w:rPr>
          <w:b/>
          <w:sz w:val="22"/>
          <w:szCs w:val="22"/>
        </w:rPr>
        <w:t>.</w:t>
      </w:r>
      <w:r w:rsidR="00BA5AA8" w:rsidRPr="00CE6806">
        <w:rPr>
          <w:b/>
          <w:sz w:val="22"/>
          <w:szCs w:val="22"/>
        </w:rPr>
        <w:t>7</w:t>
      </w:r>
      <w:r w:rsidR="00B46C29" w:rsidRPr="00CE6806">
        <w:rPr>
          <w:b/>
          <w:sz w:val="22"/>
          <w:szCs w:val="22"/>
        </w:rPr>
        <w:tab/>
      </w:r>
      <w:r w:rsidR="00BA5AA8" w:rsidRPr="00CE6806">
        <w:rPr>
          <w:b/>
          <w:sz w:val="22"/>
          <w:szCs w:val="22"/>
          <w:u w:val="single"/>
        </w:rPr>
        <w:t xml:space="preserve">Significance of Findings Related to Failure to </w:t>
      </w:r>
      <w:r w:rsidR="00B46C29" w:rsidRPr="00CE6806">
        <w:rPr>
          <w:b/>
          <w:sz w:val="22"/>
          <w:szCs w:val="22"/>
          <w:u w:val="single"/>
        </w:rPr>
        <w:t>Correct</w:t>
      </w:r>
      <w:r w:rsidR="00BA5AA8" w:rsidRPr="00CE6806">
        <w:rPr>
          <w:b/>
          <w:sz w:val="22"/>
          <w:szCs w:val="22"/>
          <w:u w:val="single"/>
        </w:rPr>
        <w:t xml:space="preserve"> Weaknesses</w:t>
      </w:r>
    </w:p>
    <w:p w:rsidR="00BA5AA8" w:rsidRPr="00CE6806" w:rsidRDefault="00BA5AA8" w:rsidP="00EB12BF">
      <w:pPr>
        <w:pStyle w:val="609noindent"/>
        <w:jc w:val="left"/>
        <w:rPr>
          <w:sz w:val="22"/>
          <w:szCs w:val="22"/>
        </w:rPr>
      </w:pPr>
    </w:p>
    <w:p w:rsidR="00B46C29" w:rsidRPr="00CE6806" w:rsidRDefault="0026614B" w:rsidP="00EB12BF">
      <w:pPr>
        <w:pStyle w:val="609noindent"/>
        <w:jc w:val="left"/>
        <w:rPr>
          <w:sz w:val="22"/>
          <w:szCs w:val="22"/>
        </w:rPr>
      </w:pPr>
      <w:r w:rsidRPr="00CE6806">
        <w:rPr>
          <w:sz w:val="22"/>
          <w:szCs w:val="22"/>
        </w:rPr>
        <w:t xml:space="preserve">The EP Cornerstone of the </w:t>
      </w:r>
      <w:r w:rsidR="002D25C4" w:rsidRPr="00CE6806">
        <w:rPr>
          <w:sz w:val="22"/>
          <w:szCs w:val="22"/>
        </w:rPr>
        <w:t>ROP</w:t>
      </w:r>
      <w:r w:rsidRPr="00CE6806">
        <w:rPr>
          <w:sz w:val="22"/>
          <w:szCs w:val="22"/>
        </w:rPr>
        <w:t xml:space="preserve"> is based on the licensee response band established by the PI program and the licensee’s problem identification and resolution (PI&amp;R) program.  As it relates to emergency preparedness, PI&amp;R encompasses the drill and exercise </w:t>
      </w:r>
      <w:r w:rsidRPr="00CE6806">
        <w:rPr>
          <w:caps/>
          <w:sz w:val="22"/>
          <w:szCs w:val="22"/>
        </w:rPr>
        <w:t>critique</w:t>
      </w:r>
      <w:r w:rsidRPr="00CE6806">
        <w:rPr>
          <w:sz w:val="22"/>
          <w:szCs w:val="22"/>
        </w:rPr>
        <w:t xml:space="preserve"> program, </w:t>
      </w:r>
      <w:r w:rsidR="00416BC0" w:rsidRPr="00CE6806">
        <w:rPr>
          <w:sz w:val="22"/>
          <w:szCs w:val="22"/>
        </w:rPr>
        <w:t>CRITIQUES</w:t>
      </w:r>
      <w:r w:rsidRPr="00CE6806">
        <w:rPr>
          <w:sz w:val="22"/>
          <w:szCs w:val="22"/>
        </w:rPr>
        <w:t xml:space="preserve"> of actual events and other assessment activities (such as QA audits and reviews performed in accordance with 10 CFR 50.54(t)), as well as the corrective action program.  The EP </w:t>
      </w:r>
      <w:r w:rsidR="002D25C4" w:rsidRPr="00CE6806">
        <w:rPr>
          <w:sz w:val="22"/>
          <w:szCs w:val="22"/>
        </w:rPr>
        <w:t>b</w:t>
      </w:r>
      <w:r w:rsidRPr="00CE6806">
        <w:rPr>
          <w:sz w:val="22"/>
          <w:szCs w:val="22"/>
        </w:rPr>
        <w:t xml:space="preserve">aseline </w:t>
      </w:r>
      <w:r w:rsidR="002D25C4" w:rsidRPr="00CE6806">
        <w:rPr>
          <w:sz w:val="22"/>
          <w:szCs w:val="22"/>
        </w:rPr>
        <w:t>i</w:t>
      </w:r>
      <w:r w:rsidRPr="00CE6806">
        <w:rPr>
          <w:sz w:val="22"/>
          <w:szCs w:val="22"/>
        </w:rPr>
        <w:t xml:space="preserve">nspection </w:t>
      </w:r>
      <w:r w:rsidR="002D25C4" w:rsidRPr="00CE6806">
        <w:rPr>
          <w:sz w:val="22"/>
          <w:szCs w:val="22"/>
        </w:rPr>
        <w:t>p</w:t>
      </w:r>
      <w:r w:rsidRPr="00CE6806">
        <w:rPr>
          <w:sz w:val="22"/>
          <w:szCs w:val="22"/>
        </w:rPr>
        <w:t xml:space="preserve">rogram provides oversight of a licensee’s efforts to </w:t>
      </w:r>
      <w:r w:rsidR="00416BC0" w:rsidRPr="00CE6806">
        <w:rPr>
          <w:sz w:val="22"/>
          <w:szCs w:val="22"/>
        </w:rPr>
        <w:t>CRITIQUE</w:t>
      </w:r>
      <w:r w:rsidRPr="00CE6806">
        <w:rPr>
          <w:sz w:val="22"/>
          <w:szCs w:val="22"/>
        </w:rPr>
        <w:t xml:space="preserve"> drills and exercises and correct </w:t>
      </w:r>
      <w:r w:rsidRPr="00CE6806">
        <w:rPr>
          <w:caps/>
          <w:sz w:val="22"/>
          <w:szCs w:val="22"/>
        </w:rPr>
        <w:t>weaknesses</w:t>
      </w:r>
      <w:r w:rsidRPr="00CE6806">
        <w:rPr>
          <w:sz w:val="22"/>
          <w:szCs w:val="22"/>
        </w:rPr>
        <w:t>.  NRC regulations in 10 CFR 50.47(b</w:t>
      </w:r>
      <w:proofErr w:type="gramStart"/>
      <w:r w:rsidRPr="00CE6806">
        <w:rPr>
          <w:sz w:val="22"/>
          <w:szCs w:val="22"/>
        </w:rPr>
        <w:t>)(</w:t>
      </w:r>
      <w:proofErr w:type="gramEnd"/>
      <w:r w:rsidRPr="00CE6806">
        <w:rPr>
          <w:sz w:val="22"/>
          <w:szCs w:val="22"/>
        </w:rPr>
        <w:t xml:space="preserve">14) and Section IV.F.2.g of Appendix E to 10 CFR Part 50 require licensees to formally </w:t>
      </w:r>
      <w:r w:rsidR="00416BC0" w:rsidRPr="00CE6806">
        <w:rPr>
          <w:sz w:val="22"/>
          <w:szCs w:val="22"/>
        </w:rPr>
        <w:t>CRITQUE</w:t>
      </w:r>
      <w:r w:rsidR="002D25C4" w:rsidRPr="00CE6806">
        <w:rPr>
          <w:sz w:val="22"/>
          <w:szCs w:val="22"/>
        </w:rPr>
        <w:t xml:space="preserve"> </w:t>
      </w:r>
      <w:r w:rsidRPr="00CE6806">
        <w:rPr>
          <w:sz w:val="22"/>
          <w:szCs w:val="22"/>
        </w:rPr>
        <w:t xml:space="preserve">drills and exercises to identify and correct any </w:t>
      </w:r>
      <w:r w:rsidRPr="00CE6806">
        <w:rPr>
          <w:caps/>
          <w:sz w:val="22"/>
          <w:szCs w:val="22"/>
        </w:rPr>
        <w:t>weaknesses</w:t>
      </w:r>
      <w:r w:rsidRPr="00CE6806">
        <w:rPr>
          <w:sz w:val="22"/>
          <w:szCs w:val="22"/>
        </w:rPr>
        <w:t>.</w:t>
      </w:r>
    </w:p>
    <w:p w:rsidR="00B46C29" w:rsidRPr="00CE6806" w:rsidRDefault="00B46C29" w:rsidP="00EB12BF">
      <w:pPr>
        <w:pStyle w:val="609noindent"/>
        <w:jc w:val="left"/>
        <w:rPr>
          <w:sz w:val="22"/>
          <w:szCs w:val="22"/>
        </w:rPr>
      </w:pPr>
    </w:p>
    <w:p w:rsidR="0026614B" w:rsidRPr="00CE6806" w:rsidRDefault="0026614B" w:rsidP="00EB12BF">
      <w:pPr>
        <w:pStyle w:val="609noindent"/>
        <w:jc w:val="left"/>
        <w:rPr>
          <w:sz w:val="22"/>
          <w:szCs w:val="22"/>
        </w:rPr>
      </w:pPr>
      <w:r w:rsidRPr="00CE6806">
        <w:rPr>
          <w:sz w:val="22"/>
          <w:szCs w:val="22"/>
        </w:rPr>
        <w:t xml:space="preserve">The EP SDP provides that determination of a failure to correct a drill or exercise </w:t>
      </w:r>
      <w:r w:rsidRPr="00CE6806">
        <w:rPr>
          <w:caps/>
          <w:sz w:val="22"/>
          <w:szCs w:val="22"/>
        </w:rPr>
        <w:t>weakness</w:t>
      </w:r>
      <w:r w:rsidRPr="00CE6806">
        <w:rPr>
          <w:sz w:val="22"/>
          <w:szCs w:val="22"/>
        </w:rPr>
        <w:t xml:space="preserve"> requires a detailed review of the </w:t>
      </w:r>
      <w:r w:rsidRPr="00CE6806">
        <w:rPr>
          <w:caps/>
          <w:sz w:val="22"/>
          <w:szCs w:val="22"/>
        </w:rPr>
        <w:t>weakness</w:t>
      </w:r>
      <w:r w:rsidRPr="00CE6806">
        <w:rPr>
          <w:sz w:val="22"/>
          <w:szCs w:val="22"/>
        </w:rPr>
        <w:t xml:space="preserve"> and the associated corrective actions.  It is not intended that a single repetition of a </w:t>
      </w:r>
      <w:r w:rsidRPr="00CE6806">
        <w:rPr>
          <w:caps/>
          <w:sz w:val="22"/>
          <w:szCs w:val="22"/>
        </w:rPr>
        <w:t>weakness</w:t>
      </w:r>
      <w:r w:rsidRPr="00CE6806">
        <w:rPr>
          <w:sz w:val="22"/>
          <w:szCs w:val="22"/>
        </w:rPr>
        <w:t xml:space="preserve"> (e.g., in a drill) should automatically be deemed to be a failure of the corrective action system.  Conversely, success in a drill or exercise (e.g., by one well-drilled team) should not necessarily be considered a </w:t>
      </w:r>
      <w:r w:rsidR="00A9059A">
        <w:rPr>
          <w:sz w:val="22"/>
          <w:szCs w:val="22"/>
        </w:rPr>
        <w:t>success of the corrective action system</w:t>
      </w:r>
      <w:r w:rsidRPr="00CE6806">
        <w:rPr>
          <w:sz w:val="22"/>
          <w:szCs w:val="22"/>
        </w:rPr>
        <w:t xml:space="preserve">.  When an apparent failure to resolve a </w:t>
      </w:r>
      <w:r w:rsidR="00A93526" w:rsidRPr="00CE6806">
        <w:rPr>
          <w:sz w:val="22"/>
          <w:szCs w:val="22"/>
        </w:rPr>
        <w:t>WEAKNESS</w:t>
      </w:r>
      <w:r w:rsidRPr="00CE6806">
        <w:rPr>
          <w:sz w:val="22"/>
          <w:szCs w:val="22"/>
        </w:rPr>
        <w:t xml:space="preserve"> is observed, specific corrective actions, as well as similar occurrences in response to actual events, drills, exercises and training evolutions</w:t>
      </w:r>
      <w:r w:rsidR="00344D88" w:rsidRPr="00CE6806">
        <w:rPr>
          <w:sz w:val="22"/>
          <w:szCs w:val="22"/>
        </w:rPr>
        <w:t>, are reviewed</w:t>
      </w:r>
      <w:r w:rsidRPr="00CE6806">
        <w:rPr>
          <w:sz w:val="22"/>
          <w:szCs w:val="22"/>
        </w:rPr>
        <w:t xml:space="preserve">.  </w:t>
      </w:r>
      <w:r w:rsidR="00344D88" w:rsidRPr="00CE6806">
        <w:rPr>
          <w:sz w:val="22"/>
          <w:szCs w:val="22"/>
        </w:rPr>
        <w:t>The</w:t>
      </w:r>
      <w:r w:rsidRPr="00CE6806">
        <w:rPr>
          <w:sz w:val="22"/>
          <w:szCs w:val="22"/>
        </w:rPr>
        <w:t xml:space="preserve"> status of relevant performance indicators</w:t>
      </w:r>
      <w:r w:rsidR="00344D88" w:rsidRPr="00CE6806">
        <w:rPr>
          <w:sz w:val="22"/>
          <w:szCs w:val="22"/>
        </w:rPr>
        <w:t xml:space="preserve"> and the </w:t>
      </w:r>
      <w:r w:rsidRPr="00CE6806">
        <w:rPr>
          <w:sz w:val="22"/>
          <w:szCs w:val="22"/>
        </w:rPr>
        <w:t>corr</w:t>
      </w:r>
      <w:r w:rsidR="00BA5AA8" w:rsidRPr="00CE6806">
        <w:rPr>
          <w:sz w:val="22"/>
          <w:szCs w:val="22"/>
        </w:rPr>
        <w:t xml:space="preserve">ective action, self-assessment </w:t>
      </w:r>
      <w:r w:rsidRPr="00CE6806">
        <w:rPr>
          <w:sz w:val="22"/>
          <w:szCs w:val="22"/>
        </w:rPr>
        <w:t xml:space="preserve">and inspection records for an entire inspection cycle with emphasis on similar </w:t>
      </w:r>
      <w:r w:rsidR="00AA465E" w:rsidRPr="00CE6806">
        <w:rPr>
          <w:sz w:val="22"/>
          <w:szCs w:val="22"/>
        </w:rPr>
        <w:t>issue</w:t>
      </w:r>
      <w:r w:rsidRPr="00CE6806">
        <w:rPr>
          <w:sz w:val="22"/>
          <w:szCs w:val="22"/>
        </w:rPr>
        <w:t>s</w:t>
      </w:r>
      <w:r w:rsidR="00344D88" w:rsidRPr="00CE6806">
        <w:rPr>
          <w:sz w:val="22"/>
          <w:szCs w:val="22"/>
        </w:rPr>
        <w:t xml:space="preserve"> are also considered.  In addition, </w:t>
      </w:r>
      <w:r w:rsidRPr="00CE6806">
        <w:rPr>
          <w:sz w:val="22"/>
          <w:szCs w:val="22"/>
        </w:rPr>
        <w:t>completion of corrective actions</w:t>
      </w:r>
      <w:r w:rsidR="00344D88" w:rsidRPr="00CE6806">
        <w:rPr>
          <w:sz w:val="22"/>
          <w:szCs w:val="22"/>
        </w:rPr>
        <w:t xml:space="preserve"> is verified</w:t>
      </w:r>
      <w:r w:rsidRPr="00CE6806">
        <w:rPr>
          <w:sz w:val="22"/>
          <w:szCs w:val="22"/>
        </w:rPr>
        <w:t xml:space="preserve">.  The intent </w:t>
      </w:r>
      <w:r w:rsidR="00344D88" w:rsidRPr="00CE6806">
        <w:rPr>
          <w:sz w:val="22"/>
          <w:szCs w:val="22"/>
        </w:rPr>
        <w:t xml:space="preserve">of these actions </w:t>
      </w:r>
      <w:r w:rsidRPr="00CE6806">
        <w:rPr>
          <w:sz w:val="22"/>
          <w:szCs w:val="22"/>
        </w:rPr>
        <w:t xml:space="preserve">is to </w:t>
      </w:r>
      <w:r w:rsidR="00344D88" w:rsidRPr="00CE6806">
        <w:rPr>
          <w:sz w:val="22"/>
          <w:szCs w:val="22"/>
        </w:rPr>
        <w:t>discover</w:t>
      </w:r>
      <w:r w:rsidRPr="00CE6806">
        <w:rPr>
          <w:sz w:val="22"/>
          <w:szCs w:val="22"/>
        </w:rPr>
        <w:t xml:space="preserve"> a pattern of recurring performance </w:t>
      </w:r>
      <w:r w:rsidR="0009504C" w:rsidRPr="00CE6806">
        <w:rPr>
          <w:sz w:val="22"/>
          <w:szCs w:val="22"/>
        </w:rPr>
        <w:t>issues</w:t>
      </w:r>
      <w:r w:rsidRPr="00CE6806">
        <w:rPr>
          <w:sz w:val="22"/>
          <w:szCs w:val="22"/>
        </w:rPr>
        <w:t xml:space="preserve"> in similar activities in order to identify ineffective corrective actions.</w:t>
      </w:r>
    </w:p>
    <w:p w:rsidR="0026614B" w:rsidRPr="00CE6806" w:rsidRDefault="0026614B" w:rsidP="00EB12BF">
      <w:pPr>
        <w:pStyle w:val="609noindent"/>
        <w:jc w:val="left"/>
        <w:rPr>
          <w:sz w:val="22"/>
          <w:szCs w:val="22"/>
        </w:rPr>
      </w:pPr>
    </w:p>
    <w:p w:rsidR="008727E3" w:rsidRPr="00CE6806" w:rsidRDefault="00BA5AA8" w:rsidP="00EB12BF">
      <w:pPr>
        <w:pStyle w:val="609noindent"/>
        <w:jc w:val="left"/>
        <w:rPr>
          <w:sz w:val="22"/>
          <w:szCs w:val="22"/>
        </w:rPr>
      </w:pPr>
      <w:r w:rsidRPr="00CE6806">
        <w:rPr>
          <w:sz w:val="22"/>
          <w:szCs w:val="22"/>
        </w:rPr>
        <w:t>The</w:t>
      </w:r>
      <w:r w:rsidR="008727E3" w:rsidRPr="00CE6806">
        <w:rPr>
          <w:sz w:val="22"/>
          <w:szCs w:val="22"/>
        </w:rPr>
        <w:t xml:space="preserve"> EP SDP </w:t>
      </w:r>
      <w:r w:rsidRPr="00CE6806">
        <w:rPr>
          <w:sz w:val="22"/>
          <w:szCs w:val="22"/>
        </w:rPr>
        <w:t>assigns</w:t>
      </w:r>
      <w:r w:rsidR="002D25C4" w:rsidRPr="00CE6806">
        <w:rPr>
          <w:sz w:val="22"/>
          <w:szCs w:val="22"/>
        </w:rPr>
        <w:t xml:space="preserve"> significance for failure</w:t>
      </w:r>
      <w:r w:rsidR="008727E3" w:rsidRPr="00CE6806">
        <w:rPr>
          <w:sz w:val="22"/>
          <w:szCs w:val="22"/>
        </w:rPr>
        <w:t xml:space="preserve"> to correct </w:t>
      </w:r>
      <w:r w:rsidR="002D25C4" w:rsidRPr="00CE6806">
        <w:rPr>
          <w:sz w:val="22"/>
          <w:szCs w:val="22"/>
        </w:rPr>
        <w:t xml:space="preserve">a </w:t>
      </w:r>
      <w:r w:rsidR="008727E3" w:rsidRPr="00CE6806">
        <w:rPr>
          <w:caps/>
          <w:sz w:val="22"/>
          <w:szCs w:val="22"/>
        </w:rPr>
        <w:t>weakness</w:t>
      </w:r>
      <w:r w:rsidRPr="00CE6806">
        <w:rPr>
          <w:sz w:val="22"/>
          <w:szCs w:val="22"/>
        </w:rPr>
        <w:t xml:space="preserve"> as follows</w:t>
      </w:r>
      <w:r w:rsidR="002D25C4" w:rsidRPr="00CE6806">
        <w:rPr>
          <w:sz w:val="22"/>
          <w:szCs w:val="22"/>
        </w:rPr>
        <w:t>:</w:t>
      </w:r>
      <w:r w:rsidR="008727E3" w:rsidRPr="00CE6806">
        <w:rPr>
          <w:sz w:val="22"/>
          <w:szCs w:val="22"/>
        </w:rPr>
        <w:t xml:space="preserve">  </w:t>
      </w:r>
    </w:p>
    <w:p w:rsidR="008727E3" w:rsidRPr="00CE6806" w:rsidRDefault="008727E3" w:rsidP="00EB12BF">
      <w:pPr>
        <w:pStyle w:val="609noindent"/>
        <w:jc w:val="left"/>
        <w:rPr>
          <w:sz w:val="22"/>
          <w:szCs w:val="22"/>
        </w:rPr>
      </w:pPr>
    </w:p>
    <w:p w:rsidR="008727E3" w:rsidRPr="00CE6806" w:rsidRDefault="008727E3" w:rsidP="00EB12BF">
      <w:pPr>
        <w:pStyle w:val="609noindent"/>
        <w:numPr>
          <w:ilvl w:val="0"/>
          <w:numId w:val="8"/>
        </w:numPr>
        <w:jc w:val="left"/>
        <w:rPr>
          <w:sz w:val="22"/>
          <w:szCs w:val="22"/>
        </w:rPr>
      </w:pPr>
      <w:r w:rsidRPr="00CE6806">
        <w:rPr>
          <w:sz w:val="22"/>
          <w:szCs w:val="22"/>
        </w:rPr>
        <w:t xml:space="preserve">For </w:t>
      </w:r>
      <w:r w:rsidR="002D25C4" w:rsidRPr="00CE6806">
        <w:rPr>
          <w:sz w:val="22"/>
          <w:szCs w:val="22"/>
        </w:rPr>
        <w:t xml:space="preserve">a </w:t>
      </w:r>
      <w:r w:rsidRPr="00CE6806">
        <w:rPr>
          <w:caps/>
          <w:sz w:val="22"/>
          <w:szCs w:val="22"/>
        </w:rPr>
        <w:t>weakness</w:t>
      </w:r>
      <w:r w:rsidRPr="00CE6806">
        <w:rPr>
          <w:sz w:val="22"/>
          <w:szCs w:val="22"/>
        </w:rPr>
        <w:t xml:space="preserve"> associated with the </w:t>
      </w:r>
      <w:r w:rsidR="002D25C4" w:rsidRPr="00CE6806">
        <w:rPr>
          <w:caps/>
          <w:sz w:val="22"/>
          <w:szCs w:val="22"/>
        </w:rPr>
        <w:t>RSPS</w:t>
      </w:r>
      <w:r w:rsidR="00A9059A">
        <w:rPr>
          <w:sz w:val="22"/>
          <w:szCs w:val="22"/>
        </w:rPr>
        <w:t xml:space="preserve"> 10 CFR 50.47(b</w:t>
      </w:r>
      <w:proofErr w:type="gramStart"/>
      <w:r w:rsidR="00A9059A">
        <w:rPr>
          <w:sz w:val="22"/>
          <w:szCs w:val="22"/>
        </w:rPr>
        <w:t>)(</w:t>
      </w:r>
      <w:proofErr w:type="gramEnd"/>
      <w:r w:rsidR="00A9059A">
        <w:rPr>
          <w:sz w:val="22"/>
          <w:szCs w:val="22"/>
        </w:rPr>
        <w:t>4), -(5),</w:t>
      </w:r>
      <w:r w:rsidRPr="00CE6806">
        <w:rPr>
          <w:sz w:val="22"/>
          <w:szCs w:val="22"/>
        </w:rPr>
        <w:t xml:space="preserve"> and </w:t>
      </w:r>
      <w:r w:rsidR="00AA465E" w:rsidRPr="00CE6806">
        <w:rPr>
          <w:sz w:val="22"/>
          <w:szCs w:val="22"/>
        </w:rPr>
        <w:t>-</w:t>
      </w:r>
      <w:r w:rsidRPr="00CE6806">
        <w:rPr>
          <w:sz w:val="22"/>
          <w:szCs w:val="22"/>
        </w:rPr>
        <w:t xml:space="preserve">(10), a failure to correct is assigned White significance, a high standard based on the reliance that NRC places on timely corrective actions to maintain the integrity of the licensee response band.  </w:t>
      </w:r>
    </w:p>
    <w:p w:rsidR="008727E3" w:rsidRPr="00CE6806" w:rsidRDefault="008727E3" w:rsidP="00EB12BF">
      <w:pPr>
        <w:pStyle w:val="609noindent"/>
        <w:jc w:val="left"/>
        <w:rPr>
          <w:sz w:val="22"/>
          <w:szCs w:val="22"/>
        </w:rPr>
      </w:pPr>
    </w:p>
    <w:p w:rsidR="008727E3" w:rsidRPr="00CE6806" w:rsidRDefault="008727E3" w:rsidP="00EB12BF">
      <w:pPr>
        <w:pStyle w:val="609noindent"/>
        <w:numPr>
          <w:ilvl w:val="0"/>
          <w:numId w:val="8"/>
        </w:numPr>
        <w:jc w:val="left"/>
        <w:rPr>
          <w:sz w:val="22"/>
          <w:szCs w:val="22"/>
        </w:rPr>
      </w:pPr>
      <w:r w:rsidRPr="00CE6806">
        <w:rPr>
          <w:sz w:val="22"/>
          <w:szCs w:val="22"/>
        </w:rPr>
        <w:t xml:space="preserve">For the </w:t>
      </w:r>
      <w:r w:rsidR="002D25C4" w:rsidRPr="00CE6806">
        <w:rPr>
          <w:caps/>
          <w:sz w:val="22"/>
          <w:szCs w:val="22"/>
        </w:rPr>
        <w:t>RSPS</w:t>
      </w:r>
      <w:r w:rsidRPr="00CE6806">
        <w:rPr>
          <w:sz w:val="22"/>
          <w:szCs w:val="22"/>
        </w:rPr>
        <w:t xml:space="preserve"> incorporated in the DEP PI, if the DEP PI has fallen below the </w:t>
      </w:r>
      <w:r w:rsidR="002D25C4" w:rsidRPr="00CE6806">
        <w:rPr>
          <w:sz w:val="22"/>
          <w:szCs w:val="22"/>
        </w:rPr>
        <w:t xml:space="preserve">license response </w:t>
      </w:r>
      <w:r w:rsidRPr="00CE6806">
        <w:rPr>
          <w:sz w:val="22"/>
          <w:szCs w:val="22"/>
        </w:rPr>
        <w:t xml:space="preserve">band, there is no need for </w:t>
      </w:r>
      <w:r w:rsidR="00172698" w:rsidRPr="00CE6806">
        <w:rPr>
          <w:sz w:val="22"/>
          <w:szCs w:val="22"/>
        </w:rPr>
        <w:t>an additional</w:t>
      </w:r>
      <w:r w:rsidRPr="00CE6806">
        <w:rPr>
          <w:sz w:val="22"/>
          <w:szCs w:val="22"/>
        </w:rPr>
        <w:t xml:space="preserve"> finding</w:t>
      </w:r>
      <w:r w:rsidR="00BA5AA8" w:rsidRPr="00CE6806">
        <w:rPr>
          <w:sz w:val="22"/>
          <w:szCs w:val="22"/>
        </w:rPr>
        <w:t xml:space="preserve"> </w:t>
      </w:r>
      <w:r w:rsidR="002D25C4" w:rsidRPr="00CE6806">
        <w:rPr>
          <w:sz w:val="22"/>
          <w:szCs w:val="22"/>
        </w:rPr>
        <w:t>as</w:t>
      </w:r>
      <w:r w:rsidR="00BA5AA8" w:rsidRPr="00CE6806">
        <w:rPr>
          <w:sz w:val="22"/>
          <w:szCs w:val="22"/>
        </w:rPr>
        <w:t xml:space="preserve"> the </w:t>
      </w:r>
      <w:r w:rsidR="007F5933" w:rsidRPr="00CE6806">
        <w:rPr>
          <w:sz w:val="22"/>
          <w:szCs w:val="22"/>
        </w:rPr>
        <w:t xml:space="preserve">regulatory response band </w:t>
      </w:r>
      <w:r w:rsidR="002D25C4" w:rsidRPr="00CE6806">
        <w:rPr>
          <w:sz w:val="22"/>
          <w:szCs w:val="22"/>
        </w:rPr>
        <w:t>(or higher</w:t>
      </w:r>
      <w:r w:rsidR="00A9059A">
        <w:rPr>
          <w:sz w:val="22"/>
          <w:szCs w:val="22"/>
        </w:rPr>
        <w:t xml:space="preserve"> band</w:t>
      </w:r>
      <w:r w:rsidR="002D25C4" w:rsidRPr="00CE6806">
        <w:rPr>
          <w:sz w:val="22"/>
          <w:szCs w:val="22"/>
        </w:rPr>
        <w:t xml:space="preserve">) </w:t>
      </w:r>
      <w:r w:rsidR="007F5933" w:rsidRPr="00CE6806">
        <w:rPr>
          <w:sz w:val="22"/>
          <w:szCs w:val="22"/>
        </w:rPr>
        <w:t>would have been entered because of the PI</w:t>
      </w:r>
      <w:r w:rsidRPr="00CE6806">
        <w:rPr>
          <w:sz w:val="22"/>
          <w:szCs w:val="22"/>
        </w:rPr>
        <w:t>.</w:t>
      </w:r>
    </w:p>
    <w:p w:rsidR="00172698" w:rsidRPr="00CE6806" w:rsidRDefault="00172698" w:rsidP="00EB12BF">
      <w:pPr>
        <w:pStyle w:val="ListParagraph"/>
        <w:rPr>
          <w:rFonts w:cs="Arial"/>
          <w:sz w:val="22"/>
          <w:szCs w:val="22"/>
        </w:rPr>
      </w:pPr>
    </w:p>
    <w:p w:rsidR="00172698" w:rsidRPr="00CE6806" w:rsidRDefault="00172698" w:rsidP="00EB12BF">
      <w:pPr>
        <w:pStyle w:val="609noindent"/>
        <w:numPr>
          <w:ilvl w:val="0"/>
          <w:numId w:val="8"/>
        </w:numPr>
        <w:jc w:val="left"/>
        <w:rPr>
          <w:sz w:val="22"/>
          <w:szCs w:val="22"/>
        </w:rPr>
      </w:pPr>
      <w:r w:rsidRPr="00CE6806">
        <w:rPr>
          <w:sz w:val="22"/>
          <w:szCs w:val="22"/>
        </w:rPr>
        <w:t xml:space="preserve">For </w:t>
      </w:r>
      <w:r w:rsidR="002D25C4" w:rsidRPr="00CE6806">
        <w:rPr>
          <w:caps/>
          <w:sz w:val="22"/>
          <w:szCs w:val="22"/>
        </w:rPr>
        <w:t>RSPS</w:t>
      </w:r>
      <w:r w:rsidRPr="00CE6806">
        <w:rPr>
          <w:sz w:val="22"/>
          <w:szCs w:val="22"/>
        </w:rPr>
        <w:t xml:space="preserve"> 10 CFR 50.47(b</w:t>
      </w:r>
      <w:proofErr w:type="gramStart"/>
      <w:r w:rsidRPr="00CE6806">
        <w:rPr>
          <w:sz w:val="22"/>
          <w:szCs w:val="22"/>
        </w:rPr>
        <w:t>)(</w:t>
      </w:r>
      <w:proofErr w:type="gramEnd"/>
      <w:r w:rsidRPr="00CE6806">
        <w:rPr>
          <w:sz w:val="22"/>
          <w:szCs w:val="22"/>
        </w:rPr>
        <w:t xml:space="preserve">9), White significance will be assigned if the original </w:t>
      </w:r>
      <w:r w:rsidRPr="00CE6806">
        <w:rPr>
          <w:caps/>
          <w:sz w:val="22"/>
          <w:szCs w:val="22"/>
        </w:rPr>
        <w:t>weakness</w:t>
      </w:r>
      <w:r w:rsidRPr="00CE6806">
        <w:rPr>
          <w:sz w:val="22"/>
          <w:szCs w:val="22"/>
        </w:rPr>
        <w:t xml:space="preserve"> is observed in more than 10 percent of the performance opportunities; otherwise, no finding is assessed.  This treatment of uncorrected </w:t>
      </w:r>
      <w:r w:rsidRPr="00CE6806">
        <w:rPr>
          <w:caps/>
          <w:sz w:val="22"/>
          <w:szCs w:val="22"/>
        </w:rPr>
        <w:t>weaknesses</w:t>
      </w:r>
      <w:r w:rsidRPr="00CE6806">
        <w:rPr>
          <w:sz w:val="22"/>
          <w:szCs w:val="22"/>
        </w:rPr>
        <w:t xml:space="preserve"> is consistent with the licensee response band </w:t>
      </w:r>
      <w:r w:rsidR="0063520F">
        <w:rPr>
          <w:sz w:val="22"/>
          <w:szCs w:val="22"/>
        </w:rPr>
        <w:t>threshold</w:t>
      </w:r>
      <w:r w:rsidRPr="00CE6806">
        <w:rPr>
          <w:sz w:val="22"/>
          <w:szCs w:val="22"/>
        </w:rPr>
        <w:t xml:space="preserve"> of 90 percent for the DEP PI.  </w:t>
      </w:r>
      <w:r w:rsidR="00344D88" w:rsidRPr="00CE6806">
        <w:rPr>
          <w:sz w:val="22"/>
          <w:szCs w:val="22"/>
        </w:rPr>
        <w:t>This</w:t>
      </w:r>
      <w:r w:rsidR="00D53370" w:rsidRPr="00CE6806">
        <w:rPr>
          <w:sz w:val="22"/>
          <w:szCs w:val="22"/>
        </w:rPr>
        <w:t xml:space="preserve"> includes all observed </w:t>
      </w:r>
      <w:r w:rsidR="00D53370" w:rsidRPr="00CE6806">
        <w:rPr>
          <w:caps/>
          <w:sz w:val="22"/>
          <w:szCs w:val="22"/>
        </w:rPr>
        <w:t>weaknesses</w:t>
      </w:r>
      <w:r w:rsidR="00D53370" w:rsidRPr="00CE6806">
        <w:rPr>
          <w:sz w:val="22"/>
          <w:szCs w:val="22"/>
        </w:rPr>
        <w:t xml:space="preserve"> having a common uncorrected root cause.</w:t>
      </w:r>
    </w:p>
    <w:p w:rsidR="00172698" w:rsidRPr="00CE6806" w:rsidRDefault="00172698" w:rsidP="00EB12BF">
      <w:pPr>
        <w:pStyle w:val="ListParagraph"/>
        <w:rPr>
          <w:rFonts w:cs="Arial"/>
          <w:sz w:val="22"/>
          <w:szCs w:val="22"/>
        </w:rPr>
      </w:pPr>
    </w:p>
    <w:p w:rsidR="00172698" w:rsidRPr="00CE6806" w:rsidRDefault="00D51F1B" w:rsidP="00EB12BF">
      <w:pPr>
        <w:pStyle w:val="609noindent"/>
        <w:numPr>
          <w:ilvl w:val="0"/>
          <w:numId w:val="8"/>
        </w:numPr>
        <w:jc w:val="left"/>
        <w:rPr>
          <w:sz w:val="22"/>
          <w:szCs w:val="22"/>
        </w:rPr>
      </w:pPr>
      <w:r>
        <w:rPr>
          <w:sz w:val="22"/>
          <w:szCs w:val="22"/>
        </w:rPr>
        <w:t xml:space="preserve">Similarly, </w:t>
      </w:r>
      <w:r w:rsidR="00172698" w:rsidRPr="00CE6806">
        <w:rPr>
          <w:sz w:val="22"/>
          <w:szCs w:val="22"/>
        </w:rPr>
        <w:t xml:space="preserve">Green significance will be assigned </w:t>
      </w:r>
      <w:r>
        <w:rPr>
          <w:sz w:val="22"/>
          <w:szCs w:val="22"/>
        </w:rPr>
        <w:t xml:space="preserve">to non-RSPS WEAKNESSES </w:t>
      </w:r>
      <w:r w:rsidR="00172698" w:rsidRPr="00CE6806">
        <w:rPr>
          <w:sz w:val="22"/>
          <w:szCs w:val="22"/>
        </w:rPr>
        <w:t xml:space="preserve">if observed in more than 10 percent of the performance opportunities; otherwise, no finding is assessed.  </w:t>
      </w:r>
    </w:p>
    <w:p w:rsidR="0009504C" w:rsidRPr="00CE6806" w:rsidRDefault="0009504C" w:rsidP="00AA465E">
      <w:pPr>
        <w:pStyle w:val="ListParagraph"/>
        <w:rPr>
          <w:rFonts w:cs="Arial"/>
          <w:sz w:val="22"/>
          <w:szCs w:val="22"/>
        </w:rPr>
      </w:pPr>
    </w:p>
    <w:p w:rsidR="0009504C" w:rsidRPr="00CE6806" w:rsidRDefault="0009504C" w:rsidP="00DC5561">
      <w:pPr>
        <w:pStyle w:val="609noindent"/>
        <w:ind w:left="720"/>
        <w:jc w:val="center"/>
        <w:rPr>
          <w:sz w:val="22"/>
          <w:szCs w:val="22"/>
        </w:rPr>
      </w:pPr>
    </w:p>
    <w:p w:rsidR="00172698" w:rsidRPr="00CE6806" w:rsidRDefault="00172698" w:rsidP="00AA465E">
      <w:pPr>
        <w:pStyle w:val="609noindent"/>
        <w:rPr>
          <w:sz w:val="22"/>
          <w:szCs w:val="22"/>
        </w:rPr>
      </w:pPr>
    </w:p>
    <w:p w:rsidR="009A1574" w:rsidRPr="00CE6806" w:rsidRDefault="009A1574" w:rsidP="00AA465E">
      <w:pPr>
        <w:pStyle w:val="609noindent"/>
        <w:rPr>
          <w:sz w:val="22"/>
          <w:szCs w:val="22"/>
        </w:rPr>
        <w:sectPr w:rsidR="009A1574" w:rsidRPr="00CE6806" w:rsidSect="006A7254">
          <w:footerReference w:type="even" r:id="rId8"/>
          <w:footerReference w:type="default" r:id="rId9"/>
          <w:footerReference w:type="first" r:id="rId10"/>
          <w:type w:val="continuous"/>
          <w:pgSz w:w="12240" w:h="15840"/>
          <w:pgMar w:top="1440" w:right="1440" w:bottom="1440" w:left="1440" w:header="1440" w:footer="1440" w:gutter="0"/>
          <w:pgNumType w:start="1"/>
          <w:cols w:space="720"/>
          <w:titlePg/>
          <w:docGrid w:linePitch="272"/>
        </w:sectPr>
      </w:pPr>
    </w:p>
    <w:p w:rsidR="00BA4A8F" w:rsidRPr="00CE6806" w:rsidRDefault="00EB12BF" w:rsidP="00AA465E">
      <w:pPr>
        <w:tabs>
          <w:tab w:val="left" w:pos="-1080"/>
          <w:tab w:val="left" w:pos="-720"/>
          <w:tab w:val="left" w:pos="0"/>
          <w:tab w:val="left" w:pos="1080"/>
          <w:tab w:val="left" w:pos="1440"/>
          <w:tab w:val="left" w:pos="1710"/>
          <w:tab w:val="left" w:pos="2340"/>
          <w:tab w:val="right" w:leader="dot" w:pos="8467"/>
          <w:tab w:val="right" w:pos="9180"/>
        </w:tabs>
        <w:ind w:left="540"/>
        <w:jc w:val="center"/>
        <w:rPr>
          <w:rFonts w:cs="Arial"/>
          <w:sz w:val="22"/>
          <w:szCs w:val="22"/>
        </w:rPr>
      </w:pPr>
      <w:r>
        <w:rPr>
          <w:rFonts w:cs="Arial"/>
          <w:sz w:val="22"/>
          <w:szCs w:val="22"/>
        </w:rPr>
        <w:t>Revision History f</w:t>
      </w:r>
      <w:r w:rsidR="00BA4A8F" w:rsidRPr="00CE6806">
        <w:rPr>
          <w:rFonts w:cs="Arial"/>
          <w:sz w:val="22"/>
          <w:szCs w:val="22"/>
        </w:rPr>
        <w:t xml:space="preserve">or IMC 0308, </w:t>
      </w:r>
      <w:proofErr w:type="spellStart"/>
      <w:r w:rsidR="00BA4A8F" w:rsidRPr="00CE6806">
        <w:rPr>
          <w:rFonts w:cs="Arial"/>
          <w:sz w:val="22"/>
          <w:szCs w:val="22"/>
        </w:rPr>
        <w:t>Att</w:t>
      </w:r>
      <w:proofErr w:type="spellEnd"/>
      <w:r w:rsidR="00BA4A8F" w:rsidRPr="00CE6806">
        <w:rPr>
          <w:rFonts w:cs="Arial"/>
          <w:sz w:val="22"/>
          <w:szCs w:val="22"/>
        </w:rPr>
        <w:t xml:space="preserve"> 3, App B</w:t>
      </w:r>
    </w:p>
    <w:p w:rsidR="00BA4A8F" w:rsidRPr="00CE6806" w:rsidRDefault="00BA4A8F" w:rsidP="00AA465E">
      <w:pPr>
        <w:tabs>
          <w:tab w:val="left" w:pos="-1080"/>
          <w:tab w:val="left" w:pos="-720"/>
          <w:tab w:val="left" w:pos="0"/>
          <w:tab w:val="left" w:pos="1080"/>
          <w:tab w:val="left" w:pos="1440"/>
          <w:tab w:val="left" w:pos="1710"/>
          <w:tab w:val="left" w:pos="2340"/>
          <w:tab w:val="right" w:leader="dot" w:pos="8467"/>
          <w:tab w:val="right" w:pos="9180"/>
        </w:tabs>
        <w:ind w:left="540"/>
        <w:rPr>
          <w:rFonts w:cs="Arial"/>
          <w:sz w:val="22"/>
          <w:szCs w:val="22"/>
        </w:rPr>
      </w:pPr>
    </w:p>
    <w:p w:rsidR="00BA4A8F" w:rsidRPr="00CE6806" w:rsidRDefault="00BA4A8F" w:rsidP="00AA465E">
      <w:pPr>
        <w:tabs>
          <w:tab w:val="left" w:pos="-1080"/>
          <w:tab w:val="left" w:pos="-720"/>
          <w:tab w:val="left" w:pos="0"/>
          <w:tab w:val="left" w:pos="1080"/>
          <w:tab w:val="left" w:pos="1440"/>
          <w:tab w:val="left" w:pos="1710"/>
          <w:tab w:val="left" w:pos="2340"/>
          <w:tab w:val="right" w:leader="dot" w:pos="8467"/>
          <w:tab w:val="right" w:pos="9180"/>
        </w:tabs>
        <w:ind w:left="540"/>
        <w:rPr>
          <w:rFonts w:cs="Arial"/>
          <w:sz w:val="22"/>
          <w:szCs w:val="22"/>
        </w:rPr>
      </w:pPr>
    </w:p>
    <w:tbl>
      <w:tblPr>
        <w:tblW w:w="13230" w:type="dxa"/>
        <w:tblInd w:w="100" w:type="dxa"/>
        <w:tblLayout w:type="fixed"/>
        <w:tblCellMar>
          <w:left w:w="100" w:type="dxa"/>
          <w:right w:w="100" w:type="dxa"/>
        </w:tblCellMar>
        <w:tblLook w:val="0000"/>
      </w:tblPr>
      <w:tblGrid>
        <w:gridCol w:w="1620"/>
        <w:gridCol w:w="1710"/>
        <w:gridCol w:w="4770"/>
        <w:gridCol w:w="2430"/>
        <w:gridCol w:w="2700"/>
      </w:tblGrid>
      <w:tr w:rsidR="00EB12BF" w:rsidRPr="00CE6806" w:rsidTr="00EB12BF">
        <w:trPr>
          <w:cantSplit/>
        </w:trPr>
        <w:tc>
          <w:tcPr>
            <w:tcW w:w="1620" w:type="dxa"/>
            <w:tcBorders>
              <w:top w:val="single" w:sz="6" w:space="0" w:color="000000"/>
              <w:left w:val="single" w:sz="6" w:space="0" w:color="000000"/>
              <w:bottom w:val="nil"/>
              <w:right w:val="nil"/>
            </w:tcBorders>
          </w:tcPr>
          <w:p w:rsidR="00EB12BF" w:rsidRPr="00CE6806" w:rsidRDefault="00BA4A8F" w:rsidP="00EB12BF">
            <w:pPr>
              <w:widowControl w:val="0"/>
              <w:rPr>
                <w:rFonts w:cs="Arial"/>
                <w:sz w:val="22"/>
                <w:szCs w:val="22"/>
              </w:rPr>
            </w:pPr>
            <w:r w:rsidRPr="00CE6806">
              <w:rPr>
                <w:rFonts w:cs="Arial"/>
                <w:sz w:val="22"/>
                <w:szCs w:val="22"/>
              </w:rPr>
              <w:t xml:space="preserve"> </w:t>
            </w:r>
            <w:r w:rsidR="00694CCD" w:rsidRPr="00CE6806">
              <w:rPr>
                <w:rFonts w:cs="Arial"/>
                <w:sz w:val="22"/>
                <w:szCs w:val="22"/>
                <w:lang w:val="en-CA"/>
              </w:rPr>
              <w:fldChar w:fldCharType="begin"/>
            </w:r>
            <w:r w:rsidR="00EB12BF" w:rsidRPr="00CE6806">
              <w:rPr>
                <w:rFonts w:cs="Arial"/>
                <w:sz w:val="22"/>
                <w:szCs w:val="22"/>
                <w:lang w:val="en-CA"/>
              </w:rPr>
              <w:instrText xml:space="preserve"> SEQ CHAPTER \h \r 1</w:instrText>
            </w:r>
            <w:r w:rsidR="00694CCD" w:rsidRPr="00CE6806">
              <w:rPr>
                <w:rFonts w:cs="Arial"/>
                <w:sz w:val="22"/>
                <w:szCs w:val="22"/>
                <w:lang w:val="en-CA"/>
              </w:rPr>
              <w:fldChar w:fldCharType="end"/>
            </w:r>
            <w:r w:rsidR="00EB12BF" w:rsidRPr="00CE6806">
              <w:rPr>
                <w:rFonts w:cs="Arial"/>
                <w:sz w:val="22"/>
                <w:szCs w:val="22"/>
              </w:rPr>
              <w:t>Commitment Tracking Number</w:t>
            </w:r>
          </w:p>
        </w:tc>
        <w:tc>
          <w:tcPr>
            <w:tcW w:w="1710" w:type="dxa"/>
            <w:tcBorders>
              <w:top w:val="single" w:sz="6" w:space="0" w:color="000000"/>
              <w:left w:val="single" w:sz="6" w:space="0" w:color="000000"/>
              <w:bottom w:val="nil"/>
              <w:right w:val="nil"/>
            </w:tcBorders>
          </w:tcPr>
          <w:p w:rsidR="00EB12BF" w:rsidRDefault="00EB12BF" w:rsidP="00EB12BF">
            <w:pPr>
              <w:widowControl w:val="0"/>
              <w:jc w:val="center"/>
              <w:rPr>
                <w:rFonts w:cs="Arial"/>
                <w:sz w:val="22"/>
                <w:szCs w:val="22"/>
              </w:rPr>
            </w:pPr>
            <w:r>
              <w:rPr>
                <w:rFonts w:cs="Arial"/>
                <w:sz w:val="22"/>
                <w:szCs w:val="22"/>
              </w:rPr>
              <w:t>Accession Number</w:t>
            </w:r>
          </w:p>
          <w:p w:rsidR="00EB12BF" w:rsidRDefault="00EB12BF" w:rsidP="00EB12BF">
            <w:pPr>
              <w:widowControl w:val="0"/>
              <w:jc w:val="center"/>
              <w:rPr>
                <w:rFonts w:cs="Arial"/>
                <w:sz w:val="22"/>
                <w:szCs w:val="22"/>
              </w:rPr>
            </w:pPr>
            <w:r w:rsidRPr="00CE6806">
              <w:rPr>
                <w:rFonts w:cs="Arial"/>
                <w:sz w:val="22"/>
                <w:szCs w:val="22"/>
              </w:rPr>
              <w:t>Issue Date</w:t>
            </w:r>
          </w:p>
          <w:p w:rsidR="00EB12BF" w:rsidRPr="00CE6806" w:rsidRDefault="00EB12BF" w:rsidP="00EB12BF">
            <w:pPr>
              <w:widowControl w:val="0"/>
              <w:jc w:val="center"/>
              <w:rPr>
                <w:rFonts w:cs="Arial"/>
                <w:sz w:val="22"/>
                <w:szCs w:val="22"/>
              </w:rPr>
            </w:pPr>
            <w:r>
              <w:rPr>
                <w:rFonts w:cs="Arial"/>
                <w:sz w:val="22"/>
                <w:szCs w:val="22"/>
              </w:rPr>
              <w:t>Change Notice</w:t>
            </w:r>
          </w:p>
        </w:tc>
        <w:tc>
          <w:tcPr>
            <w:tcW w:w="4770" w:type="dxa"/>
            <w:tcBorders>
              <w:top w:val="single" w:sz="6" w:space="0" w:color="000000"/>
              <w:left w:val="single" w:sz="6" w:space="0" w:color="000000"/>
              <w:bottom w:val="nil"/>
              <w:right w:val="nil"/>
            </w:tcBorders>
          </w:tcPr>
          <w:p w:rsidR="00EB12BF" w:rsidRPr="00CE6806" w:rsidRDefault="00EB12BF" w:rsidP="00EB12BF">
            <w:pPr>
              <w:widowControl w:val="0"/>
              <w:jc w:val="center"/>
              <w:rPr>
                <w:rFonts w:cs="Arial"/>
                <w:sz w:val="22"/>
                <w:szCs w:val="22"/>
              </w:rPr>
            </w:pPr>
            <w:r w:rsidRPr="00CE6806">
              <w:rPr>
                <w:rFonts w:cs="Arial"/>
                <w:sz w:val="22"/>
                <w:szCs w:val="22"/>
              </w:rPr>
              <w:t>Description of Change</w:t>
            </w:r>
          </w:p>
        </w:tc>
        <w:tc>
          <w:tcPr>
            <w:tcW w:w="2430" w:type="dxa"/>
            <w:tcBorders>
              <w:top w:val="single" w:sz="6" w:space="0" w:color="000000"/>
              <w:left w:val="single" w:sz="6" w:space="0" w:color="000000"/>
              <w:bottom w:val="nil"/>
              <w:right w:val="nil"/>
            </w:tcBorders>
          </w:tcPr>
          <w:p w:rsidR="00EB12BF" w:rsidRPr="00CE6806" w:rsidRDefault="00EB12BF" w:rsidP="00EB12BF">
            <w:pPr>
              <w:widowControl w:val="0"/>
              <w:rPr>
                <w:rFonts w:cs="Arial"/>
                <w:sz w:val="22"/>
                <w:szCs w:val="22"/>
              </w:rPr>
            </w:pPr>
            <w:r>
              <w:rPr>
                <w:rFonts w:cs="Arial"/>
                <w:sz w:val="22"/>
                <w:szCs w:val="22"/>
              </w:rPr>
              <w:t>Description of Training Required and</w:t>
            </w:r>
            <w:r w:rsidRPr="00CE6806">
              <w:rPr>
                <w:rFonts w:cs="Arial"/>
                <w:sz w:val="22"/>
                <w:szCs w:val="22"/>
              </w:rPr>
              <w:t xml:space="preserve"> Completion Date</w:t>
            </w:r>
          </w:p>
        </w:tc>
        <w:tc>
          <w:tcPr>
            <w:tcW w:w="2700" w:type="dxa"/>
            <w:tcBorders>
              <w:top w:val="single" w:sz="6" w:space="0" w:color="000000"/>
              <w:left w:val="single" w:sz="6" w:space="0" w:color="000000"/>
              <w:bottom w:val="nil"/>
              <w:right w:val="single" w:sz="6" w:space="0" w:color="000000"/>
            </w:tcBorders>
          </w:tcPr>
          <w:p w:rsidR="00EB12BF" w:rsidRPr="00CE6806" w:rsidRDefault="00EB12BF" w:rsidP="00EB12BF">
            <w:pPr>
              <w:widowControl w:val="0"/>
              <w:rPr>
                <w:rFonts w:cs="Arial"/>
                <w:sz w:val="22"/>
                <w:szCs w:val="22"/>
              </w:rPr>
            </w:pPr>
            <w:r w:rsidRPr="00CE6806">
              <w:rPr>
                <w:rFonts w:cs="Arial"/>
                <w:sz w:val="22"/>
                <w:szCs w:val="22"/>
              </w:rPr>
              <w:t xml:space="preserve">Comment </w:t>
            </w:r>
            <w:r>
              <w:rPr>
                <w:rFonts w:cs="Arial"/>
                <w:sz w:val="22"/>
                <w:szCs w:val="22"/>
              </w:rPr>
              <w:t xml:space="preserve">and Feedback </w:t>
            </w:r>
            <w:r w:rsidRPr="00CE6806">
              <w:rPr>
                <w:rFonts w:cs="Arial"/>
                <w:sz w:val="22"/>
                <w:szCs w:val="22"/>
              </w:rPr>
              <w:t>Resolution  Accession Number</w:t>
            </w:r>
          </w:p>
        </w:tc>
      </w:tr>
      <w:tr w:rsidR="00EB12BF" w:rsidRPr="00CE6806" w:rsidTr="00EB12BF">
        <w:trPr>
          <w:cantSplit/>
        </w:trPr>
        <w:tc>
          <w:tcPr>
            <w:tcW w:w="1620" w:type="dxa"/>
            <w:tcBorders>
              <w:top w:val="single" w:sz="6" w:space="0" w:color="000000"/>
              <w:left w:val="single" w:sz="6" w:space="0" w:color="000000"/>
              <w:bottom w:val="nil"/>
              <w:right w:val="nil"/>
            </w:tcBorders>
          </w:tcPr>
          <w:p w:rsidR="00EB12BF" w:rsidRPr="00CE6806" w:rsidRDefault="00EB12BF" w:rsidP="00EB12BF">
            <w:pPr>
              <w:widowControl w:val="0"/>
              <w:rPr>
                <w:rFonts w:cs="Arial"/>
                <w:sz w:val="22"/>
                <w:szCs w:val="22"/>
              </w:rPr>
            </w:pPr>
          </w:p>
        </w:tc>
        <w:tc>
          <w:tcPr>
            <w:tcW w:w="1710" w:type="dxa"/>
            <w:tcBorders>
              <w:top w:val="single" w:sz="6" w:space="0" w:color="000000"/>
              <w:left w:val="single" w:sz="6" w:space="0" w:color="000000"/>
              <w:bottom w:val="nil"/>
              <w:right w:val="nil"/>
            </w:tcBorders>
          </w:tcPr>
          <w:p w:rsidR="00EB12BF" w:rsidRPr="00CE6806" w:rsidRDefault="00EB12BF" w:rsidP="00EB12BF">
            <w:pPr>
              <w:widowControl w:val="0"/>
              <w:rPr>
                <w:rFonts w:cs="Arial"/>
                <w:sz w:val="22"/>
                <w:szCs w:val="22"/>
              </w:rPr>
            </w:pPr>
            <w:r>
              <w:rPr>
                <w:rFonts w:cs="Arial"/>
                <w:sz w:val="22"/>
                <w:szCs w:val="22"/>
              </w:rPr>
              <w:t>07/28/2005</w:t>
            </w:r>
          </w:p>
        </w:tc>
        <w:tc>
          <w:tcPr>
            <w:tcW w:w="4770" w:type="dxa"/>
            <w:tcBorders>
              <w:top w:val="single" w:sz="6" w:space="0" w:color="000000"/>
              <w:left w:val="single" w:sz="6" w:space="0" w:color="000000"/>
              <w:bottom w:val="nil"/>
              <w:right w:val="nil"/>
            </w:tcBorders>
          </w:tcPr>
          <w:p w:rsidR="00EB12BF" w:rsidRPr="00CE6806" w:rsidRDefault="00EB12BF" w:rsidP="00EB12BF">
            <w:pPr>
              <w:widowControl w:val="0"/>
              <w:rPr>
                <w:rFonts w:cs="Arial"/>
                <w:sz w:val="22"/>
                <w:szCs w:val="22"/>
              </w:rPr>
            </w:pPr>
            <w:r>
              <w:rPr>
                <w:rFonts w:cs="Arial"/>
                <w:sz w:val="22"/>
                <w:szCs w:val="22"/>
              </w:rPr>
              <w:t>Initial issuance.</w:t>
            </w:r>
          </w:p>
        </w:tc>
        <w:tc>
          <w:tcPr>
            <w:tcW w:w="2430" w:type="dxa"/>
            <w:tcBorders>
              <w:top w:val="single" w:sz="6" w:space="0" w:color="000000"/>
              <w:left w:val="single" w:sz="6" w:space="0" w:color="000000"/>
              <w:bottom w:val="nil"/>
              <w:right w:val="nil"/>
            </w:tcBorders>
          </w:tcPr>
          <w:p w:rsidR="00EB12BF" w:rsidRPr="00CE6806" w:rsidRDefault="00EB12BF" w:rsidP="00EB12BF">
            <w:pPr>
              <w:widowControl w:val="0"/>
              <w:rPr>
                <w:rFonts w:cs="Arial"/>
                <w:sz w:val="22"/>
                <w:szCs w:val="22"/>
              </w:rPr>
            </w:pPr>
          </w:p>
        </w:tc>
        <w:tc>
          <w:tcPr>
            <w:tcW w:w="2700" w:type="dxa"/>
            <w:tcBorders>
              <w:top w:val="single" w:sz="6" w:space="0" w:color="000000"/>
              <w:left w:val="single" w:sz="6" w:space="0" w:color="000000"/>
              <w:bottom w:val="nil"/>
              <w:right w:val="single" w:sz="6" w:space="0" w:color="000000"/>
            </w:tcBorders>
          </w:tcPr>
          <w:p w:rsidR="00EB12BF" w:rsidRPr="00CE6806" w:rsidRDefault="00EB12BF" w:rsidP="00EB12BF">
            <w:pPr>
              <w:widowControl w:val="0"/>
              <w:rPr>
                <w:rFonts w:cs="Arial"/>
                <w:sz w:val="22"/>
                <w:szCs w:val="22"/>
              </w:rPr>
            </w:pPr>
          </w:p>
        </w:tc>
      </w:tr>
      <w:tr w:rsidR="00EB12BF" w:rsidRPr="00CE6806" w:rsidTr="00EB12BF">
        <w:trPr>
          <w:cantSplit/>
        </w:trPr>
        <w:tc>
          <w:tcPr>
            <w:tcW w:w="1620" w:type="dxa"/>
            <w:tcBorders>
              <w:top w:val="single" w:sz="6" w:space="0" w:color="000000"/>
              <w:left w:val="single" w:sz="6" w:space="0" w:color="000000"/>
              <w:bottom w:val="nil"/>
              <w:right w:val="nil"/>
            </w:tcBorders>
          </w:tcPr>
          <w:p w:rsidR="00EB12BF" w:rsidRPr="00CE6806" w:rsidRDefault="00EB12BF" w:rsidP="00EB12BF">
            <w:pPr>
              <w:widowControl w:val="0"/>
              <w:rPr>
                <w:rFonts w:cs="Arial"/>
                <w:sz w:val="22"/>
                <w:szCs w:val="22"/>
              </w:rPr>
            </w:pPr>
            <w:r w:rsidRPr="00CE6806">
              <w:rPr>
                <w:rFonts w:cs="Arial"/>
                <w:sz w:val="22"/>
                <w:szCs w:val="22"/>
              </w:rPr>
              <w:t>N/A</w:t>
            </w:r>
            <w:r w:rsidRPr="00CE6806">
              <w:rPr>
                <w:rFonts w:cs="Arial"/>
                <w:sz w:val="22"/>
                <w:szCs w:val="22"/>
              </w:rPr>
              <w:tab/>
            </w:r>
          </w:p>
        </w:tc>
        <w:tc>
          <w:tcPr>
            <w:tcW w:w="1710" w:type="dxa"/>
            <w:tcBorders>
              <w:top w:val="single" w:sz="6" w:space="0" w:color="000000"/>
              <w:left w:val="single" w:sz="6" w:space="0" w:color="000000"/>
              <w:bottom w:val="nil"/>
              <w:right w:val="nil"/>
            </w:tcBorders>
          </w:tcPr>
          <w:p w:rsidR="009844BE" w:rsidRDefault="009844BE" w:rsidP="00EB12BF">
            <w:pPr>
              <w:widowControl w:val="0"/>
              <w:rPr>
                <w:rFonts w:cs="Arial"/>
                <w:sz w:val="22"/>
                <w:szCs w:val="22"/>
              </w:rPr>
            </w:pPr>
            <w:r>
              <w:rPr>
                <w:rFonts w:cs="Arial"/>
                <w:sz w:val="22"/>
                <w:szCs w:val="22"/>
              </w:rPr>
              <w:t>ML12284A512</w:t>
            </w:r>
          </w:p>
          <w:p w:rsidR="00EB12BF" w:rsidRPr="00CE6806" w:rsidRDefault="009844BE" w:rsidP="00EB12BF">
            <w:pPr>
              <w:widowControl w:val="0"/>
              <w:rPr>
                <w:rFonts w:cs="Arial"/>
                <w:sz w:val="22"/>
                <w:szCs w:val="22"/>
              </w:rPr>
            </w:pPr>
            <w:r>
              <w:rPr>
                <w:rFonts w:cs="Arial"/>
                <w:sz w:val="22"/>
                <w:szCs w:val="22"/>
              </w:rPr>
              <w:t>12/19/12</w:t>
            </w:r>
          </w:p>
          <w:p w:rsidR="00EB12BF" w:rsidRPr="00CE6806" w:rsidRDefault="00EB12BF" w:rsidP="00EB12BF">
            <w:pPr>
              <w:widowControl w:val="0"/>
              <w:rPr>
                <w:rFonts w:cs="Arial"/>
                <w:sz w:val="22"/>
                <w:szCs w:val="22"/>
              </w:rPr>
            </w:pPr>
            <w:r w:rsidRPr="00CE6806">
              <w:rPr>
                <w:rFonts w:cs="Arial"/>
                <w:sz w:val="22"/>
                <w:szCs w:val="22"/>
              </w:rPr>
              <w:t xml:space="preserve">CN </w:t>
            </w:r>
            <w:r w:rsidR="009844BE">
              <w:rPr>
                <w:rFonts w:cs="Arial"/>
                <w:sz w:val="22"/>
                <w:szCs w:val="22"/>
              </w:rPr>
              <w:t>12-029</w:t>
            </w:r>
          </w:p>
        </w:tc>
        <w:tc>
          <w:tcPr>
            <w:tcW w:w="4770" w:type="dxa"/>
            <w:tcBorders>
              <w:top w:val="single" w:sz="6" w:space="0" w:color="000000"/>
              <w:left w:val="single" w:sz="6" w:space="0" w:color="000000"/>
              <w:bottom w:val="nil"/>
              <w:right w:val="nil"/>
            </w:tcBorders>
          </w:tcPr>
          <w:p w:rsidR="00EB12BF" w:rsidRPr="00CE6806" w:rsidRDefault="00EB12BF" w:rsidP="00EB12BF">
            <w:pPr>
              <w:widowControl w:val="0"/>
              <w:rPr>
                <w:rFonts w:cs="Arial"/>
                <w:sz w:val="22"/>
                <w:szCs w:val="22"/>
              </w:rPr>
            </w:pPr>
            <w:r w:rsidRPr="00CE6806">
              <w:rPr>
                <w:rFonts w:cs="Arial"/>
                <w:sz w:val="22"/>
                <w:szCs w:val="22"/>
              </w:rPr>
              <w:t>This IMC has been revised to reflect the  changes made to IMC 0609, Appendix B (02/24/2012)</w:t>
            </w:r>
          </w:p>
        </w:tc>
        <w:tc>
          <w:tcPr>
            <w:tcW w:w="2430" w:type="dxa"/>
            <w:tcBorders>
              <w:top w:val="single" w:sz="6" w:space="0" w:color="000000"/>
              <w:left w:val="single" w:sz="6" w:space="0" w:color="000000"/>
              <w:bottom w:val="nil"/>
              <w:right w:val="nil"/>
            </w:tcBorders>
          </w:tcPr>
          <w:p w:rsidR="00EB12BF" w:rsidRPr="00CE6806" w:rsidRDefault="00EB12BF" w:rsidP="00EB12BF">
            <w:pPr>
              <w:widowControl w:val="0"/>
              <w:rPr>
                <w:rFonts w:cs="Arial"/>
                <w:sz w:val="22"/>
                <w:szCs w:val="22"/>
              </w:rPr>
            </w:pPr>
            <w:r w:rsidRPr="00CE6806">
              <w:rPr>
                <w:rFonts w:cs="Arial"/>
                <w:sz w:val="22"/>
                <w:szCs w:val="22"/>
              </w:rPr>
              <w:t>N/A</w:t>
            </w:r>
          </w:p>
        </w:tc>
        <w:tc>
          <w:tcPr>
            <w:tcW w:w="2700" w:type="dxa"/>
            <w:tcBorders>
              <w:top w:val="single" w:sz="6" w:space="0" w:color="000000"/>
              <w:left w:val="single" w:sz="6" w:space="0" w:color="000000"/>
              <w:bottom w:val="nil"/>
              <w:right w:val="single" w:sz="6" w:space="0" w:color="000000"/>
            </w:tcBorders>
          </w:tcPr>
          <w:p w:rsidR="00EB12BF" w:rsidRPr="00CE6806" w:rsidRDefault="00EB12BF" w:rsidP="00EB12BF">
            <w:pPr>
              <w:widowControl w:val="0"/>
              <w:rPr>
                <w:rFonts w:cs="Arial"/>
                <w:sz w:val="22"/>
                <w:szCs w:val="22"/>
              </w:rPr>
            </w:pPr>
            <w:r>
              <w:rPr>
                <w:rFonts w:cs="Arial"/>
                <w:sz w:val="22"/>
                <w:szCs w:val="22"/>
              </w:rPr>
              <w:t>ML12285A314</w:t>
            </w:r>
          </w:p>
        </w:tc>
      </w:tr>
      <w:tr w:rsidR="00EB12BF" w:rsidRPr="00CE6806" w:rsidTr="00EB12BF">
        <w:trPr>
          <w:cantSplit/>
        </w:trPr>
        <w:tc>
          <w:tcPr>
            <w:tcW w:w="1620" w:type="dxa"/>
            <w:tcBorders>
              <w:top w:val="single" w:sz="6" w:space="0" w:color="000000"/>
              <w:left w:val="single" w:sz="6" w:space="0" w:color="000000"/>
              <w:bottom w:val="nil"/>
              <w:right w:val="nil"/>
            </w:tcBorders>
          </w:tcPr>
          <w:p w:rsidR="00EB12BF" w:rsidRPr="00CE6806" w:rsidRDefault="00EB12BF" w:rsidP="00EB12BF">
            <w:pPr>
              <w:widowControl w:val="0"/>
              <w:rPr>
                <w:rFonts w:cs="Arial"/>
                <w:sz w:val="22"/>
                <w:szCs w:val="22"/>
              </w:rPr>
            </w:pPr>
          </w:p>
        </w:tc>
        <w:tc>
          <w:tcPr>
            <w:tcW w:w="1710" w:type="dxa"/>
            <w:tcBorders>
              <w:top w:val="single" w:sz="6" w:space="0" w:color="000000"/>
              <w:left w:val="single" w:sz="6" w:space="0" w:color="000000"/>
              <w:bottom w:val="nil"/>
              <w:right w:val="nil"/>
            </w:tcBorders>
          </w:tcPr>
          <w:p w:rsidR="00EB12BF" w:rsidRPr="00CE6806" w:rsidRDefault="00EB12BF" w:rsidP="00EB12BF">
            <w:pPr>
              <w:widowControl w:val="0"/>
              <w:rPr>
                <w:rFonts w:cs="Arial"/>
                <w:sz w:val="22"/>
                <w:szCs w:val="22"/>
              </w:rPr>
            </w:pPr>
          </w:p>
        </w:tc>
        <w:tc>
          <w:tcPr>
            <w:tcW w:w="4770" w:type="dxa"/>
            <w:tcBorders>
              <w:top w:val="single" w:sz="6" w:space="0" w:color="000000"/>
              <w:left w:val="single" w:sz="6" w:space="0" w:color="000000"/>
              <w:bottom w:val="nil"/>
              <w:right w:val="nil"/>
            </w:tcBorders>
          </w:tcPr>
          <w:p w:rsidR="00EB12BF" w:rsidRPr="00CE6806" w:rsidRDefault="00EB12BF" w:rsidP="00EB12BF">
            <w:pPr>
              <w:widowControl w:val="0"/>
              <w:rPr>
                <w:rFonts w:cs="Arial"/>
                <w:sz w:val="22"/>
                <w:szCs w:val="22"/>
              </w:rPr>
            </w:pPr>
          </w:p>
        </w:tc>
        <w:tc>
          <w:tcPr>
            <w:tcW w:w="2430" w:type="dxa"/>
            <w:tcBorders>
              <w:top w:val="single" w:sz="6" w:space="0" w:color="000000"/>
              <w:left w:val="single" w:sz="6" w:space="0" w:color="000000"/>
              <w:bottom w:val="nil"/>
              <w:right w:val="nil"/>
            </w:tcBorders>
          </w:tcPr>
          <w:p w:rsidR="00EB12BF" w:rsidRPr="00CE6806" w:rsidRDefault="00EB12BF" w:rsidP="00EB12BF">
            <w:pPr>
              <w:widowControl w:val="0"/>
              <w:rPr>
                <w:rFonts w:cs="Arial"/>
                <w:sz w:val="22"/>
                <w:szCs w:val="22"/>
              </w:rPr>
            </w:pPr>
          </w:p>
        </w:tc>
        <w:tc>
          <w:tcPr>
            <w:tcW w:w="2700" w:type="dxa"/>
            <w:tcBorders>
              <w:top w:val="single" w:sz="6" w:space="0" w:color="000000"/>
              <w:left w:val="single" w:sz="6" w:space="0" w:color="000000"/>
              <w:bottom w:val="nil"/>
              <w:right w:val="single" w:sz="6" w:space="0" w:color="000000"/>
            </w:tcBorders>
          </w:tcPr>
          <w:p w:rsidR="00EB12BF" w:rsidRPr="00CE6806" w:rsidRDefault="00EB12BF" w:rsidP="00EB12BF">
            <w:pPr>
              <w:widowControl w:val="0"/>
              <w:rPr>
                <w:rFonts w:cs="Arial"/>
                <w:sz w:val="22"/>
                <w:szCs w:val="22"/>
              </w:rPr>
            </w:pPr>
          </w:p>
        </w:tc>
      </w:tr>
      <w:tr w:rsidR="00EB12BF" w:rsidRPr="00CE6806" w:rsidTr="00EB12BF">
        <w:trPr>
          <w:cantSplit/>
        </w:trPr>
        <w:tc>
          <w:tcPr>
            <w:tcW w:w="1620" w:type="dxa"/>
            <w:tcBorders>
              <w:top w:val="single" w:sz="6" w:space="0" w:color="000000"/>
              <w:left w:val="single" w:sz="6" w:space="0" w:color="000000"/>
              <w:bottom w:val="single" w:sz="6" w:space="0" w:color="000000"/>
              <w:right w:val="nil"/>
            </w:tcBorders>
          </w:tcPr>
          <w:p w:rsidR="00EB12BF" w:rsidRPr="00CE6806" w:rsidRDefault="00EB12BF" w:rsidP="00EB12BF">
            <w:pPr>
              <w:widowControl w:val="0"/>
              <w:rPr>
                <w:rFonts w:cs="Arial"/>
                <w:sz w:val="22"/>
                <w:szCs w:val="22"/>
              </w:rPr>
            </w:pPr>
          </w:p>
        </w:tc>
        <w:tc>
          <w:tcPr>
            <w:tcW w:w="1710" w:type="dxa"/>
            <w:tcBorders>
              <w:top w:val="single" w:sz="6" w:space="0" w:color="000000"/>
              <w:left w:val="single" w:sz="6" w:space="0" w:color="000000"/>
              <w:bottom w:val="single" w:sz="6" w:space="0" w:color="000000"/>
              <w:right w:val="nil"/>
            </w:tcBorders>
          </w:tcPr>
          <w:p w:rsidR="00EB12BF" w:rsidRPr="00CE6806" w:rsidRDefault="00EB12BF" w:rsidP="00EB12BF">
            <w:pPr>
              <w:widowControl w:val="0"/>
              <w:rPr>
                <w:rFonts w:cs="Arial"/>
                <w:sz w:val="22"/>
                <w:szCs w:val="22"/>
              </w:rPr>
            </w:pPr>
          </w:p>
        </w:tc>
        <w:tc>
          <w:tcPr>
            <w:tcW w:w="4770" w:type="dxa"/>
            <w:tcBorders>
              <w:top w:val="single" w:sz="6" w:space="0" w:color="000000"/>
              <w:left w:val="single" w:sz="6" w:space="0" w:color="000000"/>
              <w:bottom w:val="single" w:sz="6" w:space="0" w:color="000000"/>
              <w:right w:val="nil"/>
            </w:tcBorders>
          </w:tcPr>
          <w:p w:rsidR="00EB12BF" w:rsidRPr="00CE6806" w:rsidRDefault="00EB12BF" w:rsidP="00EB12BF">
            <w:pPr>
              <w:widowControl w:val="0"/>
              <w:rPr>
                <w:rFonts w:cs="Arial"/>
                <w:sz w:val="22"/>
                <w:szCs w:val="22"/>
              </w:rPr>
            </w:pPr>
          </w:p>
        </w:tc>
        <w:tc>
          <w:tcPr>
            <w:tcW w:w="2430" w:type="dxa"/>
            <w:tcBorders>
              <w:top w:val="single" w:sz="6" w:space="0" w:color="000000"/>
              <w:left w:val="single" w:sz="6" w:space="0" w:color="000000"/>
              <w:bottom w:val="single" w:sz="6" w:space="0" w:color="000000"/>
              <w:right w:val="nil"/>
            </w:tcBorders>
          </w:tcPr>
          <w:p w:rsidR="00EB12BF" w:rsidRPr="00CE6806" w:rsidRDefault="00EB12BF" w:rsidP="00EB12BF">
            <w:pPr>
              <w:widowControl w:val="0"/>
              <w:rPr>
                <w:rFonts w:cs="Arial"/>
                <w:sz w:val="22"/>
                <w:szCs w:val="22"/>
              </w:rPr>
            </w:pPr>
          </w:p>
        </w:tc>
        <w:tc>
          <w:tcPr>
            <w:tcW w:w="2700" w:type="dxa"/>
            <w:tcBorders>
              <w:top w:val="single" w:sz="6" w:space="0" w:color="000000"/>
              <w:left w:val="single" w:sz="6" w:space="0" w:color="000000"/>
              <w:bottom w:val="single" w:sz="6" w:space="0" w:color="000000"/>
              <w:right w:val="single" w:sz="6" w:space="0" w:color="000000"/>
            </w:tcBorders>
          </w:tcPr>
          <w:p w:rsidR="00EB12BF" w:rsidRPr="00CE6806" w:rsidRDefault="00EB12BF" w:rsidP="00EB12BF">
            <w:pPr>
              <w:widowControl w:val="0"/>
              <w:rPr>
                <w:rFonts w:cs="Arial"/>
                <w:sz w:val="22"/>
                <w:szCs w:val="22"/>
              </w:rPr>
            </w:pPr>
          </w:p>
        </w:tc>
      </w:tr>
    </w:tbl>
    <w:p w:rsidR="00BA4A8F" w:rsidRPr="00CE6806" w:rsidRDefault="00BA4A8F" w:rsidP="00AA465E">
      <w:pPr>
        <w:tabs>
          <w:tab w:val="left" w:pos="-1080"/>
          <w:tab w:val="left" w:pos="-720"/>
          <w:tab w:val="left" w:pos="0"/>
          <w:tab w:val="left" w:pos="1080"/>
          <w:tab w:val="left" w:pos="1440"/>
          <w:tab w:val="left" w:pos="1710"/>
          <w:tab w:val="left" w:pos="2340"/>
          <w:tab w:val="right" w:leader="dot" w:pos="8467"/>
          <w:tab w:val="right" w:pos="9180"/>
        </w:tabs>
        <w:ind w:left="540"/>
        <w:rPr>
          <w:rFonts w:cs="Arial"/>
          <w:sz w:val="22"/>
          <w:szCs w:val="22"/>
        </w:rPr>
      </w:pPr>
    </w:p>
    <w:p w:rsidR="00A74873" w:rsidRPr="00CE6806" w:rsidRDefault="00A74873" w:rsidP="00AA465E">
      <w:pPr>
        <w:rPr>
          <w:rFonts w:cs="Arial"/>
          <w:sz w:val="22"/>
          <w:szCs w:val="22"/>
        </w:rPr>
      </w:pPr>
    </w:p>
    <w:sectPr w:rsidR="00A74873" w:rsidRPr="00CE6806" w:rsidSect="00620362">
      <w:headerReference w:type="first" r:id="rId11"/>
      <w:footerReference w:type="first" r:id="rId12"/>
      <w:pgSz w:w="15840" w:h="12240" w:orient="landscape" w:code="1"/>
      <w:pgMar w:top="1440" w:right="1440" w:bottom="1440" w:left="1440" w:header="1440" w:footer="1440" w:gutter="0"/>
      <w:pgNumType w:start="1"/>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14E" w:rsidRDefault="005B314E">
      <w:r>
        <w:separator/>
      </w:r>
    </w:p>
  </w:endnote>
  <w:endnote w:type="continuationSeparator" w:id="0">
    <w:p w:rsidR="005B314E" w:rsidRDefault="005B31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P TypographicSymbols">
    <w:altName w:val="Courier10 BT"/>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hrut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4E" w:rsidRDefault="00F04B4E">
    <w:pPr>
      <w:rPr>
        <w:sz w:val="24"/>
        <w:szCs w:val="24"/>
      </w:rPr>
    </w:pPr>
  </w:p>
  <w:p w:rsidR="00F04B4E" w:rsidRDefault="00F04B4E">
    <w:pPr>
      <w:tabs>
        <w:tab w:val="center" w:pos="4680"/>
        <w:tab w:val="right" w:pos="9360"/>
      </w:tabs>
      <w:rPr>
        <w:sz w:val="22"/>
        <w:szCs w:val="22"/>
      </w:rPr>
    </w:pPr>
    <w:r>
      <w:rPr>
        <w:sz w:val="22"/>
        <w:szCs w:val="22"/>
      </w:rPr>
      <w:t>0308, Att 3, App C</w:t>
    </w:r>
    <w:r>
      <w:rPr>
        <w:sz w:val="22"/>
        <w:szCs w:val="22"/>
      </w:rPr>
      <w:tab/>
    </w:r>
    <w:r>
      <w:rPr>
        <w:sz w:val="22"/>
        <w:szCs w:val="22"/>
      </w:rPr>
      <w:pgNum/>
    </w:r>
    <w:r>
      <w:rPr>
        <w:sz w:val="22"/>
        <w:szCs w:val="22"/>
      </w:rPr>
      <w:tab/>
      <w:t>Issue Date: xx/xx/xx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4E" w:rsidRPr="00620362" w:rsidRDefault="00F04B4E">
    <w:pPr>
      <w:tabs>
        <w:tab w:val="center" w:pos="4680"/>
        <w:tab w:val="right" w:pos="9360"/>
      </w:tabs>
      <w:rPr>
        <w:sz w:val="22"/>
        <w:szCs w:val="22"/>
      </w:rPr>
    </w:pPr>
    <w:r w:rsidRPr="00620362">
      <w:rPr>
        <w:sz w:val="22"/>
        <w:szCs w:val="22"/>
      </w:rPr>
      <w:t xml:space="preserve">Issue Date: </w:t>
    </w:r>
    <w:r w:rsidR="00EB12BF">
      <w:rPr>
        <w:sz w:val="22"/>
        <w:szCs w:val="22"/>
      </w:rPr>
      <w:t xml:space="preserve"> </w:t>
    </w:r>
    <w:r w:rsidR="009844BE">
      <w:rPr>
        <w:sz w:val="22"/>
        <w:szCs w:val="22"/>
      </w:rPr>
      <w:t>12/19</w:t>
    </w:r>
    <w:r w:rsidRPr="00620362">
      <w:rPr>
        <w:sz w:val="22"/>
        <w:szCs w:val="22"/>
      </w:rPr>
      <w:t>/12</w:t>
    </w:r>
    <w:r w:rsidRPr="00620362">
      <w:rPr>
        <w:sz w:val="22"/>
        <w:szCs w:val="22"/>
      </w:rPr>
      <w:tab/>
    </w:r>
    <w:r w:rsidRPr="00620362">
      <w:rPr>
        <w:sz w:val="22"/>
        <w:szCs w:val="22"/>
      </w:rPr>
      <w:pgNum/>
    </w:r>
    <w:r w:rsidRPr="00620362">
      <w:rPr>
        <w:sz w:val="22"/>
        <w:szCs w:val="22"/>
      </w:rPr>
      <w:tab/>
      <w:t xml:space="preserve">0308, </w:t>
    </w:r>
    <w:proofErr w:type="spellStart"/>
    <w:r w:rsidRPr="00620362">
      <w:rPr>
        <w:sz w:val="22"/>
        <w:szCs w:val="22"/>
      </w:rPr>
      <w:t>Att</w:t>
    </w:r>
    <w:proofErr w:type="spellEnd"/>
    <w:r w:rsidRPr="00620362">
      <w:rPr>
        <w:sz w:val="22"/>
        <w:szCs w:val="22"/>
      </w:rPr>
      <w:t xml:space="preserve"> 3, App B</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4E" w:rsidRPr="00620362" w:rsidRDefault="00F04B4E">
    <w:pPr>
      <w:tabs>
        <w:tab w:val="center" w:pos="4680"/>
        <w:tab w:val="right" w:pos="9360"/>
      </w:tabs>
      <w:rPr>
        <w:sz w:val="22"/>
        <w:szCs w:val="22"/>
      </w:rPr>
    </w:pPr>
    <w:r w:rsidRPr="00620362">
      <w:rPr>
        <w:sz w:val="22"/>
        <w:szCs w:val="22"/>
      </w:rPr>
      <w:t xml:space="preserve">Issue Date: </w:t>
    </w:r>
    <w:r w:rsidR="00EB12BF">
      <w:rPr>
        <w:sz w:val="22"/>
        <w:szCs w:val="22"/>
      </w:rPr>
      <w:t xml:space="preserve"> </w:t>
    </w:r>
    <w:r w:rsidR="005950D5">
      <w:rPr>
        <w:sz w:val="22"/>
        <w:szCs w:val="22"/>
      </w:rPr>
      <w:t>12/19</w:t>
    </w:r>
    <w:r w:rsidRPr="00620362">
      <w:rPr>
        <w:sz w:val="22"/>
        <w:szCs w:val="22"/>
      </w:rPr>
      <w:t xml:space="preserve">/12  </w:t>
    </w:r>
    <w:r w:rsidRPr="00620362">
      <w:rPr>
        <w:sz w:val="22"/>
        <w:szCs w:val="22"/>
      </w:rPr>
      <w:tab/>
    </w:r>
    <w:r w:rsidRPr="00620362">
      <w:rPr>
        <w:sz w:val="22"/>
        <w:szCs w:val="22"/>
      </w:rPr>
      <w:pgNum/>
    </w:r>
    <w:r w:rsidRPr="00620362">
      <w:rPr>
        <w:sz w:val="22"/>
        <w:szCs w:val="22"/>
      </w:rPr>
      <w:tab/>
      <w:t xml:space="preserve">0308, </w:t>
    </w:r>
    <w:proofErr w:type="spellStart"/>
    <w:r w:rsidRPr="00620362">
      <w:rPr>
        <w:sz w:val="22"/>
        <w:szCs w:val="22"/>
      </w:rPr>
      <w:t>Att</w:t>
    </w:r>
    <w:proofErr w:type="spellEnd"/>
    <w:r w:rsidRPr="00620362">
      <w:rPr>
        <w:sz w:val="22"/>
        <w:szCs w:val="22"/>
      </w:rPr>
      <w:t xml:space="preserve"> 3, App B</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4E" w:rsidRPr="00620362" w:rsidRDefault="00F04B4E" w:rsidP="002D28C5">
    <w:pPr>
      <w:pStyle w:val="Footer"/>
      <w:tabs>
        <w:tab w:val="clear" w:pos="4680"/>
        <w:tab w:val="clear" w:pos="9360"/>
        <w:tab w:val="center" w:pos="5760"/>
        <w:tab w:val="right" w:pos="12780"/>
        <w:tab w:val="right" w:pos="12960"/>
      </w:tabs>
      <w:rPr>
        <w:rFonts w:cs="Arial"/>
        <w:sz w:val="22"/>
        <w:szCs w:val="22"/>
      </w:rPr>
    </w:pPr>
    <w:r w:rsidRPr="00620362">
      <w:rPr>
        <w:rFonts w:cs="Arial"/>
        <w:sz w:val="22"/>
        <w:szCs w:val="22"/>
      </w:rPr>
      <w:t xml:space="preserve">Issue Date: </w:t>
    </w:r>
    <w:r w:rsidR="009844BE">
      <w:rPr>
        <w:rFonts w:cs="Arial"/>
        <w:sz w:val="22"/>
        <w:szCs w:val="22"/>
      </w:rPr>
      <w:t xml:space="preserve"> 12/19</w:t>
    </w:r>
    <w:r w:rsidRPr="00620362">
      <w:rPr>
        <w:rFonts w:cs="Arial"/>
        <w:sz w:val="22"/>
        <w:szCs w:val="22"/>
      </w:rPr>
      <w:t>/12</w:t>
    </w:r>
    <w:r w:rsidRPr="00620362">
      <w:rPr>
        <w:rFonts w:cs="Arial"/>
        <w:sz w:val="22"/>
        <w:szCs w:val="22"/>
      </w:rPr>
      <w:tab/>
      <w:t>Att1-</w:t>
    </w:r>
    <w:r w:rsidR="00694CCD" w:rsidRPr="00620362">
      <w:rPr>
        <w:rStyle w:val="PageNumber"/>
        <w:rFonts w:cs="Arial"/>
        <w:sz w:val="22"/>
        <w:szCs w:val="22"/>
      </w:rPr>
      <w:fldChar w:fldCharType="begin"/>
    </w:r>
    <w:r w:rsidRPr="00620362">
      <w:rPr>
        <w:rStyle w:val="PageNumber"/>
        <w:rFonts w:cs="Arial"/>
        <w:sz w:val="22"/>
        <w:szCs w:val="22"/>
      </w:rPr>
      <w:instrText xml:space="preserve"> PAGE </w:instrText>
    </w:r>
    <w:r w:rsidR="00694CCD" w:rsidRPr="00620362">
      <w:rPr>
        <w:rStyle w:val="PageNumber"/>
        <w:rFonts w:cs="Arial"/>
        <w:sz w:val="22"/>
        <w:szCs w:val="22"/>
      </w:rPr>
      <w:fldChar w:fldCharType="separate"/>
    </w:r>
    <w:r w:rsidR="008344A8">
      <w:rPr>
        <w:rStyle w:val="PageNumber"/>
        <w:rFonts w:cs="Arial"/>
        <w:noProof/>
        <w:sz w:val="22"/>
        <w:szCs w:val="22"/>
      </w:rPr>
      <w:t>1</w:t>
    </w:r>
    <w:r w:rsidR="00694CCD" w:rsidRPr="00620362">
      <w:rPr>
        <w:rStyle w:val="PageNumber"/>
        <w:rFonts w:cs="Arial"/>
        <w:sz w:val="22"/>
        <w:szCs w:val="22"/>
      </w:rPr>
      <w:fldChar w:fldCharType="end"/>
    </w:r>
    <w:r w:rsidRPr="00620362">
      <w:rPr>
        <w:rFonts w:cs="Arial"/>
        <w:sz w:val="22"/>
        <w:szCs w:val="22"/>
      </w:rPr>
      <w:tab/>
      <w:t xml:space="preserve">0308, </w:t>
    </w:r>
    <w:proofErr w:type="spellStart"/>
    <w:r w:rsidRPr="00620362">
      <w:rPr>
        <w:rFonts w:cs="Arial"/>
        <w:sz w:val="22"/>
        <w:szCs w:val="22"/>
      </w:rPr>
      <w:t>Att</w:t>
    </w:r>
    <w:proofErr w:type="spellEnd"/>
    <w:r w:rsidRPr="00620362">
      <w:rPr>
        <w:rFonts w:cs="Arial"/>
        <w:sz w:val="22"/>
        <w:szCs w:val="22"/>
      </w:rPr>
      <w:t xml:space="preserve"> 3, App B</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14E" w:rsidRDefault="005B314E">
      <w:r>
        <w:separator/>
      </w:r>
    </w:p>
  </w:footnote>
  <w:footnote w:type="continuationSeparator" w:id="0">
    <w:p w:rsidR="005B314E" w:rsidRDefault="005B314E">
      <w:r>
        <w:continuationSeparator/>
      </w:r>
    </w:p>
  </w:footnote>
  <w:footnote w:id="1">
    <w:p w:rsidR="00F04B4E" w:rsidRPr="00EB12BF" w:rsidRDefault="00F04B4E" w:rsidP="00F04B4E">
      <w:pPr>
        <w:pStyle w:val="myfootnote"/>
        <w:rPr>
          <w:rStyle w:val="FootnoteReference"/>
          <w:sz w:val="20"/>
          <w:szCs w:val="20"/>
          <w:vertAlign w:val="baseline"/>
        </w:rPr>
      </w:pPr>
      <w:r w:rsidRPr="00306018">
        <w:rPr>
          <w:rStyle w:val="FootnoteReference"/>
        </w:rPr>
        <w:footnoteRef/>
      </w:r>
      <w:r w:rsidRPr="00306018">
        <w:rPr>
          <w:rStyle w:val="FootnoteReference"/>
        </w:rPr>
        <w:t xml:space="preserve"> </w:t>
      </w:r>
      <w:r w:rsidRPr="00EB12BF">
        <w:rPr>
          <w:sz w:val="20"/>
          <w:szCs w:val="20"/>
          <w:vertAlign w:val="baseline"/>
        </w:rPr>
        <w:tab/>
        <w:t xml:space="preserve">Found in Inspection Manual Chapter 0305, </w:t>
      </w:r>
      <w:r w:rsidR="003B6B1E">
        <w:rPr>
          <w:sz w:val="20"/>
          <w:szCs w:val="20"/>
          <w:vertAlign w:val="baseline"/>
        </w:rPr>
        <w:t>“</w:t>
      </w:r>
      <w:r w:rsidRPr="00EB12BF">
        <w:rPr>
          <w:sz w:val="20"/>
          <w:szCs w:val="20"/>
          <w:vertAlign w:val="baseline"/>
        </w:rPr>
        <w:t>Operating Reactor Assessment Program</w:t>
      </w:r>
      <w:r w:rsidR="003B6B1E">
        <w:rPr>
          <w:sz w:val="20"/>
          <w:szCs w:val="20"/>
          <w:vertAlign w:val="baseline"/>
        </w:rPr>
        <w:t>”</w:t>
      </w:r>
    </w:p>
  </w:footnote>
  <w:footnote w:id="2">
    <w:p w:rsidR="00F04B4E" w:rsidRPr="00EB12BF" w:rsidRDefault="00F04B4E" w:rsidP="00F04B4E">
      <w:pPr>
        <w:pStyle w:val="myfootnote"/>
        <w:tabs>
          <w:tab w:val="left" w:pos="360"/>
        </w:tabs>
        <w:rPr>
          <w:sz w:val="20"/>
          <w:szCs w:val="20"/>
          <w:vertAlign w:val="baseline"/>
        </w:rPr>
      </w:pPr>
      <w:r w:rsidRPr="00306018">
        <w:rPr>
          <w:rStyle w:val="FootnoteReference"/>
        </w:rPr>
        <w:footnoteRef/>
      </w:r>
      <w:r w:rsidRPr="00EB12BF">
        <w:rPr>
          <w:sz w:val="20"/>
          <w:szCs w:val="20"/>
          <w:vertAlign w:val="baseline"/>
        </w:rPr>
        <w:tab/>
        <w:t>Capitalized words and phrases used in this appendix are defined in Section 2.0 of the EP SDP (IMC 0609, App. B). Also, acronyms of these phrases include the singular and plural, as applicable.</w:t>
      </w:r>
    </w:p>
  </w:footnote>
  <w:footnote w:id="3">
    <w:p w:rsidR="00F04B4E" w:rsidRPr="00EB12BF" w:rsidRDefault="00F04B4E" w:rsidP="00F04B4E">
      <w:pPr>
        <w:pStyle w:val="myfootnote"/>
        <w:tabs>
          <w:tab w:val="left" w:pos="180"/>
        </w:tabs>
        <w:rPr>
          <w:rStyle w:val="FootnoteReference"/>
          <w:sz w:val="20"/>
          <w:szCs w:val="20"/>
        </w:rPr>
      </w:pPr>
      <w:r w:rsidRPr="00EB12BF">
        <w:rPr>
          <w:rStyle w:val="FootnoteReference"/>
          <w:sz w:val="20"/>
          <w:szCs w:val="20"/>
        </w:rPr>
        <w:footnoteRef/>
      </w:r>
      <w:r w:rsidRPr="00EB12BF">
        <w:rPr>
          <w:rStyle w:val="FootnoteReference"/>
          <w:sz w:val="20"/>
          <w:szCs w:val="20"/>
        </w:rPr>
        <w:t xml:space="preserve"> </w:t>
      </w:r>
      <w:r w:rsidRPr="00EB12BF">
        <w:rPr>
          <w:rStyle w:val="FootnoteReference"/>
          <w:sz w:val="20"/>
          <w:szCs w:val="20"/>
        </w:rPr>
        <w:tab/>
      </w:r>
      <w:r w:rsidRPr="00EB12BF">
        <w:rPr>
          <w:rStyle w:val="FootnoteReference"/>
          <w:sz w:val="20"/>
          <w:szCs w:val="20"/>
          <w:vertAlign w:val="baseline"/>
        </w:rPr>
        <w:t>If the early site permit contained a complete and integrated emergency plans.</w:t>
      </w:r>
    </w:p>
  </w:footnote>
  <w:footnote w:id="4">
    <w:p w:rsidR="00F04B4E" w:rsidRPr="00EB12BF" w:rsidRDefault="00F04B4E" w:rsidP="00F04B4E">
      <w:pPr>
        <w:pStyle w:val="myfootnote"/>
        <w:tabs>
          <w:tab w:val="left" w:pos="180"/>
        </w:tabs>
        <w:rPr>
          <w:rStyle w:val="FootnoteReference"/>
          <w:sz w:val="20"/>
          <w:szCs w:val="20"/>
        </w:rPr>
      </w:pPr>
      <w:r w:rsidRPr="00EB12BF">
        <w:rPr>
          <w:rStyle w:val="FootnoteReference"/>
          <w:sz w:val="20"/>
          <w:szCs w:val="20"/>
        </w:rPr>
        <w:footnoteRef/>
      </w:r>
      <w:r w:rsidRPr="00EB12BF">
        <w:rPr>
          <w:rStyle w:val="FootnoteReference"/>
          <w:sz w:val="20"/>
          <w:szCs w:val="20"/>
        </w:rPr>
        <w:t xml:space="preserve"> </w:t>
      </w:r>
      <w:r w:rsidRPr="00EB12BF">
        <w:rPr>
          <w:rStyle w:val="FootnoteReference"/>
          <w:sz w:val="20"/>
          <w:szCs w:val="20"/>
        </w:rPr>
        <w:tab/>
      </w:r>
      <w:r w:rsidRPr="00EB12BF">
        <w:rPr>
          <w:rStyle w:val="FootnoteReference"/>
          <w:sz w:val="20"/>
          <w:szCs w:val="20"/>
          <w:vertAlign w:val="baseline"/>
        </w:rPr>
        <w:t>After the Commission makes the finding under 10 CFR 52.103(g).</w:t>
      </w:r>
    </w:p>
  </w:footnote>
  <w:footnote w:id="5">
    <w:p w:rsidR="00F04B4E" w:rsidRPr="00EB12BF" w:rsidRDefault="00F04B4E" w:rsidP="00F04B4E">
      <w:pPr>
        <w:pStyle w:val="myfootnote"/>
        <w:tabs>
          <w:tab w:val="left" w:pos="180"/>
        </w:tabs>
        <w:rPr>
          <w:rStyle w:val="FootnoteReference"/>
          <w:sz w:val="20"/>
          <w:szCs w:val="20"/>
          <w:vertAlign w:val="baseline"/>
        </w:rPr>
      </w:pPr>
      <w:r w:rsidRPr="00EB12BF">
        <w:rPr>
          <w:rStyle w:val="FootnoteReference"/>
          <w:sz w:val="20"/>
          <w:szCs w:val="20"/>
        </w:rPr>
        <w:footnoteRef/>
      </w:r>
      <w:r w:rsidRPr="00EB12BF">
        <w:rPr>
          <w:rStyle w:val="FootnoteReference"/>
          <w:sz w:val="20"/>
          <w:szCs w:val="20"/>
        </w:rPr>
        <w:t xml:space="preserve"> </w:t>
      </w:r>
      <w:r w:rsidRPr="00EB12BF">
        <w:rPr>
          <w:rStyle w:val="FootnoteReference"/>
          <w:sz w:val="20"/>
          <w:szCs w:val="20"/>
        </w:rPr>
        <w:tab/>
      </w:r>
      <w:r w:rsidRPr="00EB12BF">
        <w:rPr>
          <w:rStyle w:val="FootnoteReference"/>
          <w:sz w:val="20"/>
          <w:szCs w:val="20"/>
          <w:vertAlign w:val="baseline"/>
        </w:rPr>
        <w:t>The PS are applicable to both onsite and offsite plans whereas the requirements in Appendix E are directed to the licensee.</w:t>
      </w:r>
    </w:p>
  </w:footnote>
  <w:footnote w:id="6">
    <w:p w:rsidR="00F04B4E" w:rsidRPr="00EB12BF" w:rsidRDefault="00F04B4E" w:rsidP="00F04B4E">
      <w:pPr>
        <w:pStyle w:val="FootnoteText"/>
        <w:ind w:left="180" w:hanging="180"/>
        <w:rPr>
          <w:rFonts w:ascii="Arial" w:hAnsi="Arial" w:cs="Arial"/>
        </w:rPr>
      </w:pPr>
      <w:r w:rsidRPr="00EB12BF">
        <w:rPr>
          <w:rStyle w:val="FootnoteReference"/>
          <w:rFonts w:ascii="Arial" w:hAnsi="Arial" w:cs="Arial"/>
          <w:vertAlign w:val="superscript"/>
        </w:rPr>
        <w:footnoteRef/>
      </w:r>
      <w:r w:rsidRPr="00EB12BF">
        <w:rPr>
          <w:rFonts w:ascii="Arial" w:hAnsi="Arial" w:cs="Arial"/>
        </w:rPr>
        <w:t xml:space="preserve"> </w:t>
      </w:r>
      <w:r w:rsidRPr="00EB12BF">
        <w:rPr>
          <w:rFonts w:ascii="Arial" w:hAnsi="Arial" w:cs="Arial"/>
        </w:rPr>
        <w:tab/>
      </w:r>
      <w:r w:rsidRPr="00EB12BF">
        <w:rPr>
          <w:rStyle w:val="FootnoteReference"/>
          <w:rFonts w:ascii="Arial" w:hAnsi="Arial" w:cs="Arial"/>
        </w:rPr>
        <w:t>RSPS are a subset of the PS.  References to “planning standard” or “PS” include the RSPS, but references to “RSPS” do not include the PS.</w:t>
      </w:r>
      <w:r w:rsidRPr="00EB12BF">
        <w:rPr>
          <w:rFonts w:ascii="Arial" w:hAnsi="Arial" w:cs="Arial"/>
        </w:rPr>
        <w:t xml:space="preserve">  </w:t>
      </w:r>
    </w:p>
  </w:footnote>
  <w:footnote w:id="7">
    <w:p w:rsidR="00F04B4E" w:rsidRPr="00EB12BF" w:rsidRDefault="00F04B4E" w:rsidP="00F04B4E">
      <w:pPr>
        <w:pStyle w:val="FootnoteText"/>
        <w:ind w:left="180" w:hanging="180"/>
        <w:rPr>
          <w:rFonts w:ascii="Arial" w:hAnsi="Arial" w:cs="Arial"/>
        </w:rPr>
      </w:pPr>
      <w:r w:rsidRPr="00EB12BF">
        <w:rPr>
          <w:rStyle w:val="FootnoteReference"/>
          <w:rFonts w:ascii="Arial" w:hAnsi="Arial" w:cs="Arial"/>
          <w:vertAlign w:val="superscript"/>
        </w:rPr>
        <w:footnoteRef/>
      </w:r>
      <w:r w:rsidRPr="00EB12BF">
        <w:rPr>
          <w:rFonts w:ascii="Arial" w:hAnsi="Arial" w:cs="Arial"/>
        </w:rPr>
        <w:tab/>
        <w:t>Including deficiencies identified by FEMA in offsite plans developed by the licensee pursuant to 10 CFR 50.47(c)).</w:t>
      </w:r>
    </w:p>
  </w:footnote>
  <w:footnote w:id="8">
    <w:p w:rsidR="00F04B4E" w:rsidRPr="00EB12BF" w:rsidRDefault="00F04B4E" w:rsidP="00F04B4E">
      <w:pPr>
        <w:pStyle w:val="FootnoteText"/>
        <w:ind w:left="180" w:hanging="180"/>
        <w:rPr>
          <w:rFonts w:ascii="Arial" w:hAnsi="Arial" w:cs="Arial"/>
        </w:rPr>
      </w:pPr>
      <w:r w:rsidRPr="00EB12BF">
        <w:rPr>
          <w:rStyle w:val="FootnoteReference"/>
          <w:rFonts w:ascii="Arial" w:hAnsi="Arial" w:cs="Arial"/>
          <w:vertAlign w:val="superscript"/>
        </w:rPr>
        <w:footnoteRef/>
      </w:r>
      <w:r w:rsidRPr="00EB12BF">
        <w:rPr>
          <w:rFonts w:ascii="Arial" w:hAnsi="Arial" w:cs="Arial"/>
          <w:vertAlign w:val="superscript"/>
        </w:rPr>
        <w:t xml:space="preserve"> </w:t>
      </w:r>
      <w:r w:rsidRPr="00EB12BF">
        <w:rPr>
          <w:rFonts w:ascii="Arial" w:hAnsi="Arial" w:cs="Arial"/>
          <w:vertAlign w:val="superscript"/>
        </w:rPr>
        <w:tab/>
      </w:r>
      <w:r w:rsidRPr="00EB12BF">
        <w:rPr>
          <w:rFonts w:ascii="Arial" w:hAnsi="Arial" w:cs="Arial"/>
        </w:rPr>
        <w:t>In accordance with the enforcement policy Section 2.4.C.2.c.1, a failure to make NRC notification of a condition is assigned the significance of the unreported condition.</w:t>
      </w:r>
    </w:p>
  </w:footnote>
  <w:footnote w:id="9">
    <w:p w:rsidR="00F04B4E" w:rsidRPr="00EB12BF" w:rsidRDefault="00F04B4E" w:rsidP="00F04B4E">
      <w:pPr>
        <w:pStyle w:val="FootnoteText"/>
        <w:ind w:left="180" w:hanging="180"/>
        <w:rPr>
          <w:rFonts w:ascii="Arial" w:hAnsi="Arial" w:cs="Arial"/>
        </w:rPr>
      </w:pPr>
      <w:r w:rsidRPr="00EB12BF">
        <w:rPr>
          <w:rStyle w:val="FootnoteReference"/>
          <w:rFonts w:ascii="Arial" w:hAnsi="Arial" w:cs="Arial"/>
          <w:vertAlign w:val="superscript"/>
        </w:rPr>
        <w:footnoteRef/>
      </w:r>
      <w:r w:rsidRPr="00EB12BF">
        <w:rPr>
          <w:rFonts w:ascii="Arial" w:hAnsi="Arial" w:cs="Arial"/>
        </w:rPr>
        <w:tab/>
        <w:t>This is consistent with the definition of a finding in that only those issues under the control of the licensee to foresee or prevent can be considered as findings.</w:t>
      </w:r>
    </w:p>
  </w:footnote>
  <w:footnote w:id="10">
    <w:p w:rsidR="00F04B4E" w:rsidRPr="00EB12BF" w:rsidRDefault="00F04B4E" w:rsidP="00F04B4E">
      <w:pPr>
        <w:pStyle w:val="FootnoteText"/>
        <w:ind w:left="180" w:hanging="180"/>
        <w:rPr>
          <w:rFonts w:ascii="Arial" w:hAnsi="Arial" w:cs="Arial"/>
        </w:rPr>
      </w:pPr>
      <w:r w:rsidRPr="00EB12BF">
        <w:rPr>
          <w:rFonts w:ascii="Arial" w:hAnsi="Arial" w:cs="Arial"/>
          <w:vertAlign w:val="superscript"/>
        </w:rPr>
        <w:footnoteRef/>
      </w:r>
      <w:r w:rsidRPr="00EB12BF">
        <w:rPr>
          <w:rFonts w:ascii="Arial" w:hAnsi="Arial" w:cs="Arial"/>
        </w:rPr>
        <w:tab/>
        <w:t xml:space="preserve">Significance is determined by the EP SDP for more than minor findings only; the minimum significance is Green. </w:t>
      </w:r>
    </w:p>
  </w:footnote>
  <w:footnote w:id="11">
    <w:p w:rsidR="00F04B4E" w:rsidRPr="00EB12BF" w:rsidRDefault="00F04B4E" w:rsidP="00F04B4E">
      <w:pPr>
        <w:pStyle w:val="FootnoteText"/>
        <w:ind w:left="180" w:hanging="180"/>
        <w:rPr>
          <w:rFonts w:ascii="Arial" w:hAnsi="Arial" w:cs="Arial"/>
        </w:rPr>
      </w:pPr>
      <w:r w:rsidRPr="00EB12BF">
        <w:rPr>
          <w:rStyle w:val="FootnoteReference"/>
          <w:rFonts w:ascii="Arial" w:hAnsi="Arial" w:cs="Arial"/>
          <w:vertAlign w:val="superscript"/>
        </w:rPr>
        <w:footnoteRef/>
      </w:r>
      <w:r w:rsidRPr="00EB12BF">
        <w:rPr>
          <w:rFonts w:ascii="Arial" w:hAnsi="Arial" w:cs="Arial"/>
        </w:rPr>
        <w:tab/>
        <w:t>Such FTI may have actual safety consequences and the associated finding may be treated under traditional enforcement.</w:t>
      </w:r>
    </w:p>
  </w:footnote>
  <w:footnote w:id="12">
    <w:p w:rsidR="00F04B4E" w:rsidRPr="00EB12BF" w:rsidRDefault="00F04B4E" w:rsidP="00F04B4E">
      <w:pPr>
        <w:pStyle w:val="FootnoteText"/>
        <w:ind w:left="180" w:hanging="180"/>
        <w:rPr>
          <w:rFonts w:ascii="Arial" w:hAnsi="Arial" w:cs="Arial"/>
        </w:rPr>
      </w:pPr>
      <w:r w:rsidRPr="00EB12BF">
        <w:rPr>
          <w:rStyle w:val="FootnoteReference"/>
          <w:rFonts w:ascii="Arial" w:hAnsi="Arial" w:cs="Arial"/>
          <w:vertAlign w:val="superscript"/>
        </w:rPr>
        <w:footnoteRef/>
      </w:r>
      <w:r w:rsidRPr="00EB12BF">
        <w:rPr>
          <w:rFonts w:ascii="Arial" w:hAnsi="Arial" w:cs="Arial"/>
        </w:rPr>
        <w:tab/>
        <w:t>Appendix E to 10 CFR Part 50, Section IV.D.3, requires that the licensee demonstrate that administrative and physical means have been established for alerting and providing prompt instructions to the public within the plume exposure pathway emergency planning zone.  The regulation does not require the licensee to provide the capability.  The licensee demonstrates the capability exists via the FEMA-approved ANS Final Design Report.</w:t>
      </w:r>
    </w:p>
  </w:footnote>
  <w:footnote w:id="13">
    <w:p w:rsidR="00F04B4E" w:rsidRPr="00EB12BF" w:rsidRDefault="00F04B4E" w:rsidP="00F04B4E">
      <w:pPr>
        <w:pStyle w:val="FootnoteText"/>
        <w:ind w:left="180" w:hanging="180"/>
        <w:rPr>
          <w:rFonts w:ascii="Arial" w:hAnsi="Arial" w:cs="Arial"/>
        </w:rPr>
      </w:pPr>
      <w:r w:rsidRPr="00EB12BF">
        <w:rPr>
          <w:rStyle w:val="FootnoteReference"/>
          <w:rFonts w:ascii="Arial" w:hAnsi="Arial" w:cs="Arial"/>
          <w:vertAlign w:val="superscript"/>
        </w:rPr>
        <w:footnoteRef/>
      </w:r>
      <w:r w:rsidRPr="00EB12BF">
        <w:tab/>
      </w:r>
      <w:r w:rsidRPr="00EB12BF">
        <w:rPr>
          <w:rFonts w:ascii="Arial" w:hAnsi="Arial" w:cs="Arial"/>
        </w:rPr>
        <w:t xml:space="preserve">For example, a correct emergency classification, consistent with scenario expectations, may have been made based on misinformation, lack of information, or invalid indications.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4E" w:rsidRDefault="00F04B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BAA334E"/>
    <w:lvl w:ilvl="0">
      <w:numFmt w:val="bullet"/>
      <w:lvlText w:val="*"/>
      <w:lvlJc w:val="left"/>
    </w:lvl>
  </w:abstractNum>
  <w:abstractNum w:abstractNumId="1">
    <w:nsid w:val="00F035D2"/>
    <w:multiLevelType w:val="hybridMultilevel"/>
    <w:tmpl w:val="EB42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6B0490"/>
    <w:multiLevelType w:val="hybridMultilevel"/>
    <w:tmpl w:val="F146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2676D"/>
    <w:multiLevelType w:val="hybridMultilevel"/>
    <w:tmpl w:val="0EBE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D161B"/>
    <w:multiLevelType w:val="hybridMultilevel"/>
    <w:tmpl w:val="8034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A2A3F"/>
    <w:multiLevelType w:val="hybridMultilevel"/>
    <w:tmpl w:val="FC7A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B4F3E"/>
    <w:multiLevelType w:val="hybridMultilevel"/>
    <w:tmpl w:val="79AC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34F40"/>
    <w:multiLevelType w:val="hybridMultilevel"/>
    <w:tmpl w:val="06C6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B90FBE"/>
    <w:multiLevelType w:val="hybridMultilevel"/>
    <w:tmpl w:val="563A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0D14F1"/>
    <w:multiLevelType w:val="hybridMultilevel"/>
    <w:tmpl w:val="B348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C774CC"/>
    <w:multiLevelType w:val="hybridMultilevel"/>
    <w:tmpl w:val="FD3A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3572D7"/>
    <w:multiLevelType w:val="hybridMultilevel"/>
    <w:tmpl w:val="C376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5C64B1"/>
    <w:multiLevelType w:val="hybridMultilevel"/>
    <w:tmpl w:val="0478BBAC"/>
    <w:lvl w:ilvl="0" w:tplc="F08CEE3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976A60"/>
    <w:multiLevelType w:val="hybridMultilevel"/>
    <w:tmpl w:val="2AC0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EA3161"/>
    <w:multiLevelType w:val="hybridMultilevel"/>
    <w:tmpl w:val="22C6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2">
    <w:abstractNumId w:val="14"/>
  </w:num>
  <w:num w:numId="3">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4">
    <w:abstractNumId w:val="6"/>
  </w:num>
  <w:num w:numId="5">
    <w:abstractNumId w:val="9"/>
  </w:num>
  <w:num w:numId="6">
    <w:abstractNumId w:val="5"/>
  </w:num>
  <w:num w:numId="7">
    <w:abstractNumId w:val="3"/>
  </w:num>
  <w:num w:numId="8">
    <w:abstractNumId w:val="1"/>
  </w:num>
  <w:num w:numId="9">
    <w:abstractNumId w:val="8"/>
  </w:num>
  <w:num w:numId="10">
    <w:abstractNumId w:val="13"/>
  </w:num>
  <w:num w:numId="11">
    <w:abstractNumId w:val="2"/>
  </w:num>
  <w:num w:numId="12">
    <w:abstractNumId w:val="7"/>
  </w:num>
  <w:num w:numId="13">
    <w:abstractNumId w:val="11"/>
  </w:num>
  <w:num w:numId="14">
    <w:abstractNumId w:val="10"/>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spelling="clean" w:grammar="clean"/>
  <w:stylePaneFormatFilter w:val="3F01"/>
  <w:revisionView w:markup="0"/>
  <w:defaultTabStop w:val="720"/>
  <w:drawingGridHorizontalSpacing w:val="10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rsids>
    <w:rsidRoot w:val="00186B42"/>
    <w:rsid w:val="00004C33"/>
    <w:rsid w:val="0001142F"/>
    <w:rsid w:val="00020822"/>
    <w:rsid w:val="00022B5A"/>
    <w:rsid w:val="00022E8B"/>
    <w:rsid w:val="00031C03"/>
    <w:rsid w:val="000353C5"/>
    <w:rsid w:val="00057A55"/>
    <w:rsid w:val="00067861"/>
    <w:rsid w:val="0007155B"/>
    <w:rsid w:val="00072CC7"/>
    <w:rsid w:val="000743C8"/>
    <w:rsid w:val="00076874"/>
    <w:rsid w:val="000813CD"/>
    <w:rsid w:val="000843AB"/>
    <w:rsid w:val="00085DE9"/>
    <w:rsid w:val="00093B73"/>
    <w:rsid w:val="0009504C"/>
    <w:rsid w:val="000A68F6"/>
    <w:rsid w:val="000B06C9"/>
    <w:rsid w:val="000B1093"/>
    <w:rsid w:val="000C1375"/>
    <w:rsid w:val="000D1641"/>
    <w:rsid w:val="000E09A0"/>
    <w:rsid w:val="000E1C79"/>
    <w:rsid w:val="000F1590"/>
    <w:rsid w:val="000F7FAD"/>
    <w:rsid w:val="0010073C"/>
    <w:rsid w:val="00111C0A"/>
    <w:rsid w:val="0012118A"/>
    <w:rsid w:val="0012443D"/>
    <w:rsid w:val="001253FD"/>
    <w:rsid w:val="00143ABE"/>
    <w:rsid w:val="00145AE1"/>
    <w:rsid w:val="00153491"/>
    <w:rsid w:val="00163D73"/>
    <w:rsid w:val="00164274"/>
    <w:rsid w:val="00165A6E"/>
    <w:rsid w:val="00166B33"/>
    <w:rsid w:val="00170CCC"/>
    <w:rsid w:val="00172698"/>
    <w:rsid w:val="001760EF"/>
    <w:rsid w:val="00186B42"/>
    <w:rsid w:val="001C52DC"/>
    <w:rsid w:val="001C69AE"/>
    <w:rsid w:val="001D6659"/>
    <w:rsid w:val="001D66CA"/>
    <w:rsid w:val="001F1FF6"/>
    <w:rsid w:val="001F2EA5"/>
    <w:rsid w:val="001F3AE0"/>
    <w:rsid w:val="001F680C"/>
    <w:rsid w:val="001F6E0C"/>
    <w:rsid w:val="0020497C"/>
    <w:rsid w:val="002203AC"/>
    <w:rsid w:val="00230019"/>
    <w:rsid w:val="002351DF"/>
    <w:rsid w:val="002352B0"/>
    <w:rsid w:val="0023611D"/>
    <w:rsid w:val="002369B7"/>
    <w:rsid w:val="002517FF"/>
    <w:rsid w:val="002518B8"/>
    <w:rsid w:val="0026614B"/>
    <w:rsid w:val="002708DC"/>
    <w:rsid w:val="00272419"/>
    <w:rsid w:val="0028263F"/>
    <w:rsid w:val="00293E75"/>
    <w:rsid w:val="002A0976"/>
    <w:rsid w:val="002A636A"/>
    <w:rsid w:val="002B12F5"/>
    <w:rsid w:val="002B72B2"/>
    <w:rsid w:val="002B73BA"/>
    <w:rsid w:val="002C1D6E"/>
    <w:rsid w:val="002C32EF"/>
    <w:rsid w:val="002C5B60"/>
    <w:rsid w:val="002D25C4"/>
    <w:rsid w:val="002D28C5"/>
    <w:rsid w:val="002F6E5E"/>
    <w:rsid w:val="00306018"/>
    <w:rsid w:val="00306FF1"/>
    <w:rsid w:val="00311538"/>
    <w:rsid w:val="00321F92"/>
    <w:rsid w:val="00322F14"/>
    <w:rsid w:val="00333D70"/>
    <w:rsid w:val="00333EA6"/>
    <w:rsid w:val="00335298"/>
    <w:rsid w:val="00344D88"/>
    <w:rsid w:val="003451A3"/>
    <w:rsid w:val="00352D14"/>
    <w:rsid w:val="003545F3"/>
    <w:rsid w:val="003632E7"/>
    <w:rsid w:val="00375F48"/>
    <w:rsid w:val="003761E1"/>
    <w:rsid w:val="00380736"/>
    <w:rsid w:val="00391CC1"/>
    <w:rsid w:val="00396AD4"/>
    <w:rsid w:val="003A05E1"/>
    <w:rsid w:val="003A481E"/>
    <w:rsid w:val="003B2C6D"/>
    <w:rsid w:val="003B4B1C"/>
    <w:rsid w:val="003B6B1E"/>
    <w:rsid w:val="003C5A50"/>
    <w:rsid w:val="003C6109"/>
    <w:rsid w:val="003E34EE"/>
    <w:rsid w:val="003E3CA0"/>
    <w:rsid w:val="003F18B3"/>
    <w:rsid w:val="003F21E7"/>
    <w:rsid w:val="003F3F6F"/>
    <w:rsid w:val="003F7B2B"/>
    <w:rsid w:val="0040141E"/>
    <w:rsid w:val="00403FF7"/>
    <w:rsid w:val="00406FC4"/>
    <w:rsid w:val="004103A5"/>
    <w:rsid w:val="0041339C"/>
    <w:rsid w:val="00413F86"/>
    <w:rsid w:val="00416BC0"/>
    <w:rsid w:val="00423DF9"/>
    <w:rsid w:val="00427312"/>
    <w:rsid w:val="004558E3"/>
    <w:rsid w:val="00482CD6"/>
    <w:rsid w:val="00490AF7"/>
    <w:rsid w:val="004927E6"/>
    <w:rsid w:val="00494FE3"/>
    <w:rsid w:val="00497F31"/>
    <w:rsid w:val="004A6B43"/>
    <w:rsid w:val="004C008E"/>
    <w:rsid w:val="004C382F"/>
    <w:rsid w:val="004D2465"/>
    <w:rsid w:val="004E18B1"/>
    <w:rsid w:val="004E247C"/>
    <w:rsid w:val="004E5B86"/>
    <w:rsid w:val="00505762"/>
    <w:rsid w:val="00512E05"/>
    <w:rsid w:val="005206BD"/>
    <w:rsid w:val="00520851"/>
    <w:rsid w:val="0053151C"/>
    <w:rsid w:val="00543A43"/>
    <w:rsid w:val="00547DE2"/>
    <w:rsid w:val="005515BC"/>
    <w:rsid w:val="00552C24"/>
    <w:rsid w:val="00554980"/>
    <w:rsid w:val="0055643C"/>
    <w:rsid w:val="00556464"/>
    <w:rsid w:val="005717B9"/>
    <w:rsid w:val="00571BF1"/>
    <w:rsid w:val="0058505C"/>
    <w:rsid w:val="005950D5"/>
    <w:rsid w:val="005A581A"/>
    <w:rsid w:val="005B314E"/>
    <w:rsid w:val="005B7183"/>
    <w:rsid w:val="005C224D"/>
    <w:rsid w:val="005C5BEC"/>
    <w:rsid w:val="005C7EC3"/>
    <w:rsid w:val="005D31AA"/>
    <w:rsid w:val="005D3D11"/>
    <w:rsid w:val="005E36E4"/>
    <w:rsid w:val="005E43B9"/>
    <w:rsid w:val="005F2EEA"/>
    <w:rsid w:val="0060188C"/>
    <w:rsid w:val="0060634D"/>
    <w:rsid w:val="00620362"/>
    <w:rsid w:val="006258ED"/>
    <w:rsid w:val="006331FA"/>
    <w:rsid w:val="0063520F"/>
    <w:rsid w:val="006411AD"/>
    <w:rsid w:val="00645A51"/>
    <w:rsid w:val="00661809"/>
    <w:rsid w:val="006634C5"/>
    <w:rsid w:val="006822D3"/>
    <w:rsid w:val="00694CCD"/>
    <w:rsid w:val="006A5B6A"/>
    <w:rsid w:val="006A5C81"/>
    <w:rsid w:val="006A7254"/>
    <w:rsid w:val="006B4B21"/>
    <w:rsid w:val="006B7CC3"/>
    <w:rsid w:val="006C3700"/>
    <w:rsid w:val="006F191B"/>
    <w:rsid w:val="006F4E7C"/>
    <w:rsid w:val="006F7FF1"/>
    <w:rsid w:val="00704AE7"/>
    <w:rsid w:val="007122A7"/>
    <w:rsid w:val="00721E31"/>
    <w:rsid w:val="0072206F"/>
    <w:rsid w:val="007375F6"/>
    <w:rsid w:val="007411D6"/>
    <w:rsid w:val="00765372"/>
    <w:rsid w:val="007676ED"/>
    <w:rsid w:val="00772B74"/>
    <w:rsid w:val="007846B7"/>
    <w:rsid w:val="00784955"/>
    <w:rsid w:val="00787B36"/>
    <w:rsid w:val="00790AC3"/>
    <w:rsid w:val="007A0618"/>
    <w:rsid w:val="007A14EC"/>
    <w:rsid w:val="007C0D8F"/>
    <w:rsid w:val="007D017C"/>
    <w:rsid w:val="007F06A5"/>
    <w:rsid w:val="007F5933"/>
    <w:rsid w:val="00800408"/>
    <w:rsid w:val="008025A7"/>
    <w:rsid w:val="00803AF5"/>
    <w:rsid w:val="008050F6"/>
    <w:rsid w:val="00831645"/>
    <w:rsid w:val="008344A8"/>
    <w:rsid w:val="00837808"/>
    <w:rsid w:val="00846E95"/>
    <w:rsid w:val="00847316"/>
    <w:rsid w:val="00847C23"/>
    <w:rsid w:val="008566CB"/>
    <w:rsid w:val="00863B1D"/>
    <w:rsid w:val="00865714"/>
    <w:rsid w:val="008727E3"/>
    <w:rsid w:val="00881624"/>
    <w:rsid w:val="00883F75"/>
    <w:rsid w:val="00885A5F"/>
    <w:rsid w:val="00897FEC"/>
    <w:rsid w:val="008A4902"/>
    <w:rsid w:val="008B5278"/>
    <w:rsid w:val="008B7067"/>
    <w:rsid w:val="008C4C66"/>
    <w:rsid w:val="008C56F2"/>
    <w:rsid w:val="008C62B3"/>
    <w:rsid w:val="008D337F"/>
    <w:rsid w:val="008D6366"/>
    <w:rsid w:val="008E1C9F"/>
    <w:rsid w:val="008F4551"/>
    <w:rsid w:val="008F7820"/>
    <w:rsid w:val="0090051E"/>
    <w:rsid w:val="009012B2"/>
    <w:rsid w:val="00907A32"/>
    <w:rsid w:val="00911A3E"/>
    <w:rsid w:val="00913FB2"/>
    <w:rsid w:val="00922313"/>
    <w:rsid w:val="009315B5"/>
    <w:rsid w:val="00941115"/>
    <w:rsid w:val="009450BD"/>
    <w:rsid w:val="00965EC2"/>
    <w:rsid w:val="00970E4E"/>
    <w:rsid w:val="009844BE"/>
    <w:rsid w:val="00985AF7"/>
    <w:rsid w:val="00990CBA"/>
    <w:rsid w:val="0099146B"/>
    <w:rsid w:val="0099339C"/>
    <w:rsid w:val="00995A79"/>
    <w:rsid w:val="009A1574"/>
    <w:rsid w:val="009B4F9D"/>
    <w:rsid w:val="009B4FF7"/>
    <w:rsid w:val="009B5956"/>
    <w:rsid w:val="009B7DEB"/>
    <w:rsid w:val="009D02C8"/>
    <w:rsid w:val="009D233E"/>
    <w:rsid w:val="009D600F"/>
    <w:rsid w:val="009D6A15"/>
    <w:rsid w:val="009D7C1F"/>
    <w:rsid w:val="009E4B09"/>
    <w:rsid w:val="009E5A28"/>
    <w:rsid w:val="009F35FE"/>
    <w:rsid w:val="00A03B1E"/>
    <w:rsid w:val="00A04481"/>
    <w:rsid w:val="00A1027B"/>
    <w:rsid w:val="00A102E0"/>
    <w:rsid w:val="00A12076"/>
    <w:rsid w:val="00A134F1"/>
    <w:rsid w:val="00A209BE"/>
    <w:rsid w:val="00A26FA3"/>
    <w:rsid w:val="00A32C1A"/>
    <w:rsid w:val="00A359F5"/>
    <w:rsid w:val="00A41207"/>
    <w:rsid w:val="00A46494"/>
    <w:rsid w:val="00A50FB6"/>
    <w:rsid w:val="00A63B4D"/>
    <w:rsid w:val="00A6432E"/>
    <w:rsid w:val="00A74873"/>
    <w:rsid w:val="00A752A2"/>
    <w:rsid w:val="00A87B81"/>
    <w:rsid w:val="00A9059A"/>
    <w:rsid w:val="00A91112"/>
    <w:rsid w:val="00A91EEF"/>
    <w:rsid w:val="00A931F0"/>
    <w:rsid w:val="00A93526"/>
    <w:rsid w:val="00A9455B"/>
    <w:rsid w:val="00A9604A"/>
    <w:rsid w:val="00AA2571"/>
    <w:rsid w:val="00AA40A3"/>
    <w:rsid w:val="00AA465E"/>
    <w:rsid w:val="00AA76B4"/>
    <w:rsid w:val="00AB21C1"/>
    <w:rsid w:val="00AB2F91"/>
    <w:rsid w:val="00AB6779"/>
    <w:rsid w:val="00AC160D"/>
    <w:rsid w:val="00AC5C1A"/>
    <w:rsid w:val="00AD0297"/>
    <w:rsid w:val="00AD1097"/>
    <w:rsid w:val="00AD1558"/>
    <w:rsid w:val="00AF018F"/>
    <w:rsid w:val="00AF0659"/>
    <w:rsid w:val="00AF2051"/>
    <w:rsid w:val="00B23CCA"/>
    <w:rsid w:val="00B31986"/>
    <w:rsid w:val="00B334B6"/>
    <w:rsid w:val="00B429F4"/>
    <w:rsid w:val="00B46C29"/>
    <w:rsid w:val="00B47546"/>
    <w:rsid w:val="00B61BF1"/>
    <w:rsid w:val="00B75A7D"/>
    <w:rsid w:val="00BA4A8F"/>
    <w:rsid w:val="00BA5AA8"/>
    <w:rsid w:val="00BB21A8"/>
    <w:rsid w:val="00BD4493"/>
    <w:rsid w:val="00BD4810"/>
    <w:rsid w:val="00BD5DEE"/>
    <w:rsid w:val="00BE3B5F"/>
    <w:rsid w:val="00BF02B8"/>
    <w:rsid w:val="00BF6D4A"/>
    <w:rsid w:val="00C01234"/>
    <w:rsid w:val="00C07A45"/>
    <w:rsid w:val="00C14DBA"/>
    <w:rsid w:val="00C2079E"/>
    <w:rsid w:val="00C37313"/>
    <w:rsid w:val="00C5733C"/>
    <w:rsid w:val="00C72FD8"/>
    <w:rsid w:val="00C74FE2"/>
    <w:rsid w:val="00C81DAB"/>
    <w:rsid w:val="00C84A94"/>
    <w:rsid w:val="00C9221D"/>
    <w:rsid w:val="00C979DE"/>
    <w:rsid w:val="00CB0D4C"/>
    <w:rsid w:val="00CB646E"/>
    <w:rsid w:val="00CB70AF"/>
    <w:rsid w:val="00CB77D4"/>
    <w:rsid w:val="00CB7D09"/>
    <w:rsid w:val="00CC6D52"/>
    <w:rsid w:val="00CD610A"/>
    <w:rsid w:val="00CE0977"/>
    <w:rsid w:val="00CE3B77"/>
    <w:rsid w:val="00CE6806"/>
    <w:rsid w:val="00CE7362"/>
    <w:rsid w:val="00CE7B08"/>
    <w:rsid w:val="00CF6A61"/>
    <w:rsid w:val="00D167C1"/>
    <w:rsid w:val="00D34171"/>
    <w:rsid w:val="00D343AD"/>
    <w:rsid w:val="00D45794"/>
    <w:rsid w:val="00D51F1B"/>
    <w:rsid w:val="00D53370"/>
    <w:rsid w:val="00D53ECE"/>
    <w:rsid w:val="00D60823"/>
    <w:rsid w:val="00D81584"/>
    <w:rsid w:val="00D85746"/>
    <w:rsid w:val="00D87308"/>
    <w:rsid w:val="00D92266"/>
    <w:rsid w:val="00DA2F37"/>
    <w:rsid w:val="00DA3825"/>
    <w:rsid w:val="00DC5561"/>
    <w:rsid w:val="00DD0263"/>
    <w:rsid w:val="00DD44AE"/>
    <w:rsid w:val="00DD6791"/>
    <w:rsid w:val="00DF300A"/>
    <w:rsid w:val="00E00E09"/>
    <w:rsid w:val="00E1070F"/>
    <w:rsid w:val="00E208F2"/>
    <w:rsid w:val="00E20FD3"/>
    <w:rsid w:val="00E60D7A"/>
    <w:rsid w:val="00E76B0B"/>
    <w:rsid w:val="00E82483"/>
    <w:rsid w:val="00E828A9"/>
    <w:rsid w:val="00E82BB3"/>
    <w:rsid w:val="00E87E74"/>
    <w:rsid w:val="00EA2E88"/>
    <w:rsid w:val="00EA38A2"/>
    <w:rsid w:val="00EB12BF"/>
    <w:rsid w:val="00EB2408"/>
    <w:rsid w:val="00EB659D"/>
    <w:rsid w:val="00EC0821"/>
    <w:rsid w:val="00EC5F64"/>
    <w:rsid w:val="00ED472D"/>
    <w:rsid w:val="00F04762"/>
    <w:rsid w:val="00F04B4E"/>
    <w:rsid w:val="00F06F36"/>
    <w:rsid w:val="00F07766"/>
    <w:rsid w:val="00F15486"/>
    <w:rsid w:val="00F15FEB"/>
    <w:rsid w:val="00F25B3E"/>
    <w:rsid w:val="00F26D91"/>
    <w:rsid w:val="00F3241B"/>
    <w:rsid w:val="00F343C0"/>
    <w:rsid w:val="00F34FDC"/>
    <w:rsid w:val="00F46406"/>
    <w:rsid w:val="00F47FD8"/>
    <w:rsid w:val="00F56FF6"/>
    <w:rsid w:val="00F6587E"/>
    <w:rsid w:val="00F90DFD"/>
    <w:rsid w:val="00F9269A"/>
    <w:rsid w:val="00F92EAD"/>
    <w:rsid w:val="00FA6740"/>
    <w:rsid w:val="00FC3748"/>
    <w:rsid w:val="00FC3CE3"/>
    <w:rsid w:val="00FD0DAF"/>
    <w:rsid w:val="00FD3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B42"/>
    <w:pPr>
      <w:autoSpaceDE w:val="0"/>
      <w:autoSpaceDN w:val="0"/>
      <w:adjustRightInd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1093"/>
    <w:pPr>
      <w:tabs>
        <w:tab w:val="center" w:pos="4320"/>
        <w:tab w:val="right" w:pos="8640"/>
      </w:tabs>
      <w:overflowPunct w:val="0"/>
      <w:textAlignment w:val="baseline"/>
    </w:pPr>
  </w:style>
  <w:style w:type="paragraph" w:styleId="BalloonText">
    <w:name w:val="Balloon Text"/>
    <w:basedOn w:val="Normal"/>
    <w:semiHidden/>
    <w:rsid w:val="00427312"/>
    <w:rPr>
      <w:rFonts w:ascii="Tahoma" w:hAnsi="Tahoma" w:cs="Tahoma"/>
      <w:sz w:val="16"/>
      <w:szCs w:val="16"/>
    </w:rPr>
  </w:style>
  <w:style w:type="character" w:styleId="FootnoteReference">
    <w:name w:val="footnote reference"/>
    <w:rsid w:val="000D1641"/>
  </w:style>
  <w:style w:type="paragraph" w:customStyle="1" w:styleId="footnotetex">
    <w:name w:val="footnote tex"/>
    <w:basedOn w:val="Normal"/>
    <w:rsid w:val="000D1641"/>
    <w:pPr>
      <w:widowControl w:val="0"/>
    </w:pPr>
    <w:rPr>
      <w:rFonts w:ascii="Times New Roman" w:hAnsi="Times New Roman"/>
      <w:sz w:val="24"/>
      <w:szCs w:val="24"/>
    </w:rPr>
  </w:style>
  <w:style w:type="paragraph" w:styleId="FootnoteText">
    <w:name w:val="footnote text"/>
    <w:basedOn w:val="Normal"/>
    <w:link w:val="FootnoteTextChar"/>
    <w:rsid w:val="000D1641"/>
    <w:pPr>
      <w:widowControl w:val="0"/>
    </w:pPr>
    <w:rPr>
      <w:rFonts w:ascii="Times New Roman" w:hAnsi="Times New Roman"/>
    </w:rPr>
  </w:style>
  <w:style w:type="character" w:customStyle="1" w:styleId="FootnoteTextChar">
    <w:name w:val="Footnote Text Char"/>
    <w:basedOn w:val="DefaultParagraphFont"/>
    <w:link w:val="FootnoteText"/>
    <w:rsid w:val="000D1641"/>
  </w:style>
  <w:style w:type="paragraph" w:customStyle="1" w:styleId="aaPS">
    <w:name w:val="aa_PS"/>
    <w:basedOn w:val="Normal"/>
    <w:rsid w:val="009B7DEB"/>
    <w:pPr>
      <w:widowControl w:val="0"/>
      <w:tabs>
        <w:tab w:val="left" w:pos="-1380"/>
        <w:tab w:val="left" w:pos="0"/>
        <w:tab w:val="left" w:pos="2880"/>
      </w:tabs>
    </w:pPr>
    <w:rPr>
      <w:rFonts w:ascii="Shruti" w:hAnsi="Shruti" w:cs="Shruti"/>
      <w:color w:val="000000"/>
      <w:sz w:val="22"/>
      <w:szCs w:val="22"/>
    </w:rPr>
  </w:style>
  <w:style w:type="character" w:styleId="Emphasis">
    <w:name w:val="Emphasis"/>
    <w:qFormat/>
    <w:rsid w:val="00031C03"/>
    <w:rPr>
      <w:rFonts w:cs="Arial"/>
      <w:sz w:val="24"/>
      <w:szCs w:val="24"/>
    </w:rPr>
  </w:style>
  <w:style w:type="paragraph" w:customStyle="1" w:styleId="609noindent">
    <w:name w:val="609 no indent"/>
    <w:basedOn w:val="Normal"/>
    <w:link w:val="609noindentChar"/>
    <w:qFormat/>
    <w:rsid w:val="00F926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cs="Arial"/>
      <w:sz w:val="24"/>
      <w:szCs w:val="24"/>
    </w:rPr>
  </w:style>
  <w:style w:type="character" w:customStyle="1" w:styleId="609noindentChar">
    <w:name w:val="609 no indent Char"/>
    <w:basedOn w:val="DefaultParagraphFont"/>
    <w:link w:val="609noindent"/>
    <w:rsid w:val="00F9269A"/>
    <w:rPr>
      <w:rFonts w:ascii="Arial" w:hAnsi="Arial" w:cs="Arial"/>
      <w:sz w:val="24"/>
      <w:szCs w:val="24"/>
    </w:rPr>
  </w:style>
  <w:style w:type="paragraph" w:customStyle="1" w:styleId="aindent">
    <w:name w:val="(a)_indent"/>
    <w:basedOn w:val="Normal"/>
    <w:link w:val="aindentChar"/>
    <w:qFormat/>
    <w:rsid w:val="00F9269A"/>
    <w:pPr>
      <w:tabs>
        <w:tab w:val="left" w:pos="-1380"/>
        <w:tab w:val="left" w:pos="720"/>
      </w:tabs>
      <w:ind w:left="720" w:hanging="720"/>
      <w:jc w:val="both"/>
    </w:pPr>
    <w:rPr>
      <w:rFonts w:cs="Arial"/>
      <w:sz w:val="24"/>
      <w:szCs w:val="24"/>
    </w:rPr>
  </w:style>
  <w:style w:type="character" w:customStyle="1" w:styleId="aindentChar">
    <w:name w:val="(a)_indent Char"/>
    <w:basedOn w:val="DefaultParagraphFont"/>
    <w:link w:val="aindent"/>
    <w:rsid w:val="00F9269A"/>
    <w:rPr>
      <w:rFonts w:ascii="Arial" w:hAnsi="Arial" w:cs="Arial"/>
      <w:sz w:val="24"/>
      <w:szCs w:val="24"/>
    </w:rPr>
  </w:style>
  <w:style w:type="paragraph" w:customStyle="1" w:styleId="xindent">
    <w:name w:val="(x)_indent"/>
    <w:basedOn w:val="Normal"/>
    <w:link w:val="xindentChar"/>
    <w:qFormat/>
    <w:rsid w:val="00F9269A"/>
    <w:pPr>
      <w:tabs>
        <w:tab w:val="left" w:pos="-1380"/>
        <w:tab w:val="left" w:pos="1440"/>
      </w:tabs>
      <w:ind w:left="1440" w:hanging="720"/>
      <w:jc w:val="both"/>
    </w:pPr>
    <w:rPr>
      <w:rFonts w:cs="Arial"/>
      <w:sz w:val="24"/>
      <w:szCs w:val="24"/>
    </w:rPr>
  </w:style>
  <w:style w:type="character" w:customStyle="1" w:styleId="xindentChar">
    <w:name w:val="(x)_indent Char"/>
    <w:basedOn w:val="DefaultParagraphFont"/>
    <w:link w:val="xindent"/>
    <w:rsid w:val="00F9269A"/>
    <w:rPr>
      <w:rFonts w:ascii="Arial" w:hAnsi="Arial" w:cs="Arial"/>
      <w:sz w:val="24"/>
      <w:szCs w:val="24"/>
    </w:rPr>
  </w:style>
  <w:style w:type="paragraph" w:styleId="ListParagraph">
    <w:name w:val="List Paragraph"/>
    <w:basedOn w:val="Normal"/>
    <w:uiPriority w:val="34"/>
    <w:qFormat/>
    <w:rsid w:val="002352B0"/>
    <w:pPr>
      <w:ind w:left="720"/>
    </w:pPr>
  </w:style>
  <w:style w:type="paragraph" w:styleId="Footer">
    <w:name w:val="footer"/>
    <w:basedOn w:val="Normal"/>
    <w:link w:val="FooterChar"/>
    <w:rsid w:val="00BA4A8F"/>
    <w:pPr>
      <w:tabs>
        <w:tab w:val="center" w:pos="4680"/>
        <w:tab w:val="right" w:pos="9360"/>
      </w:tabs>
    </w:pPr>
  </w:style>
  <w:style w:type="character" w:customStyle="1" w:styleId="FooterChar">
    <w:name w:val="Footer Char"/>
    <w:basedOn w:val="DefaultParagraphFont"/>
    <w:link w:val="Footer"/>
    <w:rsid w:val="00BA4A8F"/>
    <w:rPr>
      <w:rFonts w:ascii="Arial" w:hAnsi="Arial"/>
    </w:rPr>
  </w:style>
  <w:style w:type="character" w:styleId="PageNumber">
    <w:name w:val="page number"/>
    <w:basedOn w:val="DefaultParagraphFont"/>
    <w:rsid w:val="00BA4A8F"/>
  </w:style>
  <w:style w:type="paragraph" w:customStyle="1" w:styleId="myfootnote">
    <w:name w:val="myfootnote"/>
    <w:basedOn w:val="FootnoteText"/>
    <w:qFormat/>
    <w:rsid w:val="00306018"/>
    <w:pPr>
      <w:ind w:left="180" w:hanging="180"/>
    </w:pPr>
    <w:rPr>
      <w:rFonts w:ascii="Arial" w:hAnsi="Arial" w:cs="Arial"/>
      <w:sz w:val="22"/>
      <w:szCs w:val="22"/>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1741E-3C73-4433-A67D-7B1FFA95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5224</Words>
  <Characters>29121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APPENDIX B  TECHNICAL BASIS FOR EMERGENCY PREPAREDNESS SIGNIFICANCE DETERMINATION PROCESS </vt:lpstr>
    </vt:vector>
  </TitlesOfParts>
  <Company>USNRC</Company>
  <LinksUpToDate>false</LinksUpToDate>
  <CharactersWithSpaces>34277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TECHNICAL BASIS FOR EMERGENCY PREPAREDNESS SIGNIFICANCE DETERMINATION PROCESS </dc:title>
  <dc:subject/>
  <dc:creator>Iris Cutler</dc:creator>
  <cp:keywords/>
  <dc:description/>
  <cp:lastModifiedBy>btc1</cp:lastModifiedBy>
  <cp:revision>2</cp:revision>
  <cp:lastPrinted>2012-12-14T16:44:00Z</cp:lastPrinted>
  <dcterms:created xsi:type="dcterms:W3CDTF">2012-12-26T17:36:00Z</dcterms:created>
  <dcterms:modified xsi:type="dcterms:W3CDTF">2012-12-26T17:36:00Z</dcterms:modified>
</cp:coreProperties>
</file>