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5865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</w:t>
      </w:r>
      <w:r w:rsidR="00586592">
        <w:rPr>
          <w:rFonts w:ascii="Arial" w:hAnsi="Arial" w:cs="Arial"/>
          <w:sz w:val="22"/>
          <w:szCs w:val="22"/>
        </w:rPr>
        <w:t>0609 App E Part I</w:t>
      </w:r>
      <w:r w:rsidR="00586592">
        <w:rPr>
          <w:rFonts w:ascii="Arial" w:hAnsi="Arial" w:cs="Arial"/>
          <w:sz w:val="22"/>
          <w:szCs w:val="22"/>
        </w:rPr>
        <w:tab/>
        <w:t>01/27/10</w:t>
      </w:r>
      <w:r w:rsidR="00586592">
        <w:rPr>
          <w:rFonts w:ascii="Arial" w:hAnsi="Arial" w:cs="Arial"/>
          <w:sz w:val="22"/>
          <w:szCs w:val="22"/>
        </w:rPr>
        <w:tab/>
        <w:t>IMC 0609 App E Part I</w:t>
      </w:r>
      <w:r w:rsidR="00586592">
        <w:rPr>
          <w:rFonts w:ascii="Arial" w:hAnsi="Arial" w:cs="Arial"/>
          <w:sz w:val="22"/>
          <w:szCs w:val="22"/>
        </w:rPr>
        <w:tab/>
        <w:t>06/27/12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7D312C" w:rsidRDefault="00586592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IP 71130.03</w:t>
      </w:r>
      <w:r>
        <w:rPr>
          <w:rFonts w:ascii="Arial" w:hAnsi="Arial" w:cs="Arial"/>
          <w:sz w:val="22"/>
          <w:szCs w:val="22"/>
        </w:rPr>
        <w:tab/>
        <w:t>02/05/09</w:t>
      </w:r>
      <w:r>
        <w:rPr>
          <w:rFonts w:ascii="Arial" w:hAnsi="Arial" w:cs="Arial"/>
          <w:sz w:val="22"/>
          <w:szCs w:val="22"/>
        </w:rPr>
        <w:tab/>
        <w:t>IP 71130.03</w:t>
      </w:r>
      <w:r>
        <w:rPr>
          <w:rFonts w:ascii="Arial" w:hAnsi="Arial" w:cs="Arial"/>
          <w:sz w:val="22"/>
          <w:szCs w:val="22"/>
        </w:rPr>
        <w:tab/>
        <w:t>06/27/12</w:t>
      </w:r>
    </w:p>
    <w:p w:rsidR="00586592" w:rsidRDefault="00586592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 2515/187</w:t>
      </w:r>
      <w:r>
        <w:rPr>
          <w:rFonts w:ascii="Arial" w:hAnsi="Arial" w:cs="Arial"/>
          <w:sz w:val="22"/>
          <w:szCs w:val="22"/>
        </w:rPr>
        <w:tab/>
        <w:t>06/27/12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5242C9">
        <w:rPr>
          <w:rFonts w:ascii="Arial" w:hAnsi="Arial" w:cs="Arial"/>
          <w:sz w:val="22"/>
          <w:szCs w:val="22"/>
        </w:rPr>
        <w:t>Webinar training for TI 2515/187 will be held on Thursday, June 28, 2012.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D312C" w:rsidRDefault="003C4073" w:rsidP="0058659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586592">
        <w:rPr>
          <w:rFonts w:ascii="Arial" w:hAnsi="Arial" w:cs="Arial"/>
          <w:sz w:val="22"/>
          <w:szCs w:val="22"/>
        </w:rPr>
        <w:t>IMC 0609 App E Part I, “</w:t>
      </w:r>
      <w:r w:rsidR="00586592" w:rsidRPr="00586592">
        <w:rPr>
          <w:rFonts w:ascii="Arial" w:hAnsi="Arial" w:cs="Arial"/>
          <w:sz w:val="22"/>
          <w:szCs w:val="22"/>
        </w:rPr>
        <w:t>Baseline Security Significance Determination Process</w:t>
      </w:r>
      <w:r w:rsidR="00586592">
        <w:rPr>
          <w:rFonts w:ascii="Arial" w:hAnsi="Arial" w:cs="Arial"/>
          <w:sz w:val="22"/>
          <w:szCs w:val="22"/>
        </w:rPr>
        <w:t>,” has been revised to incorporate changes to the SGI tree and the Significance Screen, based on feedback from use of these tools.  Editorial changes to improve readability and usability.</w:t>
      </w:r>
    </w:p>
    <w:p w:rsidR="00586592" w:rsidRDefault="00586592" w:rsidP="0058659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86592" w:rsidRDefault="00586592" w:rsidP="0058659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71130.03</w:t>
      </w:r>
      <w:r w:rsidRPr="00586592">
        <w:rPr>
          <w:rFonts w:ascii="Arial" w:hAnsi="Arial" w:cs="Arial"/>
          <w:sz w:val="22"/>
          <w:szCs w:val="22"/>
        </w:rPr>
        <w:t>, “Contingency Response - Force-on-Force Testing</w:t>
      </w:r>
      <w:r>
        <w:rPr>
          <w:rFonts w:ascii="Arial" w:hAnsi="Arial" w:cs="Arial"/>
          <w:sz w:val="22"/>
          <w:szCs w:val="22"/>
        </w:rPr>
        <w:t>,</w:t>
      </w:r>
      <w:r w:rsidRPr="00586592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has been revised to incorporate lessons learned from the previous 40 months of regulatory evaluation of the triennial FOF program and major revisions to incorporate new rule requirements.</w:t>
      </w:r>
    </w:p>
    <w:p w:rsidR="002C4CDB" w:rsidRDefault="002C4CDB" w:rsidP="0058659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CDB" w:rsidRPr="002C4CDB" w:rsidRDefault="002C4CDB" w:rsidP="002C4CD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2515/187, “Inspection o</w:t>
      </w:r>
      <w:r w:rsidRPr="002C4CDB">
        <w:rPr>
          <w:rFonts w:ascii="Arial" w:hAnsi="Arial" w:cs="Arial"/>
          <w:sz w:val="22"/>
          <w:szCs w:val="22"/>
        </w:rPr>
        <w:t>f Near-Term Task Force Recommendation 2.3</w:t>
      </w:r>
    </w:p>
    <w:p w:rsidR="002C4CDB" w:rsidRPr="00586592" w:rsidRDefault="002C4CDB" w:rsidP="002C4CD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C4CDB">
        <w:rPr>
          <w:rFonts w:ascii="Arial" w:hAnsi="Arial" w:cs="Arial"/>
          <w:sz w:val="22"/>
          <w:szCs w:val="22"/>
        </w:rPr>
        <w:t xml:space="preserve">Flooding </w:t>
      </w:r>
      <w:proofErr w:type="spellStart"/>
      <w:r w:rsidRPr="002C4CDB">
        <w:rPr>
          <w:rFonts w:ascii="Arial" w:hAnsi="Arial" w:cs="Arial"/>
          <w:sz w:val="22"/>
          <w:szCs w:val="22"/>
        </w:rPr>
        <w:t>Walkdowns</w:t>
      </w:r>
      <w:proofErr w:type="spellEnd"/>
      <w:r>
        <w:rPr>
          <w:rFonts w:ascii="Arial" w:hAnsi="Arial" w:cs="Arial"/>
          <w:sz w:val="22"/>
          <w:szCs w:val="22"/>
        </w:rPr>
        <w:t>,” is being issued for the inspections related to the industry response to the Fukushima Near-Term Task Force (NTTF) recommended actions associated with flooding.</w:t>
      </w:r>
    </w:p>
    <w:p w:rsidR="005E38CD" w:rsidRPr="0099657B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2C4CDB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2C4CDB">
        <w:rPr>
          <w:rFonts w:ascii="Arial" w:hAnsi="Arial" w:cs="Arial"/>
          <w:sz w:val="22"/>
          <w:szCs w:val="22"/>
        </w:rPr>
        <w:t>Standard for TI 2515/187</w:t>
      </w:r>
    </w:p>
    <w:p w:rsidR="002C4CDB" w:rsidRDefault="002C4CDB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461FEE" w:rsidRDefault="002C4CDB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F4634E">
        <w:rPr>
          <w:rFonts w:ascii="Arial" w:hAnsi="Arial" w:cs="Arial"/>
          <w:sz w:val="22"/>
          <w:szCs w:val="22"/>
        </w:rPr>
        <w:t>IMC 0609 App E Part I and IP 71130.03 have been designated as containing “Official Use Only – Security-Related Information,” and are therefore not available to the public.  For information on this IMC and IP, please contact Brian Yip at 415- 7638.</w:t>
      </w:r>
    </w:p>
    <w:p w:rsidR="00F20058" w:rsidRDefault="00F20058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C9" w:rsidRDefault="005242C9">
      <w:r>
        <w:separator/>
      </w:r>
    </w:p>
  </w:endnote>
  <w:endnote w:type="continuationSeparator" w:id="0">
    <w:p w:rsidR="005242C9" w:rsidRDefault="00524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5242C9" w:rsidRDefault="005242C9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Pr="00A31474" w:rsidRDefault="005242C9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06/27/2012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316B65"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5242C9" w:rsidRPr="00A31474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C9" w:rsidRDefault="005242C9">
      <w:r>
        <w:separator/>
      </w:r>
    </w:p>
  </w:footnote>
  <w:footnote w:type="continuationSeparator" w:id="0">
    <w:p w:rsidR="005242C9" w:rsidRDefault="00524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9420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64B3-4A6C-4373-8B3F-0FD76FFE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2012-06-27T14:44:00Z</cp:lastPrinted>
  <dcterms:created xsi:type="dcterms:W3CDTF">2012-06-27T12:58:00Z</dcterms:created>
  <dcterms:modified xsi:type="dcterms:W3CDTF">2012-06-27T14:52:00Z</dcterms:modified>
</cp:coreProperties>
</file>