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601" w:rsidRPr="00583601" w:rsidRDefault="00082CEE" w:rsidP="00583601">
      <w:pPr>
        <w:pStyle w:val="AppendixTitle"/>
        <w:rPr>
          <w:b/>
          <w:sz w:val="22"/>
          <w:szCs w:val="22"/>
        </w:rPr>
      </w:pPr>
      <w:r w:rsidRPr="00583601">
        <w:rPr>
          <w:b/>
          <w:sz w:val="22"/>
          <w:szCs w:val="22"/>
          <w:lang w:val="en-CA"/>
        </w:rPr>
        <w:fldChar w:fldCharType="begin"/>
      </w:r>
      <w:r w:rsidR="00583601" w:rsidRPr="00583601">
        <w:rPr>
          <w:b/>
          <w:sz w:val="22"/>
          <w:szCs w:val="22"/>
          <w:lang w:val="en-CA"/>
        </w:rPr>
        <w:instrText xml:space="preserve"> SEQ CHAPTER \h \r 1</w:instrText>
      </w:r>
      <w:r w:rsidRPr="00583601">
        <w:rPr>
          <w:b/>
          <w:sz w:val="22"/>
          <w:szCs w:val="22"/>
          <w:lang w:val="en-CA"/>
        </w:rPr>
        <w:fldChar w:fldCharType="end"/>
      </w:r>
      <w:bookmarkStart w:id="0" w:name="_Toc168390860"/>
      <w:bookmarkStart w:id="1" w:name="_Toc168393145"/>
      <w:bookmarkStart w:id="2" w:name="_Toc168393298"/>
      <w:bookmarkStart w:id="3" w:name="_Toc168393403"/>
      <w:bookmarkStart w:id="4" w:name="_Toc168911237"/>
      <w:bookmarkStart w:id="5" w:name="_Toc168911466"/>
      <w:r w:rsidR="00583601" w:rsidRPr="00583601">
        <w:rPr>
          <w:b/>
          <w:sz w:val="22"/>
          <w:szCs w:val="22"/>
        </w:rPr>
        <w:t>Comment Resolution Summary</w:t>
      </w:r>
      <w:bookmarkEnd w:id="0"/>
      <w:bookmarkEnd w:id="1"/>
      <w:bookmarkEnd w:id="2"/>
      <w:bookmarkEnd w:id="3"/>
      <w:bookmarkEnd w:id="4"/>
      <w:bookmarkEnd w:id="5"/>
    </w:p>
    <w:p w:rsidR="00583601" w:rsidRPr="00583601" w:rsidRDefault="00583601" w:rsidP="00583601">
      <w:pPr>
        <w:jc w:val="center"/>
        <w:rPr>
          <w:rFonts w:cs="Arial"/>
          <w:b/>
          <w:szCs w:val="22"/>
        </w:rPr>
      </w:pPr>
      <w:r w:rsidRPr="00583601">
        <w:rPr>
          <w:rFonts w:cs="Arial"/>
          <w:b/>
          <w:szCs w:val="22"/>
        </w:rPr>
        <w:t>Resolution of Comments for</w:t>
      </w:r>
    </w:p>
    <w:p w:rsidR="00875FCF" w:rsidRPr="00583601" w:rsidRDefault="00583601" w:rsidP="00583601">
      <w:pPr>
        <w:jc w:val="center"/>
        <w:rPr>
          <w:rFonts w:cs="Arial"/>
          <w:b/>
          <w:szCs w:val="22"/>
        </w:rPr>
      </w:pPr>
      <w:r w:rsidRPr="00583601">
        <w:rPr>
          <w:rFonts w:cs="Arial"/>
          <w:b/>
          <w:szCs w:val="22"/>
        </w:rPr>
        <w:t xml:space="preserve">IP </w:t>
      </w:r>
      <w:r w:rsidR="006D11BF">
        <w:rPr>
          <w:rFonts w:cs="Arial"/>
          <w:b/>
          <w:szCs w:val="22"/>
        </w:rPr>
        <w:t>37060</w:t>
      </w:r>
    </w:p>
    <w:p w:rsidR="00583601" w:rsidRDefault="00583601" w:rsidP="0058360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2"/>
        <w:gridCol w:w="5266"/>
        <w:gridCol w:w="990"/>
        <w:gridCol w:w="6678"/>
      </w:tblGrid>
      <w:tr w:rsidR="00583601" w:rsidTr="00F452D9">
        <w:tc>
          <w:tcPr>
            <w:tcW w:w="962" w:type="dxa"/>
          </w:tcPr>
          <w:p w:rsidR="002454F1" w:rsidRPr="009334A8" w:rsidRDefault="002454F1" w:rsidP="00875FCF">
            <w:pPr>
              <w:rPr>
                <w:b/>
              </w:rPr>
            </w:pPr>
            <w:r w:rsidRPr="009334A8">
              <w:rPr>
                <w:b/>
              </w:rPr>
              <w:t>Source</w:t>
            </w:r>
          </w:p>
        </w:tc>
        <w:tc>
          <w:tcPr>
            <w:tcW w:w="5266" w:type="dxa"/>
          </w:tcPr>
          <w:p w:rsidR="002454F1" w:rsidRPr="009334A8" w:rsidRDefault="002454F1" w:rsidP="00875FCF">
            <w:pPr>
              <w:rPr>
                <w:b/>
              </w:rPr>
            </w:pPr>
            <w:r w:rsidRPr="009334A8">
              <w:rPr>
                <w:b/>
              </w:rPr>
              <w:t>Comment</w:t>
            </w:r>
          </w:p>
        </w:tc>
        <w:tc>
          <w:tcPr>
            <w:tcW w:w="990" w:type="dxa"/>
          </w:tcPr>
          <w:p w:rsidR="002454F1" w:rsidRPr="009334A8" w:rsidRDefault="00583601" w:rsidP="00875FCF">
            <w:pPr>
              <w:rPr>
                <w:b/>
              </w:rPr>
            </w:pPr>
            <w:r w:rsidRPr="009334A8">
              <w:rPr>
                <w:b/>
              </w:rPr>
              <w:t>Added</w:t>
            </w:r>
          </w:p>
        </w:tc>
        <w:tc>
          <w:tcPr>
            <w:tcW w:w="6678" w:type="dxa"/>
          </w:tcPr>
          <w:p w:rsidR="002454F1" w:rsidRPr="009334A8" w:rsidRDefault="00583601" w:rsidP="005E677D">
            <w:pPr>
              <w:rPr>
                <w:b/>
              </w:rPr>
            </w:pPr>
            <w:r w:rsidRPr="009334A8">
              <w:rPr>
                <w:b/>
              </w:rPr>
              <w:t>Remarks</w:t>
            </w:r>
          </w:p>
        </w:tc>
      </w:tr>
      <w:tr w:rsidR="00583601" w:rsidTr="00F452D9">
        <w:trPr>
          <w:trHeight w:val="305"/>
        </w:trPr>
        <w:tc>
          <w:tcPr>
            <w:tcW w:w="962" w:type="dxa"/>
          </w:tcPr>
          <w:p w:rsidR="00321482" w:rsidRDefault="006D11BF" w:rsidP="0027484F">
            <w:r>
              <w:t>OE</w:t>
            </w:r>
          </w:p>
        </w:tc>
        <w:tc>
          <w:tcPr>
            <w:tcW w:w="5266" w:type="dxa"/>
            <w:shd w:val="clear" w:color="auto" w:fill="auto"/>
          </w:tcPr>
          <w:p w:rsidR="000E3755" w:rsidRDefault="006D11BF" w:rsidP="0027484F">
            <w:r>
              <w:t>None</w:t>
            </w:r>
          </w:p>
        </w:tc>
        <w:tc>
          <w:tcPr>
            <w:tcW w:w="990" w:type="dxa"/>
            <w:shd w:val="clear" w:color="auto" w:fill="auto"/>
          </w:tcPr>
          <w:p w:rsidR="002454F1" w:rsidRDefault="006D11BF" w:rsidP="009334A8">
            <w:pPr>
              <w:jc w:val="center"/>
            </w:pPr>
            <w:r>
              <w:t>N/A</w:t>
            </w:r>
          </w:p>
        </w:tc>
        <w:tc>
          <w:tcPr>
            <w:tcW w:w="6678" w:type="dxa"/>
            <w:shd w:val="clear" w:color="auto" w:fill="auto"/>
          </w:tcPr>
          <w:p w:rsidR="0095124A" w:rsidRDefault="006D11BF" w:rsidP="0027484F">
            <w:r>
              <w:t>N/A</w:t>
            </w:r>
          </w:p>
        </w:tc>
      </w:tr>
      <w:tr w:rsidR="00AE7AD5" w:rsidTr="00F452D9">
        <w:trPr>
          <w:trHeight w:val="305"/>
        </w:trPr>
        <w:tc>
          <w:tcPr>
            <w:tcW w:w="962" w:type="dxa"/>
          </w:tcPr>
          <w:p w:rsidR="00AE7AD5" w:rsidRDefault="00AE7AD5" w:rsidP="0027484F">
            <w:r>
              <w:t>NRR #1</w:t>
            </w:r>
          </w:p>
        </w:tc>
        <w:tc>
          <w:tcPr>
            <w:tcW w:w="5266" w:type="dxa"/>
            <w:shd w:val="clear" w:color="auto" w:fill="auto"/>
          </w:tcPr>
          <w:p w:rsidR="00AE7AD5" w:rsidRDefault="00AE7AD5" w:rsidP="000F6D4B">
            <w:pPr>
              <w:jc w:val="both"/>
            </w:pPr>
            <w:r>
              <w:rPr>
                <w:rFonts w:cs="Arial"/>
              </w:rPr>
              <w:t xml:space="preserve">Licensees may voluntarily comply with the requirements of 50.69 as an alternative to compliance with 50.72 &amp; 50.73 for RISC-3 and RISC-4 SSCs.  Reports are not required under 50.69 for failures of RISC-3 and RISC-4 SSCs.  Systems that can be classified as RISC-3 SSCs are most likely currently in scope under 50.72 &amp; 50.73; as a result, failures of these systems would no longer be reported to the NRC.  I think here is where confusion can develop and may be worthy of concentrating an effort during an inspection:  50.69 </w:t>
            </w:r>
            <w:proofErr w:type="gramStart"/>
            <w:r>
              <w:rPr>
                <w:rFonts w:cs="Arial"/>
              </w:rPr>
              <w:t>does</w:t>
            </w:r>
            <w:proofErr w:type="gramEnd"/>
            <w:r>
              <w:rPr>
                <w:rFonts w:cs="Arial"/>
              </w:rPr>
              <w:t xml:space="preserve"> not alleviate 50.72 &amp; 50.73 reporting for RISC-1 and RISC-2 SSCs; it provides additional reporting requirements.  I think that there is a good potential for a licensee to mistakenly conclude that since a RISC-1 or RISC-2 failure is not reportable under 50.69, it is therefore not reportable </w:t>
            </w:r>
            <w:proofErr w:type="gramStart"/>
            <w:r>
              <w:rPr>
                <w:rFonts w:cs="Arial"/>
              </w:rPr>
              <w:t>under</w:t>
            </w:r>
            <w:proofErr w:type="gramEnd"/>
            <w:r>
              <w:rPr>
                <w:rFonts w:cs="Arial"/>
              </w:rPr>
              <w:t xml:space="preserve"> 50.72 or 50.73.  RISC-1 and RISC-2 failures need to be independently evaluated </w:t>
            </w:r>
            <w:proofErr w:type="gramStart"/>
            <w:r>
              <w:rPr>
                <w:rFonts w:cs="Arial"/>
              </w:rPr>
              <w:t>under</w:t>
            </w:r>
            <w:proofErr w:type="gramEnd"/>
            <w:r>
              <w:rPr>
                <w:rFonts w:cs="Arial"/>
              </w:rPr>
              <w:t xml:space="preserve"> 50.72 &amp; 50.73 for reporting.</w:t>
            </w:r>
          </w:p>
        </w:tc>
        <w:tc>
          <w:tcPr>
            <w:tcW w:w="990" w:type="dxa"/>
            <w:shd w:val="clear" w:color="auto" w:fill="auto"/>
          </w:tcPr>
          <w:p w:rsidR="00AE7AD5" w:rsidRDefault="009975EA" w:rsidP="000F6D4B">
            <w:pPr>
              <w:jc w:val="center"/>
            </w:pPr>
            <w:r>
              <w:t>Yes</w:t>
            </w:r>
          </w:p>
        </w:tc>
        <w:tc>
          <w:tcPr>
            <w:tcW w:w="6678" w:type="dxa"/>
            <w:shd w:val="clear" w:color="auto" w:fill="auto"/>
          </w:tcPr>
          <w:p w:rsidR="008E513C" w:rsidRDefault="009975EA" w:rsidP="000F6D4B">
            <w:pPr>
              <w:jc w:val="both"/>
            </w:pPr>
            <w:r>
              <w:t>The following will be added to par</w:t>
            </w:r>
            <w:r w:rsidR="00FD2BCC">
              <w:t>agraph 02.04.l Reporting:</w:t>
            </w:r>
          </w:p>
          <w:p w:rsidR="00FD2BCC" w:rsidRDefault="00FD2BCC" w:rsidP="000F6D4B">
            <w:pPr>
              <w:jc w:val="both"/>
            </w:pPr>
          </w:p>
          <w:p w:rsidR="008E513C" w:rsidRDefault="00FD2BCC" w:rsidP="000F6D4B">
            <w:pPr>
              <w:jc w:val="both"/>
            </w:pPr>
            <w:r>
              <w:t>For RISC-1 and -2 SSCs confirm the licensee is implementing reporting requirements not required by 10 CFR 50.69(g), i.e. 10 CFR part 21, 50.72, and 50.73 reporting requirements.  Only RISC-3 and -4 SSCs are exempt from 10 CFR part 21, 50.72, and 50.73 reporting requirements.</w:t>
            </w:r>
          </w:p>
          <w:p w:rsidR="00AE7AD5" w:rsidRDefault="009975EA" w:rsidP="000F6D4B">
            <w:pPr>
              <w:jc w:val="both"/>
            </w:pPr>
            <w:r>
              <w:t xml:space="preserve"> </w:t>
            </w:r>
          </w:p>
        </w:tc>
      </w:tr>
      <w:tr w:rsidR="00AE7AD5" w:rsidTr="00F452D9">
        <w:trPr>
          <w:trHeight w:val="305"/>
        </w:trPr>
        <w:tc>
          <w:tcPr>
            <w:tcW w:w="962" w:type="dxa"/>
          </w:tcPr>
          <w:p w:rsidR="00AE7AD5" w:rsidRDefault="00AE7AD5" w:rsidP="0027484F">
            <w:r>
              <w:t>NRR #2</w:t>
            </w:r>
          </w:p>
        </w:tc>
        <w:tc>
          <w:tcPr>
            <w:tcW w:w="5266" w:type="dxa"/>
            <w:shd w:val="clear" w:color="auto" w:fill="auto"/>
          </w:tcPr>
          <w:p w:rsidR="00AE7AD5" w:rsidRDefault="00AE7AD5" w:rsidP="000F6D4B">
            <w:pPr>
              <w:jc w:val="both"/>
              <w:rPr>
                <w:rFonts w:cs="Arial"/>
              </w:rPr>
            </w:pPr>
            <w:r>
              <w:rPr>
                <w:rFonts w:cs="Arial"/>
              </w:rPr>
              <w:t xml:space="preserve">50.69 states licensees shall submit a licensee event report under 50.73(b) for any event or condition that prevented, or would have prevented, a RISC-1 or RISC-2 SSC from performing a safety significant function.  We have spent way too much time in 50.72 &amp; 50.73 regarding what the threshold for "prevented, or would have prevented" is.  Unless this is explicitly called out </w:t>
            </w:r>
            <w:proofErr w:type="gramStart"/>
            <w:r>
              <w:rPr>
                <w:rFonts w:cs="Arial"/>
              </w:rPr>
              <w:t>in 50.69 guidance</w:t>
            </w:r>
            <w:proofErr w:type="gramEnd"/>
            <w:r>
              <w:rPr>
                <w:rFonts w:cs="Arial"/>
              </w:rPr>
              <w:t xml:space="preserve"> (the SOCs don't seem to go into that much detail), a lot of inspector and staff effort will be wasted in </w:t>
            </w:r>
            <w:r>
              <w:rPr>
                <w:rFonts w:cs="Arial"/>
              </w:rPr>
              <w:lastRenderedPageBreak/>
              <w:t>determining if an event or condition prevented, or would have prevented, a RISC-1 or RISC-2 SSC from performing a safety significant f</w:t>
            </w:r>
            <w:r w:rsidR="0041763C">
              <w:rPr>
                <w:rFonts w:cs="Arial"/>
              </w:rPr>
              <w:t>unction.</w:t>
            </w:r>
            <w:r>
              <w:rPr>
                <w:rFonts w:cs="Arial"/>
              </w:rPr>
              <w:t xml:space="preserve">  </w:t>
            </w:r>
          </w:p>
        </w:tc>
        <w:tc>
          <w:tcPr>
            <w:tcW w:w="990" w:type="dxa"/>
            <w:shd w:val="clear" w:color="auto" w:fill="auto"/>
          </w:tcPr>
          <w:p w:rsidR="00AE7AD5" w:rsidRDefault="00FD2BCC" w:rsidP="000F6D4B">
            <w:pPr>
              <w:jc w:val="center"/>
            </w:pPr>
            <w:r>
              <w:lastRenderedPageBreak/>
              <w:t>Yes</w:t>
            </w:r>
          </w:p>
        </w:tc>
        <w:tc>
          <w:tcPr>
            <w:tcW w:w="6678" w:type="dxa"/>
            <w:shd w:val="clear" w:color="auto" w:fill="auto"/>
          </w:tcPr>
          <w:p w:rsidR="00AE7AD5" w:rsidRDefault="00FD2BCC" w:rsidP="000F6D4B">
            <w:pPr>
              <w:jc w:val="both"/>
            </w:pPr>
            <w:r>
              <w:t>See remarks for NRR #1 for resolution.</w:t>
            </w:r>
          </w:p>
        </w:tc>
      </w:tr>
      <w:tr w:rsidR="00EB3A22" w:rsidTr="00F452D9">
        <w:trPr>
          <w:trHeight w:val="305"/>
        </w:trPr>
        <w:tc>
          <w:tcPr>
            <w:tcW w:w="962" w:type="dxa"/>
          </w:tcPr>
          <w:p w:rsidR="00EB3A22" w:rsidRDefault="00EB3A22" w:rsidP="00E02E3A">
            <w:r>
              <w:lastRenderedPageBreak/>
              <w:t>NRR #3</w:t>
            </w:r>
          </w:p>
        </w:tc>
        <w:tc>
          <w:tcPr>
            <w:tcW w:w="5266" w:type="dxa"/>
            <w:shd w:val="clear" w:color="auto" w:fill="auto"/>
          </w:tcPr>
          <w:p w:rsidR="00EB3A22" w:rsidRDefault="00EB3A22" w:rsidP="000F6D4B">
            <w:pPr>
              <w:jc w:val="both"/>
            </w:pPr>
            <w:r>
              <w:t xml:space="preserve">In Section 02.01 on page 2, second paragraph, last sentence, delete the extraneous </w:t>
            </w:r>
            <w:proofErr w:type="gramStart"/>
            <w:r>
              <w:t>phrase  “</w:t>
            </w:r>
            <w:proofErr w:type="gramEnd"/>
            <w:r>
              <w:t xml:space="preserve">. . . </w:t>
            </w:r>
            <w:r w:rsidRPr="00EA5C22">
              <w:rPr>
                <w:b/>
                <w:u w:val="single"/>
              </w:rPr>
              <w:t>the NRC developed</w:t>
            </w:r>
            <w:r>
              <w:t xml:space="preserve"> . . . “.</w:t>
            </w:r>
          </w:p>
        </w:tc>
        <w:tc>
          <w:tcPr>
            <w:tcW w:w="990" w:type="dxa"/>
            <w:shd w:val="clear" w:color="auto" w:fill="auto"/>
          </w:tcPr>
          <w:p w:rsidR="00EB3A22" w:rsidRDefault="00044051" w:rsidP="000F6D4B">
            <w:pPr>
              <w:jc w:val="center"/>
            </w:pPr>
            <w:r>
              <w:t>Yes</w:t>
            </w:r>
          </w:p>
        </w:tc>
        <w:tc>
          <w:tcPr>
            <w:tcW w:w="6678" w:type="dxa"/>
            <w:shd w:val="clear" w:color="auto" w:fill="auto"/>
          </w:tcPr>
          <w:p w:rsidR="00EB3A22" w:rsidRDefault="00044051" w:rsidP="000F6D4B">
            <w:pPr>
              <w:jc w:val="both"/>
            </w:pPr>
            <w:r>
              <w:t>Concur with editorial comment</w:t>
            </w:r>
          </w:p>
        </w:tc>
      </w:tr>
      <w:tr w:rsidR="00EB3A22" w:rsidTr="00F452D9">
        <w:trPr>
          <w:trHeight w:val="305"/>
        </w:trPr>
        <w:tc>
          <w:tcPr>
            <w:tcW w:w="962" w:type="dxa"/>
          </w:tcPr>
          <w:p w:rsidR="00EB3A22" w:rsidRDefault="00EB3A22" w:rsidP="00E02E3A">
            <w:r>
              <w:t>NRR #4</w:t>
            </w:r>
          </w:p>
        </w:tc>
        <w:tc>
          <w:tcPr>
            <w:tcW w:w="5266" w:type="dxa"/>
            <w:shd w:val="clear" w:color="auto" w:fill="auto"/>
          </w:tcPr>
          <w:p w:rsidR="00EB3A22" w:rsidRDefault="00EB3A22" w:rsidP="000F6D4B">
            <w:pPr>
              <w:jc w:val="both"/>
            </w:pPr>
            <w:r>
              <w:t xml:space="preserve">In Section 02.02.a on page 4, the sentence should read </w:t>
            </w:r>
            <w:proofErr w:type="gramStart"/>
            <w:r>
              <w:t>“ .</w:t>
            </w:r>
            <w:proofErr w:type="gramEnd"/>
            <w:r>
              <w:t xml:space="preserve"> . . safety evaluation </w:t>
            </w:r>
            <w:r w:rsidRPr="007F695E">
              <w:rPr>
                <w:b/>
                <w:u w:val="single"/>
              </w:rPr>
              <w:t>of</w:t>
            </w:r>
            <w:r>
              <w:t xml:space="preserve"> the license amendment application.”</w:t>
            </w:r>
          </w:p>
        </w:tc>
        <w:tc>
          <w:tcPr>
            <w:tcW w:w="990" w:type="dxa"/>
            <w:shd w:val="clear" w:color="auto" w:fill="auto"/>
          </w:tcPr>
          <w:p w:rsidR="00EB3A22" w:rsidRDefault="00044051" w:rsidP="000F6D4B">
            <w:pPr>
              <w:jc w:val="center"/>
            </w:pPr>
            <w:r>
              <w:t>Yes</w:t>
            </w:r>
          </w:p>
        </w:tc>
        <w:tc>
          <w:tcPr>
            <w:tcW w:w="6678" w:type="dxa"/>
            <w:shd w:val="clear" w:color="auto" w:fill="auto"/>
          </w:tcPr>
          <w:p w:rsidR="00EB3A22" w:rsidRDefault="00044051" w:rsidP="000F6D4B">
            <w:pPr>
              <w:jc w:val="both"/>
            </w:pPr>
            <w:r>
              <w:t>Concur with editorial comment</w:t>
            </w:r>
          </w:p>
        </w:tc>
      </w:tr>
      <w:tr w:rsidR="00EB3A22" w:rsidTr="00F452D9">
        <w:trPr>
          <w:trHeight w:val="305"/>
        </w:trPr>
        <w:tc>
          <w:tcPr>
            <w:tcW w:w="962" w:type="dxa"/>
          </w:tcPr>
          <w:p w:rsidR="00EB3A22" w:rsidRDefault="00EB3A22" w:rsidP="00E02E3A">
            <w:r>
              <w:t>NRR #5</w:t>
            </w:r>
          </w:p>
        </w:tc>
        <w:tc>
          <w:tcPr>
            <w:tcW w:w="5266" w:type="dxa"/>
            <w:shd w:val="clear" w:color="auto" w:fill="auto"/>
          </w:tcPr>
          <w:p w:rsidR="00EB3A22" w:rsidRDefault="00EB3A22" w:rsidP="000F6D4B">
            <w:pPr>
              <w:jc w:val="both"/>
            </w:pPr>
            <w:r>
              <w:t xml:space="preserve">In Section 02.02.b on page 4, we may consider deleting the phrase </w:t>
            </w:r>
            <w:proofErr w:type="gramStart"/>
            <w:r>
              <w:t>“ .</w:t>
            </w:r>
            <w:proofErr w:type="gramEnd"/>
            <w:r>
              <w:t xml:space="preserve"> . . </w:t>
            </w:r>
            <w:r w:rsidRPr="00EA5C22">
              <w:rPr>
                <w:b/>
                <w:u w:val="single"/>
              </w:rPr>
              <w:t>and the approval by the NRC as documented in the SER</w:t>
            </w:r>
            <w:r>
              <w:t>” since it is not clear at this time whether the LAR will contain a discrete description of the alternate treatments.</w:t>
            </w:r>
          </w:p>
        </w:tc>
        <w:tc>
          <w:tcPr>
            <w:tcW w:w="990" w:type="dxa"/>
            <w:shd w:val="clear" w:color="auto" w:fill="auto"/>
          </w:tcPr>
          <w:p w:rsidR="00EB3A22" w:rsidRDefault="007C7AAC" w:rsidP="000F6D4B">
            <w:pPr>
              <w:jc w:val="center"/>
            </w:pPr>
            <w:r>
              <w:t>Yes</w:t>
            </w:r>
          </w:p>
        </w:tc>
        <w:tc>
          <w:tcPr>
            <w:tcW w:w="6678" w:type="dxa"/>
            <w:shd w:val="clear" w:color="auto" w:fill="auto"/>
          </w:tcPr>
          <w:p w:rsidR="00EB3A22" w:rsidRDefault="007C7AAC" w:rsidP="007C7AAC">
            <w:pPr>
              <w:jc w:val="both"/>
            </w:pPr>
            <w:r>
              <w:t xml:space="preserve">Concur with comment and deleted the reference to UFSAR chapter that describes the licensee’s risk-informed treatment requirements approved by the NRC.  </w:t>
            </w:r>
          </w:p>
        </w:tc>
      </w:tr>
      <w:tr w:rsidR="00EB3A22" w:rsidTr="00F452D9">
        <w:trPr>
          <w:trHeight w:val="305"/>
        </w:trPr>
        <w:tc>
          <w:tcPr>
            <w:tcW w:w="962" w:type="dxa"/>
          </w:tcPr>
          <w:p w:rsidR="00EB3A22" w:rsidRDefault="00EB3A22" w:rsidP="00E02E3A">
            <w:r>
              <w:t>NRR #6</w:t>
            </w:r>
          </w:p>
        </w:tc>
        <w:tc>
          <w:tcPr>
            <w:tcW w:w="5266" w:type="dxa"/>
            <w:shd w:val="clear" w:color="auto" w:fill="auto"/>
          </w:tcPr>
          <w:p w:rsidR="00EB3A22" w:rsidRDefault="00EB3A22" w:rsidP="000F6D4B">
            <w:pPr>
              <w:jc w:val="both"/>
            </w:pPr>
            <w:r>
              <w:t xml:space="preserve">In Section 02.03.a on page 5, second paragraph, </w:t>
            </w:r>
            <w:proofErr w:type="gramStart"/>
            <w:r>
              <w:t>second</w:t>
            </w:r>
            <w:proofErr w:type="gramEnd"/>
            <w:r>
              <w:t xml:space="preserve"> sentence should read “</w:t>
            </w:r>
            <w:r w:rsidRPr="00EA5C22">
              <w:rPr>
                <w:b/>
                <w:u w:val="single"/>
              </w:rPr>
              <w:t>A</w:t>
            </w:r>
            <w:r>
              <w:t xml:space="preserve"> licensee will submit . . . . </w:t>
            </w:r>
            <w:proofErr w:type="gramStart"/>
            <w:r>
              <w:t>the</w:t>
            </w:r>
            <w:proofErr w:type="gramEnd"/>
            <w:r>
              <w:t xml:space="preserve"> information required by 10 CFR 50.69</w:t>
            </w:r>
            <w:r w:rsidRPr="00EA5C22">
              <w:rPr>
                <w:b/>
                <w:u w:val="single"/>
              </w:rPr>
              <w:t>(b)</w:t>
            </w:r>
            <w:r>
              <w:t>(2)“.</w:t>
            </w:r>
          </w:p>
        </w:tc>
        <w:tc>
          <w:tcPr>
            <w:tcW w:w="990" w:type="dxa"/>
            <w:shd w:val="clear" w:color="auto" w:fill="auto"/>
          </w:tcPr>
          <w:p w:rsidR="00EB3A22" w:rsidRDefault="00044051" w:rsidP="000F6D4B">
            <w:pPr>
              <w:jc w:val="center"/>
            </w:pPr>
            <w:r>
              <w:t>Yes</w:t>
            </w:r>
          </w:p>
        </w:tc>
        <w:tc>
          <w:tcPr>
            <w:tcW w:w="6678" w:type="dxa"/>
            <w:shd w:val="clear" w:color="auto" w:fill="auto"/>
          </w:tcPr>
          <w:p w:rsidR="00EB3A22" w:rsidRDefault="00044051" w:rsidP="000F6D4B">
            <w:pPr>
              <w:jc w:val="both"/>
            </w:pPr>
            <w:r>
              <w:t>Concur with editorial comment</w:t>
            </w:r>
          </w:p>
        </w:tc>
      </w:tr>
      <w:tr w:rsidR="00EB3A22" w:rsidTr="00F452D9">
        <w:trPr>
          <w:trHeight w:val="305"/>
        </w:trPr>
        <w:tc>
          <w:tcPr>
            <w:tcW w:w="962" w:type="dxa"/>
          </w:tcPr>
          <w:p w:rsidR="00EB3A22" w:rsidRDefault="00EB3A22" w:rsidP="00E02E3A">
            <w:r>
              <w:t>NRR #7</w:t>
            </w:r>
          </w:p>
        </w:tc>
        <w:tc>
          <w:tcPr>
            <w:tcW w:w="5266" w:type="dxa"/>
            <w:shd w:val="clear" w:color="auto" w:fill="auto"/>
          </w:tcPr>
          <w:p w:rsidR="00EB3A22" w:rsidRDefault="00EB3A22" w:rsidP="000F6D4B">
            <w:pPr>
              <w:jc w:val="both"/>
            </w:pPr>
            <w:r>
              <w:t>In Section 02.03.h on page 9, second paragraph, we may consider deleting the last sentence since it is not clear at this time whether the LAR will contain a discrete description of RISC-1 and RISC-2 treatments.</w:t>
            </w:r>
          </w:p>
        </w:tc>
        <w:tc>
          <w:tcPr>
            <w:tcW w:w="990" w:type="dxa"/>
            <w:shd w:val="clear" w:color="auto" w:fill="auto"/>
          </w:tcPr>
          <w:p w:rsidR="00EB3A22" w:rsidRDefault="003A6B25" w:rsidP="000F6D4B">
            <w:pPr>
              <w:jc w:val="center"/>
            </w:pPr>
            <w:r>
              <w:t>Yes</w:t>
            </w:r>
          </w:p>
        </w:tc>
        <w:tc>
          <w:tcPr>
            <w:tcW w:w="6678" w:type="dxa"/>
            <w:shd w:val="clear" w:color="auto" w:fill="auto"/>
          </w:tcPr>
          <w:p w:rsidR="00EB3A22" w:rsidRDefault="003A6B25" w:rsidP="000F6D4B">
            <w:pPr>
              <w:jc w:val="both"/>
            </w:pPr>
            <w:r>
              <w:t>Concur with the comments and have deleted the last sentence.</w:t>
            </w:r>
          </w:p>
        </w:tc>
      </w:tr>
      <w:tr w:rsidR="00EB3A22" w:rsidTr="00F452D9">
        <w:trPr>
          <w:trHeight w:val="305"/>
        </w:trPr>
        <w:tc>
          <w:tcPr>
            <w:tcW w:w="962" w:type="dxa"/>
          </w:tcPr>
          <w:p w:rsidR="00EB3A22" w:rsidRDefault="00EB3A22" w:rsidP="00E02E3A">
            <w:r>
              <w:t>NRR #8</w:t>
            </w:r>
          </w:p>
        </w:tc>
        <w:tc>
          <w:tcPr>
            <w:tcW w:w="5266" w:type="dxa"/>
            <w:shd w:val="clear" w:color="auto" w:fill="auto"/>
          </w:tcPr>
          <w:p w:rsidR="00EB3A22" w:rsidRDefault="00EB3A22" w:rsidP="000F6D4B">
            <w:pPr>
              <w:jc w:val="both"/>
            </w:pPr>
            <w:r>
              <w:t xml:space="preserve">In Section 37060-03, Resource Estimate, second paragraph, reword first sentence to read, “The time necessary to perform this IP is estimated at 40 to 80 hours </w:t>
            </w:r>
            <w:r w:rsidRPr="009137F5">
              <w:rPr>
                <w:b/>
                <w:u w:val="single"/>
              </w:rPr>
              <w:t>per team member</w:t>
            </w:r>
            <w:r>
              <w:t>.”  This will clarify for budget purposes that the total effort is 120 – 240 hours.</w:t>
            </w:r>
          </w:p>
        </w:tc>
        <w:tc>
          <w:tcPr>
            <w:tcW w:w="990" w:type="dxa"/>
            <w:shd w:val="clear" w:color="auto" w:fill="auto"/>
          </w:tcPr>
          <w:p w:rsidR="00EB3A22" w:rsidRDefault="004A38B7" w:rsidP="000F6D4B">
            <w:pPr>
              <w:jc w:val="center"/>
            </w:pPr>
            <w:r>
              <w:t>Yes</w:t>
            </w:r>
          </w:p>
        </w:tc>
        <w:tc>
          <w:tcPr>
            <w:tcW w:w="6678" w:type="dxa"/>
            <w:shd w:val="clear" w:color="auto" w:fill="auto"/>
          </w:tcPr>
          <w:p w:rsidR="00EB3A22" w:rsidRDefault="004A38B7" w:rsidP="000F6D4B">
            <w:pPr>
              <w:jc w:val="both"/>
            </w:pPr>
            <w:r>
              <w:t>Concur with editorial comment</w:t>
            </w:r>
          </w:p>
        </w:tc>
      </w:tr>
      <w:tr w:rsidR="000A5E6A" w:rsidTr="00F452D9">
        <w:trPr>
          <w:trHeight w:val="305"/>
        </w:trPr>
        <w:tc>
          <w:tcPr>
            <w:tcW w:w="962" w:type="dxa"/>
          </w:tcPr>
          <w:p w:rsidR="000A5E6A" w:rsidRDefault="000A5E6A" w:rsidP="00E02E3A">
            <w:r>
              <w:t>NRO #1</w:t>
            </w:r>
          </w:p>
        </w:tc>
        <w:tc>
          <w:tcPr>
            <w:tcW w:w="5266" w:type="dxa"/>
            <w:shd w:val="clear" w:color="auto" w:fill="auto"/>
          </w:tcPr>
          <w:p w:rsidR="000A5E6A" w:rsidRDefault="000A5E6A" w:rsidP="000F6D4B">
            <w:pPr>
              <w:jc w:val="both"/>
            </w:pPr>
            <w:r>
              <w:t>Various editorial comments</w:t>
            </w:r>
          </w:p>
        </w:tc>
        <w:tc>
          <w:tcPr>
            <w:tcW w:w="990" w:type="dxa"/>
            <w:shd w:val="clear" w:color="auto" w:fill="auto"/>
          </w:tcPr>
          <w:p w:rsidR="000A5E6A" w:rsidRDefault="000A5E6A" w:rsidP="000F6D4B">
            <w:pPr>
              <w:jc w:val="center"/>
            </w:pPr>
            <w:r>
              <w:t>Yes</w:t>
            </w:r>
          </w:p>
        </w:tc>
        <w:tc>
          <w:tcPr>
            <w:tcW w:w="6678" w:type="dxa"/>
            <w:shd w:val="clear" w:color="auto" w:fill="auto"/>
          </w:tcPr>
          <w:p w:rsidR="000A5E6A" w:rsidRDefault="000A5E6A" w:rsidP="000F6D4B">
            <w:pPr>
              <w:jc w:val="both"/>
            </w:pPr>
            <w:r>
              <w:t>Concur with editorial comments.</w:t>
            </w:r>
          </w:p>
        </w:tc>
      </w:tr>
      <w:tr w:rsidR="000A5E6A" w:rsidTr="00F452D9">
        <w:trPr>
          <w:trHeight w:val="305"/>
        </w:trPr>
        <w:tc>
          <w:tcPr>
            <w:tcW w:w="962" w:type="dxa"/>
          </w:tcPr>
          <w:p w:rsidR="000A5E6A" w:rsidRDefault="000A5E6A" w:rsidP="00E02E3A">
            <w:r>
              <w:t>NRO #2</w:t>
            </w:r>
          </w:p>
        </w:tc>
        <w:tc>
          <w:tcPr>
            <w:tcW w:w="5266" w:type="dxa"/>
            <w:shd w:val="clear" w:color="auto" w:fill="auto"/>
          </w:tcPr>
          <w:p w:rsidR="000A5E6A" w:rsidRDefault="000A5E6A" w:rsidP="000F6D4B">
            <w:pPr>
              <w:jc w:val="both"/>
            </w:pPr>
            <w:r>
              <w:t>Paragraph 02.01.</w:t>
            </w:r>
          </w:p>
          <w:p w:rsidR="000A5E6A" w:rsidRDefault="000A5E6A" w:rsidP="000F6D4B">
            <w:pPr>
              <w:jc w:val="both"/>
            </w:pPr>
          </w:p>
          <w:p w:rsidR="000A5E6A" w:rsidRDefault="000A5E6A" w:rsidP="000F6D4B">
            <w:pPr>
              <w:jc w:val="both"/>
            </w:pPr>
            <w:r>
              <w:t>Comment:  Insert before the last paragraph;</w:t>
            </w:r>
          </w:p>
          <w:p w:rsidR="000A5E6A" w:rsidRDefault="000A5E6A" w:rsidP="000F6D4B">
            <w:pPr>
              <w:jc w:val="both"/>
            </w:pPr>
          </w:p>
          <w:p w:rsidR="000A5E6A" w:rsidRDefault="000A5E6A" w:rsidP="000F6D4B">
            <w:pPr>
              <w:jc w:val="both"/>
            </w:pPr>
            <w:r w:rsidRPr="000A5E6A">
              <w:rPr>
                <w:rFonts w:cs="Arial"/>
              </w:rPr>
              <w:t xml:space="preserve">In the final rule dated November 22, 2004 (69 FR </w:t>
            </w:r>
            <w:r w:rsidRPr="000A5E6A">
              <w:rPr>
                <w:rFonts w:cs="Arial"/>
              </w:rPr>
              <w:lastRenderedPageBreak/>
              <w:t xml:space="preserve">68008) issuing 10 CFR 50.69, the Commission discussed in the Statements of Consideration its plans for inspection and enforcement related to implementation of the rule.  For example on pp. 68012 and 68044 of the </w:t>
            </w:r>
            <w:r w:rsidRPr="000A5E6A">
              <w:rPr>
                <w:rFonts w:cs="Arial"/>
                <w:i/>
              </w:rPr>
              <w:t>Federal Register</w:t>
            </w:r>
            <w:r w:rsidRPr="000A5E6A">
              <w:rPr>
                <w:rFonts w:cs="Arial"/>
              </w:rPr>
              <w:t xml:space="preserve"> Notice, </w:t>
            </w:r>
            <w:r>
              <w:rPr>
                <w:rFonts w:cs="Arial"/>
              </w:rPr>
              <w:t>the Commission stated that the principal focus of the inspections will be on the safety significant aspects of 10 CFR 50.69 implementation, such as categorization and treatment of RISC-1 and RISC-2 SSCs.  The Commission stated that the inspections will also consider the implementation of RISC-3 treatment focusing on programmatic and common cause issues, which could undermine the categorization process and its results.  The inspections will be performed on a sampling basis to gather information that will enable the NRC to assess whether modifications are needed to the ongoing baseline inspection program.  The Commission noted that the inspections might help gather operating experience information on RISC-3 SSCs that can be provided to other licensees.</w:t>
            </w:r>
          </w:p>
        </w:tc>
        <w:tc>
          <w:tcPr>
            <w:tcW w:w="990" w:type="dxa"/>
            <w:shd w:val="clear" w:color="auto" w:fill="auto"/>
          </w:tcPr>
          <w:p w:rsidR="000A5E6A" w:rsidRDefault="003A6B25" w:rsidP="000F6D4B">
            <w:pPr>
              <w:jc w:val="center"/>
            </w:pPr>
            <w:r>
              <w:lastRenderedPageBreak/>
              <w:t>No</w:t>
            </w:r>
          </w:p>
        </w:tc>
        <w:tc>
          <w:tcPr>
            <w:tcW w:w="6678" w:type="dxa"/>
            <w:shd w:val="clear" w:color="auto" w:fill="auto"/>
          </w:tcPr>
          <w:p w:rsidR="000A5E6A" w:rsidRDefault="003A6B25" w:rsidP="003A6B25">
            <w:pPr>
              <w:jc w:val="both"/>
            </w:pPr>
            <w:r>
              <w:t xml:space="preserve">Comment not incorporated.   All these expectations:  focusing on risk significant issues, ensuring that the rule resulted in no unintended consequences, looking for common cause type of problems are all part of the current ROP program so there is no need to state it here. </w:t>
            </w:r>
          </w:p>
        </w:tc>
      </w:tr>
      <w:tr w:rsidR="000A5E6A" w:rsidTr="00F452D9">
        <w:trPr>
          <w:trHeight w:val="305"/>
        </w:trPr>
        <w:tc>
          <w:tcPr>
            <w:tcW w:w="962" w:type="dxa"/>
          </w:tcPr>
          <w:p w:rsidR="000A5E6A" w:rsidRDefault="000A5E6A" w:rsidP="00E02E3A">
            <w:r>
              <w:lastRenderedPageBreak/>
              <w:t>NRO #3</w:t>
            </w:r>
          </w:p>
        </w:tc>
        <w:tc>
          <w:tcPr>
            <w:tcW w:w="5266" w:type="dxa"/>
            <w:shd w:val="clear" w:color="auto" w:fill="auto"/>
          </w:tcPr>
          <w:p w:rsidR="000A5E6A" w:rsidRDefault="000A5E6A" w:rsidP="000F6D4B">
            <w:pPr>
              <w:jc w:val="both"/>
            </w:pPr>
            <w:r>
              <w:t>Paragraph 02.02.c</w:t>
            </w:r>
          </w:p>
          <w:p w:rsidR="000A5E6A" w:rsidRDefault="000A5E6A" w:rsidP="000F6D4B">
            <w:pPr>
              <w:jc w:val="both"/>
            </w:pPr>
          </w:p>
          <w:p w:rsidR="000A5E6A" w:rsidRDefault="000A5E6A" w:rsidP="000F6D4B">
            <w:pPr>
              <w:jc w:val="both"/>
            </w:pPr>
            <w:r>
              <w:t>Comment:  Reword paragraph 02.02.c as follows:</w:t>
            </w:r>
          </w:p>
          <w:p w:rsidR="000A5E6A" w:rsidRDefault="000A5E6A" w:rsidP="000F6D4B">
            <w:pPr>
              <w:jc w:val="both"/>
            </w:pPr>
          </w:p>
          <w:p w:rsidR="000A5E6A" w:rsidRDefault="000A5E6A" w:rsidP="000F6D4B">
            <w:pPr>
              <w:spacing w:line="240" w:lineRule="atLeast"/>
              <w:jc w:val="both"/>
            </w:pPr>
            <w:r w:rsidRPr="000A5E6A">
              <w:rPr>
                <w:i/>
              </w:rPr>
              <w:t xml:space="preserve">Federal Register </w:t>
            </w:r>
            <w:r w:rsidRPr="000A5E6A">
              <w:rPr>
                <w:rFonts w:cs="Arial"/>
              </w:rPr>
              <w:t>Notice (69 FR 68008, dated November 22, 2004</w:t>
            </w:r>
            <w:proofErr w:type="gramStart"/>
            <w:r w:rsidRPr="000A5E6A">
              <w:rPr>
                <w:rFonts w:cs="Arial"/>
              </w:rPr>
              <w:t>)–</w:t>
            </w:r>
            <w:proofErr w:type="gramEnd"/>
            <w:r w:rsidRPr="000A5E6A">
              <w:rPr>
                <w:rFonts w:cs="Arial"/>
              </w:rPr>
              <w:t xml:space="preserve"> Risk-Informed Categorization and Treatment of Structures, Systems and Components for Nuclear Power Plants (</w:t>
            </w:r>
            <w:proofErr w:type="spellStart"/>
            <w:r w:rsidRPr="000A5E6A">
              <w:rPr>
                <w:rFonts w:cs="Arial"/>
              </w:rPr>
              <w:t>Agencywide</w:t>
            </w:r>
            <w:proofErr w:type="spellEnd"/>
            <w:r w:rsidRPr="000A5E6A">
              <w:rPr>
                <w:rFonts w:cs="Arial"/>
              </w:rPr>
              <w:t xml:space="preserve"> Documents Access and Management System (ADAMS) Accession No. ML042960073).</w:t>
            </w:r>
          </w:p>
        </w:tc>
        <w:tc>
          <w:tcPr>
            <w:tcW w:w="990" w:type="dxa"/>
            <w:shd w:val="clear" w:color="auto" w:fill="auto"/>
          </w:tcPr>
          <w:p w:rsidR="000A5E6A" w:rsidRDefault="000A5E6A" w:rsidP="000F6D4B">
            <w:pPr>
              <w:jc w:val="center"/>
            </w:pPr>
            <w:r>
              <w:t>Yes</w:t>
            </w:r>
          </w:p>
        </w:tc>
        <w:tc>
          <w:tcPr>
            <w:tcW w:w="6678" w:type="dxa"/>
            <w:shd w:val="clear" w:color="auto" w:fill="auto"/>
          </w:tcPr>
          <w:p w:rsidR="000A5E6A" w:rsidRDefault="000A5E6A" w:rsidP="000F6D4B">
            <w:pPr>
              <w:jc w:val="both"/>
            </w:pPr>
            <w:r>
              <w:t>Concur with comment</w:t>
            </w:r>
            <w:r w:rsidR="00762EFF">
              <w:t>.</w:t>
            </w:r>
          </w:p>
        </w:tc>
      </w:tr>
      <w:tr w:rsidR="00762EFF" w:rsidTr="00F452D9">
        <w:trPr>
          <w:trHeight w:val="305"/>
        </w:trPr>
        <w:tc>
          <w:tcPr>
            <w:tcW w:w="962" w:type="dxa"/>
          </w:tcPr>
          <w:p w:rsidR="00762EFF" w:rsidRDefault="00762EFF" w:rsidP="00E02E3A">
            <w:r>
              <w:t>NRO #3</w:t>
            </w:r>
          </w:p>
        </w:tc>
        <w:tc>
          <w:tcPr>
            <w:tcW w:w="5266" w:type="dxa"/>
            <w:shd w:val="clear" w:color="auto" w:fill="auto"/>
          </w:tcPr>
          <w:p w:rsidR="00762EFF" w:rsidRDefault="00762EFF" w:rsidP="000F6D4B">
            <w:pPr>
              <w:jc w:val="both"/>
            </w:pPr>
            <w:r>
              <w:t>Paragraph 02.02 last sentence of the last paragraph rewrite as follows:</w:t>
            </w:r>
          </w:p>
          <w:p w:rsidR="00762EFF" w:rsidRDefault="00762EFF" w:rsidP="000F6D4B">
            <w:pPr>
              <w:jc w:val="both"/>
            </w:pPr>
          </w:p>
          <w:p w:rsidR="00762EFF" w:rsidRPr="00762EFF" w:rsidRDefault="00762EFF" w:rsidP="000F6D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cs="Arial"/>
              </w:rPr>
            </w:pPr>
            <w:r>
              <w:rPr>
                <w:rFonts w:cs="Arial"/>
              </w:rPr>
              <w:t xml:space="preserve">In addition, the American Society of Mechanical Engineers (ASME) has prepared guidance for the </w:t>
            </w:r>
            <w:r>
              <w:rPr>
                <w:rFonts w:cs="Arial"/>
              </w:rPr>
              <w:lastRenderedPageBreak/>
              <w:t xml:space="preserve">treatment of low-risk safety-related pumps and valves in Part 29, “Alternative Treatment Requirements for RISC-3 Pumps and Valves,” of the ASME OM Standards and Guides for the ASME </w:t>
            </w:r>
            <w:r w:rsidRPr="006360ED">
              <w:rPr>
                <w:rFonts w:cs="Arial"/>
                <w:i/>
              </w:rPr>
              <w:t>Code for Operation and Maintenance of Nuclear Power Plants</w:t>
            </w:r>
            <w:r>
              <w:rPr>
                <w:rFonts w:cs="Arial"/>
              </w:rPr>
              <w:t xml:space="preserve"> (OM Code), although the NRC staff has not reviewed or accepted the ASME guidance at this time.</w:t>
            </w:r>
          </w:p>
        </w:tc>
        <w:tc>
          <w:tcPr>
            <w:tcW w:w="990" w:type="dxa"/>
            <w:shd w:val="clear" w:color="auto" w:fill="auto"/>
          </w:tcPr>
          <w:p w:rsidR="00762EFF" w:rsidRDefault="00762EFF" w:rsidP="000F6D4B">
            <w:pPr>
              <w:jc w:val="center"/>
            </w:pPr>
            <w:r>
              <w:lastRenderedPageBreak/>
              <w:t>Yes</w:t>
            </w:r>
          </w:p>
        </w:tc>
        <w:tc>
          <w:tcPr>
            <w:tcW w:w="6678" w:type="dxa"/>
            <w:shd w:val="clear" w:color="auto" w:fill="auto"/>
          </w:tcPr>
          <w:p w:rsidR="00762EFF" w:rsidRDefault="00762EFF" w:rsidP="000F6D4B">
            <w:pPr>
              <w:jc w:val="both"/>
            </w:pPr>
            <w:r>
              <w:t>Concur with comment</w:t>
            </w:r>
          </w:p>
        </w:tc>
      </w:tr>
      <w:tr w:rsidR="00762EFF" w:rsidTr="00F452D9">
        <w:trPr>
          <w:trHeight w:val="305"/>
        </w:trPr>
        <w:tc>
          <w:tcPr>
            <w:tcW w:w="962" w:type="dxa"/>
          </w:tcPr>
          <w:p w:rsidR="00762EFF" w:rsidRDefault="00762EFF" w:rsidP="00E02E3A">
            <w:r>
              <w:lastRenderedPageBreak/>
              <w:t>NRO #4</w:t>
            </w:r>
          </w:p>
        </w:tc>
        <w:tc>
          <w:tcPr>
            <w:tcW w:w="5266" w:type="dxa"/>
            <w:shd w:val="clear" w:color="auto" w:fill="auto"/>
          </w:tcPr>
          <w:p w:rsidR="00762EFF" w:rsidRDefault="00762EFF" w:rsidP="000F6D4B">
            <w:pPr>
              <w:jc w:val="both"/>
            </w:pPr>
            <w:r>
              <w:t>Paragraph 02.04.a through l.</w:t>
            </w:r>
          </w:p>
          <w:p w:rsidR="00762EFF" w:rsidRDefault="00762EFF" w:rsidP="000F6D4B">
            <w:pPr>
              <w:jc w:val="both"/>
            </w:pPr>
          </w:p>
          <w:p w:rsidR="00762EFF" w:rsidRDefault="00762EFF" w:rsidP="000F6D4B">
            <w:pPr>
              <w:jc w:val="both"/>
            </w:pPr>
            <w:r>
              <w:t xml:space="preserve">Comment:  State the associate page of the </w:t>
            </w:r>
            <w:r w:rsidRPr="000A5E6A">
              <w:rPr>
                <w:i/>
              </w:rPr>
              <w:t xml:space="preserve">Federal Register </w:t>
            </w:r>
            <w:r w:rsidRPr="000A5E6A">
              <w:rPr>
                <w:rFonts w:cs="Arial"/>
              </w:rPr>
              <w:t>Notice (69 FR 68008, dated November 22, 2004)– Risk-Informed Categorization and Treatment of Structures, Systems and Components for Nuclear Power Plants</w:t>
            </w:r>
            <w:r>
              <w:rPr>
                <w:rFonts w:cs="Arial"/>
              </w:rPr>
              <w:t xml:space="preserve"> for each paragraph.</w:t>
            </w:r>
          </w:p>
        </w:tc>
        <w:tc>
          <w:tcPr>
            <w:tcW w:w="990" w:type="dxa"/>
            <w:shd w:val="clear" w:color="auto" w:fill="auto"/>
          </w:tcPr>
          <w:p w:rsidR="00762EFF" w:rsidRDefault="00762EFF" w:rsidP="000F6D4B">
            <w:pPr>
              <w:jc w:val="center"/>
            </w:pPr>
            <w:r>
              <w:t>Yes</w:t>
            </w:r>
          </w:p>
        </w:tc>
        <w:tc>
          <w:tcPr>
            <w:tcW w:w="6678" w:type="dxa"/>
            <w:shd w:val="clear" w:color="auto" w:fill="auto"/>
          </w:tcPr>
          <w:p w:rsidR="00762EFF" w:rsidRDefault="00762EFF" w:rsidP="000F6D4B">
            <w:pPr>
              <w:jc w:val="both"/>
            </w:pPr>
            <w:r>
              <w:t>Concur with comment.</w:t>
            </w:r>
          </w:p>
        </w:tc>
      </w:tr>
      <w:tr w:rsidR="00FF6589" w:rsidTr="00F452D9">
        <w:trPr>
          <w:trHeight w:val="305"/>
        </w:trPr>
        <w:tc>
          <w:tcPr>
            <w:tcW w:w="962" w:type="dxa"/>
          </w:tcPr>
          <w:p w:rsidR="00FF6589" w:rsidRDefault="00FF6589" w:rsidP="00E02E3A">
            <w:r>
              <w:t>NRO #5</w:t>
            </w:r>
          </w:p>
        </w:tc>
        <w:tc>
          <w:tcPr>
            <w:tcW w:w="5266" w:type="dxa"/>
            <w:shd w:val="clear" w:color="auto" w:fill="auto"/>
          </w:tcPr>
          <w:p w:rsidR="00FF6589" w:rsidRDefault="00FF6589" w:rsidP="000F6D4B">
            <w:pPr>
              <w:jc w:val="both"/>
            </w:pPr>
            <w:r>
              <w:t>37060-04 Training</w:t>
            </w:r>
          </w:p>
          <w:p w:rsidR="00FF6589" w:rsidRDefault="00FF6589" w:rsidP="000F6D4B">
            <w:pPr>
              <w:jc w:val="both"/>
            </w:pPr>
          </w:p>
          <w:p w:rsidR="00FF6589" w:rsidRDefault="00FF6589" w:rsidP="000F6D4B">
            <w:pPr>
              <w:jc w:val="both"/>
            </w:pPr>
            <w:r>
              <w:t>Comment: delete “and treatment” from the following sentence:</w:t>
            </w:r>
          </w:p>
          <w:p w:rsidR="00FF6589" w:rsidRDefault="00FF6589" w:rsidP="000F6D4B">
            <w:pPr>
              <w:jc w:val="both"/>
            </w:pPr>
          </w:p>
          <w:p w:rsidR="00FF6589" w:rsidRDefault="00FF6589" w:rsidP="000F6D4B">
            <w:pPr>
              <w:jc w:val="both"/>
            </w:pPr>
            <w:r>
              <w:rPr>
                <w:rFonts w:cs="Arial"/>
              </w:rPr>
              <w:t xml:space="preserve">The NRC Headquarters staff will evaluate the description of the categorization </w:t>
            </w:r>
            <w:del w:id="6" w:author="CMH5" w:date="2010-11-03T16:55:00Z">
              <w:r w:rsidDel="00FF6589">
                <w:rPr>
                  <w:rFonts w:cs="Arial"/>
                </w:rPr>
                <w:delText>and treatment</w:delText>
              </w:r>
            </w:del>
            <w:r>
              <w:rPr>
                <w:rFonts w:cs="Arial"/>
              </w:rPr>
              <w:t xml:space="preserve"> process</w:t>
            </w:r>
            <w:del w:id="7" w:author="CMH5" w:date="2010-11-03T16:55:00Z">
              <w:r w:rsidDel="00FF6589">
                <w:rPr>
                  <w:rFonts w:cs="Arial"/>
                </w:rPr>
                <w:delText>es</w:delText>
              </w:r>
            </w:del>
            <w:r>
              <w:rPr>
                <w:rFonts w:cs="Arial"/>
              </w:rPr>
              <w:t xml:space="preserve"> as part of the license amendment review and will document its findings in a safety evaluation report.</w:t>
            </w:r>
          </w:p>
        </w:tc>
        <w:tc>
          <w:tcPr>
            <w:tcW w:w="990" w:type="dxa"/>
            <w:shd w:val="clear" w:color="auto" w:fill="auto"/>
          </w:tcPr>
          <w:p w:rsidR="00FF6589" w:rsidRDefault="003F5238" w:rsidP="000F6D4B">
            <w:pPr>
              <w:jc w:val="center"/>
            </w:pPr>
            <w:r>
              <w:t>Yes</w:t>
            </w:r>
          </w:p>
        </w:tc>
        <w:tc>
          <w:tcPr>
            <w:tcW w:w="6678" w:type="dxa"/>
            <w:shd w:val="clear" w:color="auto" w:fill="auto"/>
          </w:tcPr>
          <w:p w:rsidR="00FF6589" w:rsidRDefault="003F5238" w:rsidP="000F6D4B">
            <w:pPr>
              <w:jc w:val="both"/>
            </w:pPr>
            <w:r>
              <w:t>Concur with comment.</w:t>
            </w:r>
            <w:r w:rsidR="009851C5">
              <w:t xml:space="preserve">  Paragraph 50.69(b</w:t>
            </w:r>
            <w:proofErr w:type="gramStart"/>
            <w:r w:rsidR="009851C5">
              <w:t>)(</w:t>
            </w:r>
            <w:proofErr w:type="gramEnd"/>
            <w:r w:rsidR="009851C5">
              <w:t>4) states “An applicant choosing to implement the section (10 CFR 50.69) shall include the information in paragraph 50.69(b)(2) as part of application.”  This does not prevent a licensee from submitting their alternative treatment process/intent as part of the license amendment for 10 CFR 50.69.  The following will be added after “and treatment” (if submitted with the license amendment).</w:t>
            </w:r>
          </w:p>
        </w:tc>
      </w:tr>
      <w:tr w:rsidR="00C10D26" w:rsidTr="00F452D9">
        <w:trPr>
          <w:trHeight w:val="305"/>
        </w:trPr>
        <w:tc>
          <w:tcPr>
            <w:tcW w:w="962" w:type="dxa"/>
          </w:tcPr>
          <w:p w:rsidR="00C10D26" w:rsidRDefault="00C10D26" w:rsidP="00E02E3A">
            <w:r>
              <w:t>R-I</w:t>
            </w:r>
          </w:p>
        </w:tc>
        <w:tc>
          <w:tcPr>
            <w:tcW w:w="5266" w:type="dxa"/>
            <w:shd w:val="clear" w:color="auto" w:fill="auto"/>
          </w:tcPr>
          <w:p w:rsidR="00C10D26" w:rsidRDefault="00C10D26" w:rsidP="000F6D4B">
            <w:pPr>
              <w:jc w:val="both"/>
            </w:pPr>
            <w:r>
              <w:t>None</w:t>
            </w:r>
          </w:p>
        </w:tc>
        <w:tc>
          <w:tcPr>
            <w:tcW w:w="990" w:type="dxa"/>
            <w:shd w:val="clear" w:color="auto" w:fill="auto"/>
          </w:tcPr>
          <w:p w:rsidR="00C10D26" w:rsidRDefault="00E25671" w:rsidP="000F6D4B">
            <w:pPr>
              <w:jc w:val="center"/>
            </w:pPr>
            <w:r>
              <w:t>N/A</w:t>
            </w:r>
          </w:p>
        </w:tc>
        <w:tc>
          <w:tcPr>
            <w:tcW w:w="6678" w:type="dxa"/>
            <w:shd w:val="clear" w:color="auto" w:fill="auto"/>
          </w:tcPr>
          <w:p w:rsidR="00C10D26" w:rsidRDefault="00E25671" w:rsidP="000F6D4B">
            <w:pPr>
              <w:jc w:val="both"/>
            </w:pPr>
            <w:r>
              <w:t>N/A</w:t>
            </w:r>
          </w:p>
        </w:tc>
      </w:tr>
      <w:tr w:rsidR="00EB3A22" w:rsidTr="00F452D9">
        <w:trPr>
          <w:trHeight w:val="305"/>
        </w:trPr>
        <w:tc>
          <w:tcPr>
            <w:tcW w:w="962" w:type="dxa"/>
          </w:tcPr>
          <w:p w:rsidR="00EB3A22" w:rsidRDefault="00EB3A22" w:rsidP="0027484F">
            <w:r>
              <w:t>R-II #1</w:t>
            </w:r>
          </w:p>
        </w:tc>
        <w:tc>
          <w:tcPr>
            <w:tcW w:w="5266" w:type="dxa"/>
            <w:shd w:val="clear" w:color="auto" w:fill="auto"/>
          </w:tcPr>
          <w:p w:rsidR="00EB3A22" w:rsidRDefault="00EB3A22" w:rsidP="000F6D4B">
            <w:pPr>
              <w:jc w:val="both"/>
            </w:pPr>
            <w:r>
              <w:t>Define RISC 1,2,3,4</w:t>
            </w:r>
          </w:p>
        </w:tc>
        <w:tc>
          <w:tcPr>
            <w:tcW w:w="990" w:type="dxa"/>
            <w:shd w:val="clear" w:color="auto" w:fill="auto"/>
          </w:tcPr>
          <w:p w:rsidR="00EB3A22" w:rsidRDefault="00E25671" w:rsidP="000F6D4B">
            <w:pPr>
              <w:jc w:val="center"/>
            </w:pPr>
            <w:r>
              <w:t>No</w:t>
            </w:r>
          </w:p>
        </w:tc>
        <w:tc>
          <w:tcPr>
            <w:tcW w:w="6678" w:type="dxa"/>
            <w:shd w:val="clear" w:color="auto" w:fill="auto"/>
          </w:tcPr>
          <w:p w:rsidR="00EB3A22" w:rsidRDefault="00E25671" w:rsidP="000F6D4B">
            <w:pPr>
              <w:jc w:val="both"/>
            </w:pPr>
            <w:r>
              <w:t>The Definitions for RISC -1,</w:t>
            </w:r>
            <w:r w:rsidR="00DF134A">
              <w:t xml:space="preserve"> </w:t>
            </w:r>
            <w:r>
              <w:t>2,</w:t>
            </w:r>
            <w:r w:rsidR="00DF134A">
              <w:t xml:space="preserve"> </w:t>
            </w:r>
            <w:r>
              <w:t>3, and 4 are located at section B of RG 1.201.  The definitions for RISC -1, 2, 3, and 4 are:</w:t>
            </w:r>
          </w:p>
          <w:p w:rsidR="00E25671" w:rsidRDefault="00E25671" w:rsidP="000F6D4B">
            <w:pPr>
              <w:jc w:val="both"/>
            </w:pPr>
          </w:p>
          <w:p w:rsidR="00E25671" w:rsidRPr="00E25671" w:rsidRDefault="00E25671" w:rsidP="000F6D4B">
            <w:pPr>
              <w:autoSpaceDE w:val="0"/>
              <w:autoSpaceDN w:val="0"/>
              <w:adjustRightInd w:val="0"/>
              <w:jc w:val="both"/>
              <w:rPr>
                <w:rFonts w:cs="Arial"/>
                <w:szCs w:val="22"/>
              </w:rPr>
            </w:pPr>
            <w:r>
              <w:rPr>
                <w:rFonts w:ascii="TimesNewRoman" w:hAnsi="TimesNewRoman" w:cs="TimesNewRoman"/>
                <w:szCs w:val="22"/>
              </w:rPr>
              <w:t xml:space="preserve">RISC -1 SSCs </w:t>
            </w:r>
            <w:r w:rsidRPr="00E25671">
              <w:rPr>
                <w:rFonts w:cs="Arial"/>
                <w:szCs w:val="22"/>
              </w:rPr>
              <w:t>are safety-related SSCs that the risk-informed categorization process determines</w:t>
            </w:r>
            <w:r>
              <w:rPr>
                <w:rFonts w:cs="Arial"/>
                <w:szCs w:val="22"/>
              </w:rPr>
              <w:t xml:space="preserve"> </w:t>
            </w:r>
            <w:r w:rsidRPr="00E25671">
              <w:rPr>
                <w:rFonts w:cs="Arial"/>
                <w:szCs w:val="22"/>
              </w:rPr>
              <w:t>to be significant contributors to plant safety. Licensees must continue to ensure that RISC-1 SSCs</w:t>
            </w:r>
            <w:r>
              <w:rPr>
                <w:rFonts w:cs="Arial"/>
                <w:szCs w:val="22"/>
              </w:rPr>
              <w:t xml:space="preserve"> </w:t>
            </w:r>
            <w:r w:rsidRPr="00E25671">
              <w:rPr>
                <w:rFonts w:cs="Arial"/>
                <w:szCs w:val="22"/>
              </w:rPr>
              <w:t>perform their safety-significant functions consistent with the categorization process, including those</w:t>
            </w:r>
            <w:r>
              <w:rPr>
                <w:rFonts w:cs="Arial"/>
                <w:szCs w:val="22"/>
              </w:rPr>
              <w:t xml:space="preserve"> </w:t>
            </w:r>
            <w:r w:rsidRPr="00E25671">
              <w:rPr>
                <w:rFonts w:cs="Arial"/>
                <w:szCs w:val="22"/>
              </w:rPr>
              <w:t>safety-significant functions that go beyond the functions defined as safety-related for which credit is taken</w:t>
            </w:r>
            <w:r>
              <w:rPr>
                <w:rFonts w:cs="Arial"/>
                <w:szCs w:val="22"/>
              </w:rPr>
              <w:t xml:space="preserve"> </w:t>
            </w:r>
            <w:r w:rsidRPr="00E25671">
              <w:rPr>
                <w:rFonts w:cs="Arial"/>
                <w:szCs w:val="22"/>
              </w:rPr>
              <w:t>in the categorization process.</w:t>
            </w:r>
          </w:p>
          <w:p w:rsidR="00E25671" w:rsidRDefault="00E25671" w:rsidP="000F6D4B">
            <w:pPr>
              <w:autoSpaceDE w:val="0"/>
              <w:autoSpaceDN w:val="0"/>
              <w:adjustRightInd w:val="0"/>
              <w:jc w:val="both"/>
              <w:rPr>
                <w:rFonts w:cs="Arial"/>
                <w:szCs w:val="22"/>
              </w:rPr>
            </w:pPr>
          </w:p>
          <w:p w:rsidR="00E25671" w:rsidRPr="00E25671" w:rsidRDefault="00E25671" w:rsidP="000F6D4B">
            <w:pPr>
              <w:autoSpaceDE w:val="0"/>
              <w:autoSpaceDN w:val="0"/>
              <w:adjustRightInd w:val="0"/>
              <w:jc w:val="both"/>
              <w:rPr>
                <w:rFonts w:cs="Arial"/>
                <w:szCs w:val="22"/>
              </w:rPr>
            </w:pPr>
            <w:r w:rsidRPr="00E25671">
              <w:rPr>
                <w:rFonts w:cs="Arial"/>
                <w:szCs w:val="22"/>
              </w:rPr>
              <w:t xml:space="preserve">RISC-2 SSCs are those that are defined as </w:t>
            </w:r>
            <w:proofErr w:type="spellStart"/>
            <w:r w:rsidRPr="00E25671">
              <w:rPr>
                <w:rFonts w:cs="Arial"/>
                <w:szCs w:val="22"/>
              </w:rPr>
              <w:t>nonsafety</w:t>
            </w:r>
            <w:proofErr w:type="spellEnd"/>
            <w:r w:rsidRPr="00E25671">
              <w:rPr>
                <w:rFonts w:cs="Arial"/>
                <w:szCs w:val="22"/>
              </w:rPr>
              <w:t>-related, although the risk-informed</w:t>
            </w:r>
            <w:r>
              <w:rPr>
                <w:rFonts w:cs="Arial"/>
                <w:szCs w:val="22"/>
              </w:rPr>
              <w:t xml:space="preserve"> </w:t>
            </w:r>
            <w:r w:rsidRPr="00E25671">
              <w:rPr>
                <w:rFonts w:cs="Arial"/>
                <w:szCs w:val="22"/>
              </w:rPr>
              <w:t>categorization process determines that they are significant contributors to plant safety on an individual basis.</w:t>
            </w:r>
            <w:r>
              <w:rPr>
                <w:rFonts w:cs="Arial"/>
                <w:szCs w:val="22"/>
              </w:rPr>
              <w:t xml:space="preserve"> </w:t>
            </w:r>
            <w:r w:rsidRPr="00E25671">
              <w:rPr>
                <w:rFonts w:cs="Arial"/>
                <w:szCs w:val="22"/>
              </w:rPr>
              <w:t>The NRC staff recognizes that some RISC-2 SSCs may not have existing special treatment requirements.</w:t>
            </w:r>
            <w:r>
              <w:rPr>
                <w:rFonts w:cs="Arial"/>
                <w:szCs w:val="22"/>
              </w:rPr>
              <w:t xml:space="preserve">  </w:t>
            </w:r>
            <w:r w:rsidRPr="00E25671">
              <w:rPr>
                <w:rFonts w:cs="Arial"/>
                <w:szCs w:val="22"/>
              </w:rPr>
              <w:t>As a result, the focus for RISC-2 SSCs is on the safety-significant functions for which credit is taken</w:t>
            </w:r>
            <w:r>
              <w:rPr>
                <w:rFonts w:cs="Arial"/>
                <w:szCs w:val="22"/>
              </w:rPr>
              <w:t xml:space="preserve"> </w:t>
            </w:r>
            <w:r w:rsidRPr="00E25671">
              <w:rPr>
                <w:rFonts w:cs="Arial"/>
                <w:szCs w:val="22"/>
              </w:rPr>
              <w:t>in the categorization process.</w:t>
            </w:r>
          </w:p>
          <w:p w:rsidR="00E25671" w:rsidRDefault="00E25671" w:rsidP="000F6D4B">
            <w:pPr>
              <w:autoSpaceDE w:val="0"/>
              <w:autoSpaceDN w:val="0"/>
              <w:adjustRightInd w:val="0"/>
              <w:jc w:val="both"/>
              <w:rPr>
                <w:rFonts w:cs="Arial"/>
                <w:szCs w:val="22"/>
              </w:rPr>
            </w:pPr>
          </w:p>
          <w:p w:rsidR="00E25671" w:rsidRPr="00E25671" w:rsidRDefault="00E25671" w:rsidP="000F6D4B">
            <w:pPr>
              <w:autoSpaceDE w:val="0"/>
              <w:autoSpaceDN w:val="0"/>
              <w:adjustRightInd w:val="0"/>
              <w:jc w:val="both"/>
              <w:rPr>
                <w:rFonts w:cs="Arial"/>
                <w:szCs w:val="22"/>
              </w:rPr>
            </w:pPr>
            <w:r w:rsidRPr="00E25671">
              <w:rPr>
                <w:rFonts w:cs="Arial"/>
                <w:szCs w:val="22"/>
              </w:rPr>
              <w:t xml:space="preserve">RISC-3 SSCs are those that are defined as safety-related, </w:t>
            </w:r>
            <w:r>
              <w:rPr>
                <w:rFonts w:cs="Arial"/>
                <w:szCs w:val="22"/>
              </w:rPr>
              <w:t>a</w:t>
            </w:r>
            <w:r w:rsidRPr="00E25671">
              <w:rPr>
                <w:rFonts w:cs="Arial"/>
                <w:szCs w:val="22"/>
              </w:rPr>
              <w:t>lthough the risk-informed categorization</w:t>
            </w:r>
            <w:r>
              <w:rPr>
                <w:rFonts w:cs="Arial"/>
                <w:szCs w:val="22"/>
              </w:rPr>
              <w:t xml:space="preserve"> </w:t>
            </w:r>
            <w:r w:rsidRPr="00E25671">
              <w:rPr>
                <w:rFonts w:cs="Arial"/>
                <w:szCs w:val="22"/>
              </w:rPr>
              <w:t>process determines that they are not significant contributors to plant safety. Special treatment requirements</w:t>
            </w:r>
            <w:r>
              <w:rPr>
                <w:rFonts w:cs="Arial"/>
                <w:szCs w:val="22"/>
              </w:rPr>
              <w:t xml:space="preserve"> </w:t>
            </w:r>
            <w:r w:rsidRPr="00E25671">
              <w:rPr>
                <w:rFonts w:cs="Arial"/>
                <w:szCs w:val="22"/>
              </w:rPr>
              <w:t>are removed for RISC-3 SSCs and replaced with high-level requirements. These high-level requirements</w:t>
            </w:r>
            <w:r>
              <w:rPr>
                <w:rFonts w:cs="Arial"/>
                <w:szCs w:val="22"/>
              </w:rPr>
              <w:t xml:space="preserve"> </w:t>
            </w:r>
            <w:r w:rsidRPr="00E25671">
              <w:rPr>
                <w:rFonts w:cs="Arial"/>
                <w:szCs w:val="22"/>
              </w:rPr>
              <w:t>are intended to provide sufficient regulatory treatment, such that these SSCs are still expected to perform</w:t>
            </w:r>
          </w:p>
          <w:p w:rsidR="00E25671" w:rsidRPr="00E25671" w:rsidRDefault="00E25671" w:rsidP="000F6D4B">
            <w:pPr>
              <w:autoSpaceDE w:val="0"/>
              <w:autoSpaceDN w:val="0"/>
              <w:adjustRightInd w:val="0"/>
              <w:jc w:val="both"/>
              <w:rPr>
                <w:rFonts w:cs="Arial"/>
                <w:szCs w:val="22"/>
              </w:rPr>
            </w:pPr>
            <w:proofErr w:type="gramStart"/>
            <w:r w:rsidRPr="00E25671">
              <w:rPr>
                <w:rFonts w:cs="Arial"/>
                <w:szCs w:val="22"/>
              </w:rPr>
              <w:t>their</w:t>
            </w:r>
            <w:proofErr w:type="gramEnd"/>
            <w:r w:rsidRPr="00E25671">
              <w:rPr>
                <w:rFonts w:cs="Arial"/>
                <w:szCs w:val="22"/>
              </w:rPr>
              <w:t xml:space="preserve"> safety-related functions under design-basis conditions, albeit at a reduced level of assurance</w:t>
            </w:r>
            <w:r>
              <w:rPr>
                <w:rFonts w:cs="Arial"/>
                <w:szCs w:val="22"/>
              </w:rPr>
              <w:t xml:space="preserve"> </w:t>
            </w:r>
            <w:r w:rsidRPr="00E25671">
              <w:rPr>
                <w:rFonts w:cs="Arial"/>
                <w:szCs w:val="22"/>
              </w:rPr>
              <w:t>compared to the current special treatment requirements. However, §50.69 does not allow these RISC-3</w:t>
            </w:r>
            <w:r>
              <w:rPr>
                <w:rFonts w:cs="Arial"/>
                <w:szCs w:val="22"/>
              </w:rPr>
              <w:t xml:space="preserve"> </w:t>
            </w:r>
            <w:r w:rsidRPr="00E25671">
              <w:rPr>
                <w:rFonts w:cs="Arial"/>
                <w:szCs w:val="22"/>
              </w:rPr>
              <w:t>SSCs to lose their functional capability or be removed from the facility.</w:t>
            </w:r>
          </w:p>
          <w:p w:rsidR="00E25671" w:rsidRDefault="00E25671" w:rsidP="000F6D4B">
            <w:pPr>
              <w:autoSpaceDE w:val="0"/>
              <w:autoSpaceDN w:val="0"/>
              <w:adjustRightInd w:val="0"/>
              <w:jc w:val="both"/>
              <w:rPr>
                <w:rFonts w:cs="Arial"/>
                <w:szCs w:val="22"/>
              </w:rPr>
            </w:pPr>
          </w:p>
          <w:p w:rsidR="00E25671" w:rsidRPr="00E25671" w:rsidRDefault="00E25671" w:rsidP="000F6D4B">
            <w:pPr>
              <w:autoSpaceDE w:val="0"/>
              <w:autoSpaceDN w:val="0"/>
              <w:adjustRightInd w:val="0"/>
              <w:jc w:val="both"/>
              <w:rPr>
                <w:rFonts w:cs="Arial"/>
                <w:szCs w:val="22"/>
              </w:rPr>
            </w:pPr>
            <w:r w:rsidRPr="00E25671">
              <w:rPr>
                <w:rFonts w:cs="Arial"/>
                <w:szCs w:val="22"/>
              </w:rPr>
              <w:t xml:space="preserve">RISC-4 SSCs are those that are defined as </w:t>
            </w:r>
            <w:proofErr w:type="spellStart"/>
            <w:r w:rsidRPr="00E25671">
              <w:rPr>
                <w:rFonts w:cs="Arial"/>
                <w:szCs w:val="22"/>
              </w:rPr>
              <w:t>nonsafety</w:t>
            </w:r>
            <w:proofErr w:type="spellEnd"/>
            <w:r w:rsidRPr="00E25671">
              <w:rPr>
                <w:rFonts w:cs="Arial"/>
                <w:szCs w:val="22"/>
              </w:rPr>
              <w:t>-related, and that the risk-informed</w:t>
            </w:r>
            <w:r w:rsidR="00220743">
              <w:rPr>
                <w:rFonts w:cs="Arial"/>
                <w:szCs w:val="22"/>
              </w:rPr>
              <w:t xml:space="preserve"> </w:t>
            </w:r>
            <w:r w:rsidRPr="00E25671">
              <w:rPr>
                <w:rFonts w:cs="Arial"/>
                <w:szCs w:val="22"/>
              </w:rPr>
              <w:t>categorization process determines are not significant contributors to plant safety. Section 50.69 does not</w:t>
            </w:r>
          </w:p>
          <w:p w:rsidR="00E25671" w:rsidRDefault="00E25671" w:rsidP="000F6D4B">
            <w:pPr>
              <w:autoSpaceDE w:val="0"/>
              <w:autoSpaceDN w:val="0"/>
              <w:adjustRightInd w:val="0"/>
              <w:jc w:val="both"/>
            </w:pPr>
            <w:proofErr w:type="gramStart"/>
            <w:r w:rsidRPr="00E25671">
              <w:rPr>
                <w:rFonts w:cs="Arial"/>
                <w:szCs w:val="22"/>
              </w:rPr>
              <w:t>impose</w:t>
            </w:r>
            <w:proofErr w:type="gramEnd"/>
            <w:r w:rsidRPr="00E25671">
              <w:rPr>
                <w:rFonts w:cs="Arial"/>
                <w:szCs w:val="22"/>
              </w:rPr>
              <w:t xml:space="preserve"> alternative treatment requirements for these RISC-4 SSCs. However, as with the RISC-3 SSCs,</w:t>
            </w:r>
            <w:r w:rsidR="00220743">
              <w:rPr>
                <w:rFonts w:cs="Arial"/>
                <w:szCs w:val="22"/>
              </w:rPr>
              <w:t xml:space="preserve"> </w:t>
            </w:r>
            <w:r w:rsidRPr="00E25671">
              <w:rPr>
                <w:rFonts w:cs="Arial"/>
                <w:szCs w:val="22"/>
              </w:rPr>
              <w:t>changes to the design bases of RISC-4 SSCs must be made in accordance with current applicable design</w:t>
            </w:r>
            <w:r w:rsidR="00220743">
              <w:rPr>
                <w:rFonts w:cs="Arial"/>
                <w:szCs w:val="22"/>
              </w:rPr>
              <w:t xml:space="preserve"> </w:t>
            </w:r>
            <w:r w:rsidRPr="00E25671">
              <w:rPr>
                <w:rFonts w:cs="Arial"/>
                <w:szCs w:val="22"/>
              </w:rPr>
              <w:t>change control requirements (if any), such as those set forth in 10 CFR 50.59.</w:t>
            </w:r>
          </w:p>
        </w:tc>
      </w:tr>
      <w:tr w:rsidR="00EB3A22" w:rsidTr="00F452D9">
        <w:trPr>
          <w:trHeight w:val="305"/>
        </w:trPr>
        <w:tc>
          <w:tcPr>
            <w:tcW w:w="962" w:type="dxa"/>
          </w:tcPr>
          <w:p w:rsidR="00EB3A22" w:rsidRDefault="00EB3A22" w:rsidP="0027484F">
            <w:r>
              <w:lastRenderedPageBreak/>
              <w:t>R-II #2</w:t>
            </w:r>
          </w:p>
        </w:tc>
        <w:tc>
          <w:tcPr>
            <w:tcW w:w="5266" w:type="dxa"/>
            <w:shd w:val="clear" w:color="auto" w:fill="auto"/>
          </w:tcPr>
          <w:p w:rsidR="00EB3A22" w:rsidRDefault="00EB3A22" w:rsidP="000F6D4B">
            <w:pPr>
              <w:jc w:val="both"/>
            </w:pPr>
            <w:r w:rsidRPr="00BE1607">
              <w:rPr>
                <w:rFonts w:cs="Arial"/>
              </w:rPr>
              <w:t xml:space="preserve">Broader comments, First 5 pages go on to create deterministic regulatory philosophy, </w:t>
            </w:r>
            <w:proofErr w:type="gramStart"/>
            <w:r w:rsidRPr="00BE1607">
              <w:rPr>
                <w:rFonts w:cs="Arial"/>
              </w:rPr>
              <w:t>then</w:t>
            </w:r>
            <w:proofErr w:type="gramEnd"/>
            <w:r w:rsidRPr="00BE1607">
              <w:rPr>
                <w:rFonts w:cs="Arial"/>
              </w:rPr>
              <w:t xml:space="preserve"> the concept of risk informed is introduced.   Is it necessary to discuss deterministic regulatory philosophy to this level of detail in an Inspection Procedure?</w:t>
            </w:r>
          </w:p>
        </w:tc>
        <w:tc>
          <w:tcPr>
            <w:tcW w:w="990" w:type="dxa"/>
            <w:shd w:val="clear" w:color="auto" w:fill="auto"/>
          </w:tcPr>
          <w:p w:rsidR="00EB3A22" w:rsidRDefault="00E25671" w:rsidP="000F6D4B">
            <w:pPr>
              <w:jc w:val="center"/>
            </w:pPr>
            <w:r>
              <w:t>No</w:t>
            </w:r>
          </w:p>
        </w:tc>
        <w:tc>
          <w:tcPr>
            <w:tcW w:w="6678" w:type="dxa"/>
            <w:shd w:val="clear" w:color="auto" w:fill="auto"/>
          </w:tcPr>
          <w:p w:rsidR="00EB3A22" w:rsidRDefault="00C47EBB" w:rsidP="000F6D4B">
            <w:pPr>
              <w:jc w:val="both"/>
            </w:pPr>
            <w:r>
              <w:t>The information in the first five pages are intended to provide the inspection team an understanding of the 50.69 regulation</w:t>
            </w:r>
            <w:r w:rsidR="00425656">
              <w:t xml:space="preserve"> given the limited experience within the agency and industry with 50.69</w:t>
            </w:r>
            <w:r>
              <w:t>.  Inspectors do not have to review the front matter of the inspection procedures it is for information processes only</w:t>
            </w:r>
            <w:r w:rsidR="00425656">
              <w:t>.</w:t>
            </w:r>
          </w:p>
        </w:tc>
      </w:tr>
      <w:tr w:rsidR="00DF00AC" w:rsidTr="00F452D9">
        <w:trPr>
          <w:trHeight w:val="305"/>
        </w:trPr>
        <w:tc>
          <w:tcPr>
            <w:tcW w:w="962" w:type="dxa"/>
          </w:tcPr>
          <w:p w:rsidR="00DF00AC" w:rsidRDefault="00DF00AC" w:rsidP="0027484F">
            <w:r>
              <w:lastRenderedPageBreak/>
              <w:t>R-III #1</w:t>
            </w:r>
          </w:p>
        </w:tc>
        <w:tc>
          <w:tcPr>
            <w:tcW w:w="5266" w:type="dxa"/>
            <w:shd w:val="clear" w:color="auto" w:fill="auto"/>
          </w:tcPr>
          <w:p w:rsidR="00DF00AC" w:rsidRDefault="00DF00AC" w:rsidP="000F6D4B">
            <w:pPr>
              <w:jc w:val="both"/>
              <w:rPr>
                <w:rFonts w:cs="Arial"/>
              </w:rPr>
            </w:pPr>
            <w:r>
              <w:rPr>
                <w:rFonts w:cs="Arial"/>
              </w:rPr>
              <w:t>Paragraph 02.04.b</w:t>
            </w:r>
          </w:p>
          <w:p w:rsidR="00DF00AC" w:rsidRDefault="00DF00AC" w:rsidP="000F6D4B">
            <w:pPr>
              <w:jc w:val="both"/>
              <w:rPr>
                <w:rFonts w:cs="Arial"/>
              </w:rPr>
            </w:pPr>
          </w:p>
          <w:p w:rsidR="00DF00AC" w:rsidRDefault="00DF00AC" w:rsidP="000F6D4B">
            <w:pPr>
              <w:jc w:val="both"/>
              <w:rPr>
                <w:rFonts w:cs="Arial"/>
                <w:szCs w:val="22"/>
              </w:rPr>
            </w:pPr>
            <w:r>
              <w:rPr>
                <w:rFonts w:cs="Arial"/>
              </w:rPr>
              <w:t xml:space="preserve">Excerpt:  </w:t>
            </w:r>
            <w:r w:rsidRPr="00615142">
              <w:rPr>
                <w:rFonts w:cs="Arial"/>
                <w:szCs w:val="22"/>
              </w:rPr>
              <w:t xml:space="preserve">For the sampled SSCs, the </w:t>
            </w:r>
            <w:r w:rsidRPr="00615142">
              <w:rPr>
                <w:rFonts w:cs="Arial"/>
                <w:color w:val="FF0000"/>
                <w:szCs w:val="22"/>
              </w:rPr>
              <w:t>inspector</w:t>
            </w:r>
            <w:r w:rsidRPr="00615142">
              <w:rPr>
                <w:rFonts w:cs="Arial"/>
                <w:szCs w:val="22"/>
              </w:rPr>
              <w:t xml:space="preserve"> should evaluate the implementation of the licensee’s PRA…</w:t>
            </w:r>
          </w:p>
          <w:p w:rsidR="00DF00AC" w:rsidRDefault="00DF00AC" w:rsidP="000F6D4B">
            <w:pPr>
              <w:jc w:val="both"/>
              <w:rPr>
                <w:rFonts w:cs="Arial"/>
                <w:szCs w:val="22"/>
              </w:rPr>
            </w:pPr>
          </w:p>
          <w:p w:rsidR="00DF00AC" w:rsidRDefault="00C1631F" w:rsidP="000F6D4B">
            <w:pPr>
              <w:tabs>
                <w:tab w:val="left" w:pos="0"/>
                <w:tab w:val="left" w:pos="243"/>
                <w:tab w:val="left" w:pos="1452"/>
                <w:tab w:val="left" w:pos="2055"/>
                <w:tab w:val="left" w:pos="2659"/>
                <w:tab w:val="left" w:pos="3264"/>
                <w:tab w:val="left" w:pos="3867"/>
                <w:tab w:val="left" w:pos="4471"/>
                <w:tab w:val="left" w:pos="5076"/>
                <w:tab w:val="left" w:pos="5679"/>
                <w:tab w:val="left" w:pos="6283"/>
                <w:tab w:val="left" w:pos="6888"/>
                <w:tab w:val="left" w:pos="7491"/>
                <w:tab w:val="left" w:pos="8095"/>
                <w:tab w:val="left" w:pos="8700"/>
                <w:tab w:val="left" w:pos="9303"/>
                <w:tab w:val="right" w:pos="9360"/>
              </w:tabs>
              <w:spacing w:line="240" w:lineRule="exact"/>
              <w:jc w:val="both"/>
              <w:rPr>
                <w:rFonts w:cs="Arial"/>
                <w:szCs w:val="22"/>
              </w:rPr>
            </w:pPr>
            <w:r>
              <w:rPr>
                <w:rFonts w:cs="Arial"/>
                <w:szCs w:val="22"/>
              </w:rPr>
              <w:t>Recommendation</w:t>
            </w:r>
            <w:r w:rsidR="00DF00AC">
              <w:rPr>
                <w:rFonts w:cs="Arial"/>
                <w:szCs w:val="22"/>
              </w:rPr>
              <w:t>:  Reword:</w:t>
            </w:r>
          </w:p>
          <w:p w:rsidR="00DF00AC" w:rsidRDefault="00DF00AC" w:rsidP="000F6D4B">
            <w:pPr>
              <w:tabs>
                <w:tab w:val="left" w:pos="0"/>
                <w:tab w:val="left" w:pos="243"/>
                <w:tab w:val="left" w:pos="1452"/>
                <w:tab w:val="left" w:pos="2055"/>
                <w:tab w:val="left" w:pos="2659"/>
                <w:tab w:val="left" w:pos="3264"/>
                <w:tab w:val="left" w:pos="3867"/>
                <w:tab w:val="left" w:pos="4471"/>
                <w:tab w:val="left" w:pos="5076"/>
                <w:tab w:val="left" w:pos="5679"/>
                <w:tab w:val="left" w:pos="6283"/>
                <w:tab w:val="left" w:pos="6888"/>
                <w:tab w:val="left" w:pos="7491"/>
                <w:tab w:val="left" w:pos="8095"/>
                <w:tab w:val="left" w:pos="8700"/>
                <w:tab w:val="left" w:pos="9303"/>
                <w:tab w:val="right" w:pos="9360"/>
              </w:tabs>
              <w:spacing w:line="240" w:lineRule="exact"/>
              <w:jc w:val="both"/>
              <w:rPr>
                <w:rFonts w:cs="Arial"/>
                <w:szCs w:val="22"/>
              </w:rPr>
            </w:pPr>
          </w:p>
          <w:p w:rsidR="00DF00AC" w:rsidRPr="00BE1607" w:rsidRDefault="00DF00AC" w:rsidP="000F6D4B">
            <w:pPr>
              <w:jc w:val="both"/>
              <w:rPr>
                <w:rFonts w:cs="Arial"/>
              </w:rPr>
            </w:pPr>
            <w:r w:rsidRPr="00615142">
              <w:rPr>
                <w:rFonts w:cs="Arial"/>
                <w:szCs w:val="22"/>
              </w:rPr>
              <w:t xml:space="preserve">For the sampled SSCs, the </w:t>
            </w:r>
            <w:r w:rsidRPr="00615142">
              <w:rPr>
                <w:rFonts w:cs="Arial"/>
                <w:color w:val="FF0000"/>
                <w:szCs w:val="22"/>
              </w:rPr>
              <w:t>SRA</w:t>
            </w:r>
            <w:r>
              <w:rPr>
                <w:rFonts w:cs="Arial"/>
                <w:szCs w:val="22"/>
              </w:rPr>
              <w:t xml:space="preserve"> sh</w:t>
            </w:r>
            <w:r w:rsidRPr="00615142">
              <w:rPr>
                <w:rFonts w:cs="Arial"/>
                <w:szCs w:val="22"/>
              </w:rPr>
              <w:t>ould evaluate the implementation of the licensee’s PRA…</w:t>
            </w:r>
          </w:p>
        </w:tc>
        <w:tc>
          <w:tcPr>
            <w:tcW w:w="990" w:type="dxa"/>
            <w:shd w:val="clear" w:color="auto" w:fill="auto"/>
          </w:tcPr>
          <w:p w:rsidR="00DF00AC" w:rsidRDefault="007E4DC2" w:rsidP="000F6D4B">
            <w:pPr>
              <w:jc w:val="center"/>
            </w:pPr>
            <w:r>
              <w:t>Yes</w:t>
            </w:r>
          </w:p>
        </w:tc>
        <w:tc>
          <w:tcPr>
            <w:tcW w:w="6678" w:type="dxa"/>
            <w:shd w:val="clear" w:color="auto" w:fill="auto"/>
          </w:tcPr>
          <w:p w:rsidR="00DF00AC" w:rsidRDefault="007E4DC2" w:rsidP="000F6D4B">
            <w:pPr>
              <w:jc w:val="both"/>
            </w:pPr>
            <w:r>
              <w:t>Concur with comment.  Inspector will be replaced with SRA inspection team member.</w:t>
            </w:r>
          </w:p>
        </w:tc>
      </w:tr>
      <w:tr w:rsidR="00C1631F" w:rsidTr="00F452D9">
        <w:trPr>
          <w:trHeight w:val="305"/>
        </w:trPr>
        <w:tc>
          <w:tcPr>
            <w:tcW w:w="962" w:type="dxa"/>
          </w:tcPr>
          <w:p w:rsidR="00C1631F" w:rsidRDefault="00C1631F" w:rsidP="0027484F">
            <w:r>
              <w:t>R-III #2</w:t>
            </w:r>
          </w:p>
        </w:tc>
        <w:tc>
          <w:tcPr>
            <w:tcW w:w="5266" w:type="dxa"/>
            <w:shd w:val="clear" w:color="auto" w:fill="auto"/>
          </w:tcPr>
          <w:p w:rsidR="00C1631F" w:rsidRDefault="00C1631F" w:rsidP="000F6D4B">
            <w:pPr>
              <w:jc w:val="both"/>
              <w:rPr>
                <w:rFonts w:cs="Arial"/>
              </w:rPr>
            </w:pPr>
            <w:r>
              <w:rPr>
                <w:rFonts w:cs="Arial"/>
              </w:rPr>
              <w:t>Paragraph 02.04.d</w:t>
            </w:r>
          </w:p>
          <w:p w:rsidR="00C1631F" w:rsidRDefault="00C1631F" w:rsidP="000F6D4B">
            <w:pPr>
              <w:jc w:val="both"/>
              <w:rPr>
                <w:rFonts w:cs="Arial"/>
              </w:rPr>
            </w:pPr>
          </w:p>
          <w:p w:rsidR="00C1631F" w:rsidRDefault="00C1631F" w:rsidP="000F6D4B">
            <w:pPr>
              <w:pStyle w:val="ListParagraph"/>
              <w:spacing w:line="240" w:lineRule="atLeast"/>
              <w:ind w:left="0"/>
              <w:jc w:val="both"/>
              <w:rPr>
                <w:rFonts w:ascii="Arial" w:hAnsi="Arial" w:cs="Arial"/>
                <w:sz w:val="22"/>
                <w:szCs w:val="22"/>
              </w:rPr>
            </w:pPr>
            <w:r w:rsidRPr="00C1631F">
              <w:rPr>
                <w:rFonts w:ascii="Arial" w:hAnsi="Arial" w:cs="Arial"/>
              </w:rPr>
              <w:t xml:space="preserve">Excerpt:  </w:t>
            </w:r>
            <w:r w:rsidRPr="00C1631F">
              <w:rPr>
                <w:rFonts w:ascii="Arial" w:hAnsi="Arial" w:cs="Arial"/>
                <w:sz w:val="22"/>
                <w:szCs w:val="22"/>
              </w:rPr>
              <w:t xml:space="preserve">For example, </w:t>
            </w:r>
            <w:r w:rsidRPr="00C1631F">
              <w:rPr>
                <w:rFonts w:ascii="Arial" w:hAnsi="Arial" w:cs="Arial"/>
                <w:color w:val="FF0000"/>
                <w:sz w:val="22"/>
                <w:szCs w:val="22"/>
              </w:rPr>
              <w:t>the function of the containment and its systems must not be significantly degraded</w:t>
            </w:r>
            <w:r w:rsidRPr="00C1631F">
              <w:rPr>
                <w:rFonts w:ascii="Arial" w:hAnsi="Arial" w:cs="Arial"/>
                <w:sz w:val="22"/>
                <w:szCs w:val="22"/>
              </w:rPr>
              <w:t xml:space="preserve"> when SSCs are moved to the RISC</w:t>
            </w:r>
            <w:r w:rsidRPr="00C1631F">
              <w:rPr>
                <w:rFonts w:ascii="Arial" w:hAnsi="Arial" w:cs="Arial"/>
                <w:sz w:val="22"/>
                <w:szCs w:val="22"/>
              </w:rPr>
              <w:noBreakHyphen/>
              <w:t>3 category.</w:t>
            </w:r>
          </w:p>
          <w:p w:rsidR="00C1631F" w:rsidRDefault="00C1631F" w:rsidP="000F6D4B">
            <w:pPr>
              <w:pStyle w:val="ListParagraph"/>
              <w:spacing w:line="240" w:lineRule="atLeast"/>
              <w:ind w:left="0"/>
              <w:jc w:val="both"/>
              <w:rPr>
                <w:rFonts w:ascii="Arial" w:hAnsi="Arial" w:cs="Arial"/>
                <w:sz w:val="22"/>
                <w:szCs w:val="22"/>
              </w:rPr>
            </w:pPr>
          </w:p>
          <w:p w:rsidR="00C1631F" w:rsidRPr="00C1631F" w:rsidRDefault="00C1631F" w:rsidP="000F6D4B">
            <w:pPr>
              <w:pStyle w:val="ListParagraph"/>
              <w:spacing w:line="240" w:lineRule="atLeast"/>
              <w:ind w:left="0"/>
              <w:jc w:val="both"/>
              <w:rPr>
                <w:rFonts w:ascii="Arial" w:hAnsi="Arial" w:cs="Arial"/>
                <w:sz w:val="22"/>
                <w:szCs w:val="22"/>
              </w:rPr>
            </w:pPr>
            <w:r w:rsidRPr="00C1631F">
              <w:rPr>
                <w:rFonts w:ascii="Arial" w:hAnsi="Arial" w:cs="Arial"/>
                <w:sz w:val="22"/>
                <w:szCs w:val="22"/>
              </w:rPr>
              <w:t xml:space="preserve">Recommendation:  </w:t>
            </w:r>
            <w:r w:rsidRPr="00C1631F">
              <w:rPr>
                <w:rFonts w:ascii="Arial" w:hAnsi="Arial" w:cs="Arial"/>
                <w:szCs w:val="22"/>
              </w:rPr>
              <w:t xml:space="preserve">Special treatment does not equate to degradation of SSC function.  Recommend deleting this example.    </w:t>
            </w:r>
          </w:p>
          <w:p w:rsidR="00C1631F" w:rsidRDefault="00C1631F" w:rsidP="000F6D4B">
            <w:pPr>
              <w:jc w:val="both"/>
              <w:rPr>
                <w:rFonts w:cs="Arial"/>
              </w:rPr>
            </w:pPr>
          </w:p>
        </w:tc>
        <w:tc>
          <w:tcPr>
            <w:tcW w:w="990" w:type="dxa"/>
            <w:shd w:val="clear" w:color="auto" w:fill="auto"/>
          </w:tcPr>
          <w:p w:rsidR="00C1631F" w:rsidRDefault="000B3E44" w:rsidP="000F6D4B">
            <w:pPr>
              <w:jc w:val="center"/>
            </w:pPr>
            <w:r>
              <w:t>No</w:t>
            </w:r>
          </w:p>
        </w:tc>
        <w:tc>
          <w:tcPr>
            <w:tcW w:w="6678" w:type="dxa"/>
            <w:shd w:val="clear" w:color="auto" w:fill="auto"/>
          </w:tcPr>
          <w:p w:rsidR="00C1631F" w:rsidRDefault="000B3E44" w:rsidP="000F6D4B">
            <w:pPr>
              <w:jc w:val="both"/>
            </w:pPr>
            <w:r>
              <w:t>The</w:t>
            </w:r>
            <w:r w:rsidR="007D3413">
              <w:t xml:space="preserve"> example of containment spray was intended </w:t>
            </w:r>
            <w:r>
              <w:t xml:space="preserve">to demonstrate how defense in depth is maintained in a 50.69 special treatment program.  Alternative special treatment applied </w:t>
            </w:r>
            <w:r w:rsidR="00F57ECC">
              <w:t>under</w:t>
            </w:r>
            <w:r>
              <w:t xml:space="preserve"> 50.69 special treatment </w:t>
            </w:r>
            <w:proofErr w:type="gramStart"/>
            <w:r>
              <w:t>program</w:t>
            </w:r>
            <w:proofErr w:type="gramEnd"/>
            <w:r>
              <w:t xml:space="preserve"> should ensure that RISC-3 SSCs are fully capable of performing their intended safety-related function under design basis conditions.   </w:t>
            </w:r>
          </w:p>
        </w:tc>
      </w:tr>
      <w:tr w:rsidR="00777D05" w:rsidTr="00F452D9">
        <w:trPr>
          <w:trHeight w:val="305"/>
        </w:trPr>
        <w:tc>
          <w:tcPr>
            <w:tcW w:w="962" w:type="dxa"/>
          </w:tcPr>
          <w:p w:rsidR="00777D05" w:rsidRDefault="00777D05" w:rsidP="0027484F">
            <w:r>
              <w:t>R-III #3</w:t>
            </w:r>
          </w:p>
        </w:tc>
        <w:tc>
          <w:tcPr>
            <w:tcW w:w="5266" w:type="dxa"/>
            <w:shd w:val="clear" w:color="auto" w:fill="auto"/>
          </w:tcPr>
          <w:p w:rsidR="00777D05" w:rsidRDefault="00777D05" w:rsidP="000F6D4B">
            <w:pPr>
              <w:jc w:val="both"/>
              <w:rPr>
                <w:rFonts w:cs="Arial"/>
              </w:rPr>
            </w:pPr>
            <w:r>
              <w:rPr>
                <w:rFonts w:cs="Arial"/>
              </w:rPr>
              <w:t>Paragraph 37060-05</w:t>
            </w:r>
          </w:p>
          <w:p w:rsidR="00777D05" w:rsidRDefault="00777D05" w:rsidP="000F6D4B">
            <w:pPr>
              <w:jc w:val="both"/>
              <w:rPr>
                <w:rFonts w:cs="Arial"/>
              </w:rPr>
            </w:pPr>
          </w:p>
          <w:p w:rsidR="00BF1440" w:rsidRDefault="00777D05" w:rsidP="000F6D4B">
            <w:pPr>
              <w:jc w:val="both"/>
              <w:rPr>
                <w:rFonts w:cs="Arial"/>
                <w:color w:val="FF0000"/>
                <w:szCs w:val="22"/>
              </w:rPr>
            </w:pPr>
            <w:r>
              <w:rPr>
                <w:rFonts w:cs="Arial"/>
              </w:rPr>
              <w:t xml:space="preserve">Excerpt:  </w:t>
            </w:r>
            <w:r w:rsidR="00BF1440" w:rsidRPr="00CA384E">
              <w:rPr>
                <w:rFonts w:cs="Arial"/>
                <w:szCs w:val="22"/>
              </w:rPr>
              <w:t>A nuclear power plant granted a license amendment to implement 10 CFR 50.69 may be allowed to remove the special treatment requirements in the NRC regulations for most of its safety-related SSCs</w:t>
            </w:r>
            <w:r w:rsidR="00BF1440" w:rsidRPr="00CA384E">
              <w:rPr>
                <w:rFonts w:cs="Arial"/>
                <w:color w:val="FF0000"/>
                <w:szCs w:val="22"/>
              </w:rPr>
              <w:t xml:space="preserve"> based on their categorization as RISC-3 SSCs.</w:t>
            </w:r>
          </w:p>
          <w:p w:rsidR="00BF1440" w:rsidRDefault="00BF1440" w:rsidP="000F6D4B">
            <w:pPr>
              <w:spacing w:before="98" w:after="43"/>
              <w:jc w:val="both"/>
              <w:rPr>
                <w:szCs w:val="22"/>
              </w:rPr>
            </w:pPr>
            <w:r>
              <w:rPr>
                <w:rFonts w:cs="Arial"/>
              </w:rPr>
              <w:t xml:space="preserve">Recommendation:  </w:t>
            </w:r>
            <w:r>
              <w:rPr>
                <w:szCs w:val="22"/>
              </w:rPr>
              <w:t>Reword:</w:t>
            </w:r>
          </w:p>
          <w:p w:rsidR="00BF1440" w:rsidRPr="00BF1440" w:rsidRDefault="00BF1440" w:rsidP="000F6D4B">
            <w:pPr>
              <w:jc w:val="both"/>
              <w:rPr>
                <w:rFonts w:cs="Arial"/>
              </w:rPr>
            </w:pPr>
            <w:proofErr w:type="gramStart"/>
            <w:r>
              <w:rPr>
                <w:szCs w:val="22"/>
              </w:rPr>
              <w:t>based</w:t>
            </w:r>
            <w:proofErr w:type="gramEnd"/>
            <w:r>
              <w:rPr>
                <w:szCs w:val="22"/>
              </w:rPr>
              <w:t xml:space="preserve"> on their categorization as </w:t>
            </w:r>
            <w:r w:rsidRPr="00CA384E">
              <w:rPr>
                <w:color w:val="FF0000"/>
                <w:szCs w:val="22"/>
              </w:rPr>
              <w:t>RISC-3 and RISC-4 SSCS.</w:t>
            </w:r>
          </w:p>
        </w:tc>
        <w:tc>
          <w:tcPr>
            <w:tcW w:w="990" w:type="dxa"/>
            <w:shd w:val="clear" w:color="auto" w:fill="auto"/>
          </w:tcPr>
          <w:p w:rsidR="00777D05" w:rsidRDefault="000B3E44" w:rsidP="000F6D4B">
            <w:pPr>
              <w:jc w:val="center"/>
            </w:pPr>
            <w:r>
              <w:t>No</w:t>
            </w:r>
          </w:p>
        </w:tc>
        <w:tc>
          <w:tcPr>
            <w:tcW w:w="6678" w:type="dxa"/>
            <w:shd w:val="clear" w:color="auto" w:fill="auto"/>
          </w:tcPr>
          <w:p w:rsidR="00777D05" w:rsidRDefault="000B3E44" w:rsidP="000F6D4B">
            <w:pPr>
              <w:jc w:val="both"/>
            </w:pPr>
            <w:r>
              <w:t xml:space="preserve">RISC-4 </w:t>
            </w:r>
            <w:proofErr w:type="spellStart"/>
            <w:r>
              <w:t>SSCs</w:t>
            </w:r>
            <w:proofErr w:type="spellEnd"/>
            <w:r>
              <w:t xml:space="preserve"> are </w:t>
            </w:r>
            <w:proofErr w:type="spellStart"/>
            <w:r>
              <w:t>nonsafety</w:t>
            </w:r>
            <w:proofErr w:type="spellEnd"/>
            <w:r>
              <w:t xml:space="preserve">-related </w:t>
            </w:r>
            <w:proofErr w:type="spellStart"/>
            <w:r>
              <w:t>SSCs</w:t>
            </w:r>
            <w:proofErr w:type="spellEnd"/>
            <w:r>
              <w:t xml:space="preserve"> that perform low safety significant functions.  It is assumed that </w:t>
            </w:r>
            <w:proofErr w:type="spellStart"/>
            <w:r>
              <w:t>nonsafety</w:t>
            </w:r>
            <w:proofErr w:type="spellEnd"/>
            <w:r>
              <w:t xml:space="preserve">-related </w:t>
            </w:r>
            <w:proofErr w:type="spellStart"/>
            <w:r>
              <w:t>SSCs</w:t>
            </w:r>
            <w:proofErr w:type="spellEnd"/>
            <w:r>
              <w:t xml:space="preserve"> will not have special treatment applied</w:t>
            </w:r>
            <w:r w:rsidR="004F5C6D">
              <w:t xml:space="preserve"> prior to implementing a 50.69 special treatment program</w:t>
            </w:r>
            <w:r>
              <w:t>, and that RISC-4 SSCs will continue to have no special treatment requirements under a 50.69 s</w:t>
            </w:r>
            <w:r w:rsidR="00192558">
              <w:t>pecial treatment program.</w:t>
            </w:r>
            <w:r>
              <w:t xml:space="preserve">  </w:t>
            </w:r>
          </w:p>
        </w:tc>
      </w:tr>
      <w:tr w:rsidR="00BF1440" w:rsidTr="00F452D9">
        <w:trPr>
          <w:trHeight w:val="305"/>
        </w:trPr>
        <w:tc>
          <w:tcPr>
            <w:tcW w:w="962" w:type="dxa"/>
          </w:tcPr>
          <w:p w:rsidR="00BF1440" w:rsidRDefault="00BF1440" w:rsidP="0027484F">
            <w:r>
              <w:t xml:space="preserve">R-III </w:t>
            </w:r>
            <w:r w:rsidR="00333543">
              <w:t>#4</w:t>
            </w:r>
          </w:p>
        </w:tc>
        <w:tc>
          <w:tcPr>
            <w:tcW w:w="5266" w:type="dxa"/>
            <w:shd w:val="clear" w:color="auto" w:fill="auto"/>
          </w:tcPr>
          <w:p w:rsidR="00BF1440" w:rsidRDefault="00333543" w:rsidP="000F6D4B">
            <w:pPr>
              <w:jc w:val="both"/>
              <w:rPr>
                <w:rFonts w:cs="Arial"/>
              </w:rPr>
            </w:pPr>
            <w:r>
              <w:rPr>
                <w:rFonts w:cs="Arial"/>
              </w:rPr>
              <w:t>Paragraph 02.01</w:t>
            </w:r>
          </w:p>
          <w:p w:rsidR="00333543" w:rsidRDefault="00333543" w:rsidP="000F6D4B">
            <w:pPr>
              <w:jc w:val="both"/>
              <w:rPr>
                <w:rFonts w:cs="Arial"/>
              </w:rPr>
            </w:pPr>
          </w:p>
          <w:p w:rsidR="00333543" w:rsidRDefault="00333543" w:rsidP="000F6D4B">
            <w:pPr>
              <w:spacing w:line="240" w:lineRule="atLeast"/>
              <w:jc w:val="both"/>
              <w:rPr>
                <w:rFonts w:cs="Arial"/>
              </w:rPr>
            </w:pPr>
            <w:r>
              <w:rPr>
                <w:rFonts w:cs="Arial"/>
              </w:rPr>
              <w:t xml:space="preserve">Excerpt:  </w:t>
            </w:r>
            <w:r w:rsidRPr="002A6667">
              <w:rPr>
                <w:rFonts w:cs="Arial"/>
              </w:rPr>
              <w:t xml:space="preserve">These prescriptive requirements </w:t>
            </w:r>
            <w:r>
              <w:rPr>
                <w:rFonts w:cs="Arial"/>
              </w:rPr>
              <w:t>…</w:t>
            </w:r>
            <w:r w:rsidRPr="002A6667">
              <w:rPr>
                <w:rFonts w:cs="Arial"/>
              </w:rPr>
              <w:t xml:space="preserve"> In </w:t>
            </w:r>
            <w:r w:rsidRPr="002A6667">
              <w:rPr>
                <w:rFonts w:cs="Arial"/>
              </w:rPr>
              <w:lastRenderedPageBreak/>
              <w:t xml:space="preserve">many instances, </w:t>
            </w:r>
            <w:r>
              <w:rPr>
                <w:rFonts w:cs="Arial"/>
              </w:rPr>
              <w:t xml:space="preserve">the NRC developed </w:t>
            </w:r>
            <w:r w:rsidRPr="002A6667">
              <w:rPr>
                <w:rFonts w:cs="Arial"/>
              </w:rPr>
              <w:t xml:space="preserve">these “special treatment” requirements </w:t>
            </w:r>
            <w:r w:rsidRPr="00FC4980">
              <w:rPr>
                <w:rFonts w:cs="Arial"/>
                <w:strike/>
                <w:highlight w:val="yellow"/>
              </w:rPr>
              <w:t>were developed</w:t>
            </w:r>
            <w:r>
              <w:rPr>
                <w:rFonts w:cs="Arial"/>
              </w:rPr>
              <w:t xml:space="preserve"> </w:t>
            </w:r>
            <w:r w:rsidRPr="002A6667">
              <w:rPr>
                <w:rFonts w:cs="Arial"/>
              </w:rPr>
              <w:t xml:space="preserve">as a means to gain assurance when more direct measures (e.g., testing under </w:t>
            </w:r>
            <w:proofErr w:type="spellStart"/>
            <w:r w:rsidRPr="002A6667">
              <w:rPr>
                <w:rFonts w:cs="Arial"/>
              </w:rPr>
              <w:t>design</w:t>
            </w:r>
            <w:r>
              <w:rPr>
                <w:rFonts w:cs="Arial"/>
              </w:rPr>
              <w:noBreakHyphen/>
            </w:r>
            <w:r w:rsidRPr="002A6667">
              <w:rPr>
                <w:rFonts w:cs="Arial"/>
              </w:rPr>
              <w:t>basis</w:t>
            </w:r>
            <w:proofErr w:type="spellEnd"/>
            <w:r w:rsidRPr="002A6667">
              <w:rPr>
                <w:rFonts w:cs="Arial"/>
              </w:rPr>
              <w:t xml:space="preserve"> conditions or routine operation) could not show that SSCs were functionally capable.</w:t>
            </w:r>
          </w:p>
          <w:p w:rsidR="00333543" w:rsidRDefault="00333543" w:rsidP="000F6D4B">
            <w:pPr>
              <w:jc w:val="both"/>
              <w:rPr>
                <w:rFonts w:cs="Arial"/>
              </w:rPr>
            </w:pPr>
          </w:p>
          <w:p w:rsidR="00374EC5" w:rsidRDefault="00374EC5" w:rsidP="000F6D4B">
            <w:pPr>
              <w:jc w:val="both"/>
              <w:rPr>
                <w:rFonts w:cs="Arial"/>
              </w:rPr>
            </w:pPr>
            <w:r>
              <w:rPr>
                <w:rFonts w:cs="Arial"/>
              </w:rPr>
              <w:t>Recommendation: Reword</w:t>
            </w:r>
          </w:p>
        </w:tc>
        <w:tc>
          <w:tcPr>
            <w:tcW w:w="990" w:type="dxa"/>
            <w:shd w:val="clear" w:color="auto" w:fill="auto"/>
          </w:tcPr>
          <w:p w:rsidR="00BF1440" w:rsidRDefault="00192558" w:rsidP="000F6D4B">
            <w:pPr>
              <w:jc w:val="center"/>
            </w:pPr>
            <w:r>
              <w:lastRenderedPageBreak/>
              <w:t>Yes</w:t>
            </w:r>
          </w:p>
        </w:tc>
        <w:tc>
          <w:tcPr>
            <w:tcW w:w="6678" w:type="dxa"/>
            <w:shd w:val="clear" w:color="auto" w:fill="auto"/>
          </w:tcPr>
          <w:p w:rsidR="00BF1440" w:rsidRDefault="00F57ECC" w:rsidP="000F6D4B">
            <w:pPr>
              <w:jc w:val="both"/>
            </w:pPr>
            <w:r>
              <w:t>Concur with editorial comment.</w:t>
            </w:r>
          </w:p>
        </w:tc>
      </w:tr>
      <w:tr w:rsidR="00374EC5" w:rsidTr="00F452D9">
        <w:trPr>
          <w:trHeight w:val="305"/>
        </w:trPr>
        <w:tc>
          <w:tcPr>
            <w:tcW w:w="962" w:type="dxa"/>
          </w:tcPr>
          <w:p w:rsidR="00374EC5" w:rsidRDefault="00374EC5" w:rsidP="0027484F">
            <w:r>
              <w:lastRenderedPageBreak/>
              <w:t>R-III #5</w:t>
            </w:r>
          </w:p>
        </w:tc>
        <w:tc>
          <w:tcPr>
            <w:tcW w:w="5266" w:type="dxa"/>
            <w:shd w:val="clear" w:color="auto" w:fill="auto"/>
          </w:tcPr>
          <w:p w:rsidR="00374EC5" w:rsidRDefault="00374EC5" w:rsidP="000F6D4B">
            <w:pPr>
              <w:jc w:val="both"/>
              <w:rPr>
                <w:rFonts w:cs="Arial"/>
              </w:rPr>
            </w:pPr>
            <w:r>
              <w:rPr>
                <w:rFonts w:cs="Arial"/>
              </w:rPr>
              <w:t>Paragraph 02.04(e)</w:t>
            </w:r>
          </w:p>
          <w:p w:rsidR="00374EC5" w:rsidRDefault="00374EC5" w:rsidP="000F6D4B">
            <w:pPr>
              <w:jc w:val="both"/>
              <w:rPr>
                <w:rFonts w:cs="Arial"/>
              </w:rPr>
            </w:pPr>
          </w:p>
          <w:p w:rsidR="00374EC5" w:rsidRDefault="00374EC5" w:rsidP="000F6D4B">
            <w:pPr>
              <w:jc w:val="both"/>
              <w:rPr>
                <w:rFonts w:cs="Arial"/>
                <w:szCs w:val="22"/>
              </w:rPr>
            </w:pPr>
            <w:r>
              <w:rPr>
                <w:rFonts w:cs="Arial"/>
              </w:rPr>
              <w:t xml:space="preserve">Excerpt:  </w:t>
            </w:r>
            <w:r w:rsidRPr="00C374DA">
              <w:rPr>
                <w:rFonts w:cs="Arial"/>
                <w:szCs w:val="22"/>
              </w:rPr>
              <w:t>For the sampled SSCs, the inspector should confirm that the licensee’s evaluation performed to satisfy 10 CFR 50.69(c)(1)(iv) demonstrates that failure of all components categorized as RISC</w:t>
            </w:r>
            <w:r w:rsidRPr="00C374DA">
              <w:rPr>
                <w:rFonts w:cs="Arial"/>
                <w:szCs w:val="22"/>
              </w:rPr>
              <w:noBreakHyphen/>
              <w:t xml:space="preserve">3 will result in a small change to core damage and </w:t>
            </w:r>
            <w:r w:rsidRPr="00C374DA">
              <w:rPr>
                <w:rFonts w:cs="Arial"/>
                <w:strike/>
                <w:szCs w:val="22"/>
                <w:highlight w:val="yellow"/>
              </w:rPr>
              <w:t>a</w:t>
            </w:r>
            <w:r w:rsidRPr="00C374DA">
              <w:rPr>
                <w:rFonts w:cs="Arial"/>
                <w:strike/>
                <w:szCs w:val="22"/>
              </w:rPr>
              <w:t xml:space="preserve"> </w:t>
            </w:r>
            <w:r w:rsidRPr="00C374DA">
              <w:rPr>
                <w:rFonts w:cs="Arial"/>
                <w:szCs w:val="22"/>
              </w:rPr>
              <w:t xml:space="preserve">large </w:t>
            </w:r>
            <w:r w:rsidRPr="00C374DA">
              <w:rPr>
                <w:rFonts w:cs="Arial"/>
                <w:szCs w:val="22"/>
                <w:highlight w:val="yellow"/>
              </w:rPr>
              <w:t>early</w:t>
            </w:r>
            <w:r w:rsidRPr="00C374DA">
              <w:rPr>
                <w:rFonts w:cs="Arial"/>
                <w:szCs w:val="22"/>
              </w:rPr>
              <w:t xml:space="preserve"> release frequency.</w:t>
            </w:r>
          </w:p>
          <w:p w:rsidR="00374EC5" w:rsidRDefault="00374EC5" w:rsidP="000F6D4B">
            <w:pPr>
              <w:jc w:val="both"/>
              <w:rPr>
                <w:rFonts w:cs="Arial"/>
                <w:szCs w:val="22"/>
              </w:rPr>
            </w:pPr>
          </w:p>
          <w:p w:rsidR="00374EC5" w:rsidRDefault="00374EC5" w:rsidP="000F6D4B">
            <w:pPr>
              <w:jc w:val="both"/>
              <w:rPr>
                <w:rFonts w:cs="Arial"/>
              </w:rPr>
            </w:pPr>
            <w:r>
              <w:rPr>
                <w:rFonts w:cs="Arial"/>
                <w:szCs w:val="22"/>
              </w:rPr>
              <w:t>Recommendation: Reword</w:t>
            </w:r>
          </w:p>
        </w:tc>
        <w:tc>
          <w:tcPr>
            <w:tcW w:w="990" w:type="dxa"/>
            <w:shd w:val="clear" w:color="auto" w:fill="auto"/>
          </w:tcPr>
          <w:p w:rsidR="00374EC5" w:rsidRDefault="00192558" w:rsidP="000F6D4B">
            <w:pPr>
              <w:jc w:val="center"/>
            </w:pPr>
            <w:r>
              <w:t>Yes</w:t>
            </w:r>
          </w:p>
        </w:tc>
        <w:tc>
          <w:tcPr>
            <w:tcW w:w="6678" w:type="dxa"/>
            <w:shd w:val="clear" w:color="auto" w:fill="auto"/>
          </w:tcPr>
          <w:p w:rsidR="00374EC5" w:rsidRDefault="00192558" w:rsidP="000F6D4B">
            <w:pPr>
              <w:jc w:val="both"/>
            </w:pPr>
            <w:r>
              <w:t>Concur with editorial comment.</w:t>
            </w:r>
          </w:p>
        </w:tc>
      </w:tr>
      <w:tr w:rsidR="00EB3A22" w:rsidTr="00F452D9">
        <w:tc>
          <w:tcPr>
            <w:tcW w:w="962" w:type="dxa"/>
          </w:tcPr>
          <w:p w:rsidR="00EB3A22" w:rsidRDefault="00EB3A22" w:rsidP="003C3F2D">
            <w:r>
              <w:t>R-IV #1</w:t>
            </w:r>
          </w:p>
        </w:tc>
        <w:tc>
          <w:tcPr>
            <w:tcW w:w="5266" w:type="dxa"/>
          </w:tcPr>
          <w:p w:rsidR="00EB3A22" w:rsidRDefault="00EB3A22" w:rsidP="000F6D4B">
            <w:pPr>
              <w:pStyle w:val="CommentText"/>
              <w:jc w:val="both"/>
              <w:rPr>
                <w:rStyle w:val="CommentReference"/>
                <w:rFonts w:ascii="Arial" w:hAnsi="Arial" w:cs="Arial"/>
                <w:sz w:val="22"/>
                <w:szCs w:val="22"/>
              </w:rPr>
            </w:pPr>
            <w:r>
              <w:rPr>
                <w:rStyle w:val="CommentReference"/>
                <w:rFonts w:ascii="Arial" w:hAnsi="Arial" w:cs="Arial"/>
                <w:sz w:val="22"/>
                <w:szCs w:val="22"/>
              </w:rPr>
              <w:t>Paragraph 02.03.b.</w:t>
            </w:r>
          </w:p>
          <w:p w:rsidR="00EB3A22" w:rsidRDefault="00EB3A22" w:rsidP="000F6D4B">
            <w:pPr>
              <w:pStyle w:val="CommentText"/>
              <w:jc w:val="both"/>
              <w:rPr>
                <w:rStyle w:val="CommentReference"/>
                <w:rFonts w:ascii="Arial" w:hAnsi="Arial" w:cs="Arial"/>
                <w:sz w:val="22"/>
                <w:szCs w:val="22"/>
              </w:rPr>
            </w:pPr>
          </w:p>
          <w:p w:rsidR="00EB3A22" w:rsidRDefault="00EB3A22" w:rsidP="000F6D4B">
            <w:pPr>
              <w:jc w:val="both"/>
            </w:pPr>
            <w:r>
              <w:rPr>
                <w:rStyle w:val="CommentReference"/>
                <w:rFonts w:cs="Arial"/>
                <w:sz w:val="22"/>
                <w:szCs w:val="22"/>
              </w:rPr>
              <w:t xml:space="preserve">Comment:  </w:t>
            </w:r>
            <w:r>
              <w:t xml:space="preserve">This section appears to contradict itself.  It states, “NRC’s </w:t>
            </w:r>
            <w:proofErr w:type="gramStart"/>
            <w:r>
              <w:t>review .</w:t>
            </w:r>
            <w:proofErr w:type="gramEnd"/>
            <w:r>
              <w:t xml:space="preserve"> ..  </w:t>
            </w:r>
            <w:proofErr w:type="gramStart"/>
            <w:r>
              <w:t>will</w:t>
            </w:r>
            <w:proofErr w:type="gramEnd"/>
            <w:r>
              <w:t xml:space="preserve"> consider the adequacy of the PRA by focusing on the results of the peer review and the actions that the licensee has taken to address any peer review findings.  However, it goes on to state, “The Commission has determined that a focused NRC review of the PRA is necessary because the key assumptions and modeling parameters exist that can have a significant impact on the results.”</w:t>
            </w:r>
          </w:p>
          <w:p w:rsidR="00EB3A22" w:rsidRDefault="00EB3A22" w:rsidP="000F6D4B">
            <w:pPr>
              <w:jc w:val="both"/>
            </w:pPr>
          </w:p>
          <w:p w:rsidR="00EB3A22" w:rsidRPr="008361E6" w:rsidRDefault="00EB3A22" w:rsidP="000F6D4B">
            <w:pPr>
              <w:jc w:val="both"/>
              <w:rPr>
                <w:rStyle w:val="CommentReference"/>
                <w:rFonts w:cs="Arial"/>
                <w:sz w:val="22"/>
                <w:szCs w:val="22"/>
              </w:rPr>
            </w:pPr>
            <w:r>
              <w:t>It is not clear that focusing on the peer review meets the Commission’s requirement to have a focused NRC review of the PRA.</w:t>
            </w:r>
          </w:p>
        </w:tc>
        <w:tc>
          <w:tcPr>
            <w:tcW w:w="990" w:type="dxa"/>
          </w:tcPr>
          <w:p w:rsidR="00EB3A22" w:rsidRDefault="00F92C4F" w:rsidP="000F6D4B">
            <w:pPr>
              <w:jc w:val="center"/>
            </w:pPr>
            <w:r>
              <w:t>Yes</w:t>
            </w:r>
          </w:p>
        </w:tc>
        <w:tc>
          <w:tcPr>
            <w:tcW w:w="6678" w:type="dxa"/>
          </w:tcPr>
          <w:p w:rsidR="00EB3A22" w:rsidRDefault="00F92C4F" w:rsidP="000F6D4B">
            <w:pPr>
              <w:jc w:val="both"/>
            </w:pPr>
            <w:r>
              <w:t>Concur with comment.  The following will be added to Paragraph 02.03.b “will consider the adequacy of t</w:t>
            </w:r>
            <w:r w:rsidR="00BC7578">
              <w:t xml:space="preserve">he PRG by focusing at a minimum on </w:t>
            </w:r>
            <w:r w:rsidR="00E90CAA">
              <w:t xml:space="preserve">severe accident scenarios </w:t>
            </w:r>
            <w:r w:rsidR="00BC7578">
              <w:t xml:space="preserve">models </w:t>
            </w:r>
            <w:r w:rsidR="00E90CAA">
              <w:t>resulting from internal initiating events occurring at full power operations and sufficient quality and level of detail to support the categorization process.  The PRA must be subject to a peer review process assessed against a standard or set of acceptance criteria that is endorsed by the NRC.”</w:t>
            </w:r>
          </w:p>
        </w:tc>
      </w:tr>
      <w:tr w:rsidR="00EB3A22" w:rsidTr="002844CA">
        <w:trPr>
          <w:trHeight w:val="1547"/>
        </w:trPr>
        <w:tc>
          <w:tcPr>
            <w:tcW w:w="962" w:type="dxa"/>
          </w:tcPr>
          <w:p w:rsidR="00EB3A22" w:rsidRDefault="00EB3A22" w:rsidP="003C3F2D">
            <w:r>
              <w:lastRenderedPageBreak/>
              <w:t>R-IV #2</w:t>
            </w:r>
          </w:p>
        </w:tc>
        <w:tc>
          <w:tcPr>
            <w:tcW w:w="5266" w:type="dxa"/>
          </w:tcPr>
          <w:p w:rsidR="00EB3A22" w:rsidRDefault="00EB3A22" w:rsidP="000F6D4B">
            <w:pPr>
              <w:pStyle w:val="CommentText"/>
              <w:jc w:val="both"/>
              <w:rPr>
                <w:rStyle w:val="CommentReference"/>
                <w:rFonts w:ascii="Arial" w:hAnsi="Arial" w:cs="Arial"/>
                <w:sz w:val="22"/>
                <w:szCs w:val="22"/>
              </w:rPr>
            </w:pPr>
            <w:r>
              <w:rPr>
                <w:rStyle w:val="CommentReference"/>
                <w:rFonts w:ascii="Arial" w:hAnsi="Arial" w:cs="Arial"/>
                <w:sz w:val="22"/>
                <w:szCs w:val="22"/>
              </w:rPr>
              <w:t>Paragraph 02.03.d.</w:t>
            </w:r>
          </w:p>
          <w:p w:rsidR="00EB3A22" w:rsidRDefault="00EB3A22" w:rsidP="000F6D4B">
            <w:pPr>
              <w:pStyle w:val="CommentText"/>
              <w:jc w:val="both"/>
              <w:rPr>
                <w:rStyle w:val="CommentReference"/>
                <w:rFonts w:ascii="Arial" w:hAnsi="Arial" w:cs="Arial"/>
                <w:sz w:val="22"/>
                <w:szCs w:val="22"/>
              </w:rPr>
            </w:pPr>
          </w:p>
          <w:p w:rsidR="00EB3A22" w:rsidRDefault="00EB3A22" w:rsidP="000F6D4B">
            <w:pPr>
              <w:jc w:val="both"/>
            </w:pPr>
            <w:r>
              <w:rPr>
                <w:rStyle w:val="CommentReference"/>
                <w:rFonts w:cs="Arial"/>
                <w:sz w:val="22"/>
                <w:szCs w:val="22"/>
              </w:rPr>
              <w:t xml:space="preserve">Comment:  </w:t>
            </w:r>
            <w:r>
              <w:t>This section states that licensee’s must maintain defense-in-depth requirements and demonstrate that the function is not significantly degraded.  However, there is no standard or guidance to the inspector in this paragraph, nor in Paragraph 02.04.d that defines acceptable degradation of RISC-3 SSCs.</w:t>
            </w:r>
          </w:p>
        </w:tc>
        <w:tc>
          <w:tcPr>
            <w:tcW w:w="990" w:type="dxa"/>
          </w:tcPr>
          <w:p w:rsidR="00EB3A22" w:rsidRDefault="00EB3A22" w:rsidP="009334A8">
            <w:pPr>
              <w:jc w:val="center"/>
            </w:pPr>
            <w:r>
              <w:t>Yes</w:t>
            </w:r>
          </w:p>
        </w:tc>
        <w:tc>
          <w:tcPr>
            <w:tcW w:w="6678" w:type="dxa"/>
          </w:tcPr>
          <w:p w:rsidR="00EB3A22" w:rsidRDefault="00EB3A22" w:rsidP="000F6D4B">
            <w:pPr>
              <w:jc w:val="both"/>
            </w:pPr>
            <w:r>
              <w:t>The following was added to paragraph 02.03.d and 02.04.d:</w:t>
            </w:r>
          </w:p>
          <w:p w:rsidR="00EB3A22" w:rsidRDefault="00EB3A22" w:rsidP="000F6D4B">
            <w:pPr>
              <w:jc w:val="both"/>
            </w:pPr>
          </w:p>
          <w:p w:rsidR="00EB3A22" w:rsidRDefault="00EB3A22" w:rsidP="000F6D4B">
            <w:pPr>
              <w:jc w:val="both"/>
            </w:pPr>
            <w:r>
              <w:t>RISC 3 SSCs are considered degraded if it is not fully capable of performing its intended safety-related functions under design basis conditions, including seismic conditions and environmental conditions and throughout their service life.</w:t>
            </w:r>
          </w:p>
        </w:tc>
      </w:tr>
      <w:tr w:rsidR="00EB3A22" w:rsidTr="00F452D9">
        <w:tc>
          <w:tcPr>
            <w:tcW w:w="962" w:type="dxa"/>
          </w:tcPr>
          <w:p w:rsidR="00EB3A22" w:rsidRDefault="00EB3A22" w:rsidP="009749F9">
            <w:r>
              <w:t>R-IV #3</w:t>
            </w:r>
          </w:p>
        </w:tc>
        <w:tc>
          <w:tcPr>
            <w:tcW w:w="5266" w:type="dxa"/>
          </w:tcPr>
          <w:p w:rsidR="00EB3A22" w:rsidRDefault="00EB3A22" w:rsidP="000F6D4B">
            <w:pPr>
              <w:jc w:val="both"/>
            </w:pPr>
            <w:r>
              <w:t xml:space="preserve">Paragraph 02.03.e. </w:t>
            </w:r>
          </w:p>
          <w:p w:rsidR="00EB3A22" w:rsidRDefault="00EB3A22" w:rsidP="000F6D4B">
            <w:pPr>
              <w:jc w:val="both"/>
            </w:pPr>
          </w:p>
          <w:p w:rsidR="00EB3A22" w:rsidRDefault="00EB3A22" w:rsidP="000F6D4B">
            <w:pPr>
              <w:jc w:val="both"/>
            </w:pPr>
            <w:r>
              <w:t>Comment:  The fourth paragraph in this section discusses the basis for denying a licensee’s application under 50.69.  This doesn’t belong in an inspection procedure confirming implementation of an approved license amendment.</w:t>
            </w:r>
          </w:p>
        </w:tc>
        <w:tc>
          <w:tcPr>
            <w:tcW w:w="990" w:type="dxa"/>
          </w:tcPr>
          <w:p w:rsidR="00EB3A22" w:rsidRDefault="000159C1" w:rsidP="009334A8">
            <w:pPr>
              <w:jc w:val="center"/>
            </w:pPr>
            <w:r>
              <w:t>Yes</w:t>
            </w:r>
          </w:p>
        </w:tc>
        <w:tc>
          <w:tcPr>
            <w:tcW w:w="6678" w:type="dxa"/>
          </w:tcPr>
          <w:p w:rsidR="00EB3A22" w:rsidRDefault="000159C1" w:rsidP="000F6D4B">
            <w:pPr>
              <w:jc w:val="both"/>
            </w:pPr>
            <w:r>
              <w:t>Concur with comment.  The following will be deleted from the fourth paragraph of this section:  “</w:t>
            </w:r>
            <w:r w:rsidRPr="00EC5351">
              <w:rPr>
                <w:rFonts w:cs="Arial"/>
              </w:rPr>
              <w:t>However, if there is an indication that the baseline CDF or LERF may be considerably higher than 10</w:t>
            </w:r>
            <w:r>
              <w:rPr>
                <w:rFonts w:cs="Arial"/>
                <w:vertAlign w:val="superscript"/>
              </w:rPr>
              <w:t>-4</w:t>
            </w:r>
            <w:r w:rsidRPr="00EC5351">
              <w:rPr>
                <w:rFonts w:cs="Arial"/>
              </w:rPr>
              <w:t xml:space="preserve"> or 10</w:t>
            </w:r>
            <w:r>
              <w:rPr>
                <w:rFonts w:cs="Arial"/>
                <w:vertAlign w:val="superscript"/>
              </w:rPr>
              <w:t>-5</w:t>
            </w:r>
            <w:r w:rsidRPr="00EC5351">
              <w:rPr>
                <w:rFonts w:cs="Arial"/>
              </w:rPr>
              <w:t xml:space="preserve">, respectively, the licensee </w:t>
            </w:r>
            <w:r>
              <w:rPr>
                <w:rFonts w:cs="Arial"/>
              </w:rPr>
              <w:t xml:space="preserve">must </w:t>
            </w:r>
            <w:r w:rsidRPr="00EC5351">
              <w:rPr>
                <w:rFonts w:cs="Arial"/>
              </w:rPr>
              <w:t xml:space="preserve">either find ways to reduce risk and present the arguments to the NRC staff before implementation of </w:t>
            </w:r>
            <w:r>
              <w:rPr>
                <w:rFonts w:cs="Arial"/>
              </w:rPr>
              <w:t>10 CFR </w:t>
            </w:r>
            <w:r w:rsidRPr="00EC5351">
              <w:rPr>
                <w:rFonts w:cs="Arial"/>
              </w:rPr>
              <w:t>50.69</w:t>
            </w:r>
            <w:r>
              <w:rPr>
                <w:rFonts w:cs="Arial"/>
              </w:rPr>
              <w:t>;</w:t>
            </w:r>
            <w:r w:rsidRPr="00EC5351">
              <w:rPr>
                <w:rFonts w:cs="Arial"/>
              </w:rPr>
              <w:t xml:space="preserve"> otherwise</w:t>
            </w:r>
            <w:r>
              <w:rPr>
                <w:rFonts w:cs="Arial"/>
              </w:rPr>
              <w:t>,</w:t>
            </w:r>
            <w:r w:rsidRPr="00EC5351">
              <w:rPr>
                <w:rFonts w:cs="Arial"/>
              </w:rPr>
              <w:t xml:space="preserve"> the NRC will </w:t>
            </w:r>
            <w:r>
              <w:rPr>
                <w:rFonts w:cs="Arial"/>
              </w:rPr>
              <w:t xml:space="preserve">likely </w:t>
            </w:r>
            <w:r w:rsidRPr="00EC5351">
              <w:rPr>
                <w:rFonts w:cs="Arial"/>
              </w:rPr>
              <w:t xml:space="preserve">deny the </w:t>
            </w:r>
            <w:r>
              <w:rPr>
                <w:rFonts w:cs="Arial"/>
              </w:rPr>
              <w:t>10 CFR </w:t>
            </w:r>
            <w:r w:rsidRPr="00EC5351">
              <w:rPr>
                <w:rFonts w:cs="Arial"/>
              </w:rPr>
              <w:t xml:space="preserve">50.69 </w:t>
            </w:r>
            <w:r w:rsidRPr="00CE6B84">
              <w:rPr>
                <w:rFonts w:cs="Arial"/>
              </w:rPr>
              <w:t>application.</w:t>
            </w:r>
            <w:r>
              <w:rPr>
                <w:rFonts w:cs="Arial"/>
              </w:rPr>
              <w:t>”</w:t>
            </w:r>
          </w:p>
        </w:tc>
      </w:tr>
    </w:tbl>
    <w:p w:rsidR="00875FCF" w:rsidRDefault="00875FCF" w:rsidP="002A04D1"/>
    <w:sectPr w:rsidR="00875FCF" w:rsidSect="002454F1">
      <w:footerReference w:type="default" r:id="rId8"/>
      <w:pgSz w:w="15840" w:h="12240" w:orient="landscape"/>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2B1" w:rsidRDefault="001072B1" w:rsidP="007C7AAC">
      <w:r>
        <w:separator/>
      </w:r>
    </w:p>
  </w:endnote>
  <w:endnote w:type="continuationSeparator" w:id="0">
    <w:p w:rsidR="001072B1" w:rsidRDefault="001072B1" w:rsidP="007C7A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egoe Print">
    <w:altName w:val="Times New Roman"/>
    <w:charset w:val="00"/>
    <w:family w:val="auto"/>
    <w:pitch w:val="variable"/>
    <w:sig w:usb0="0000028F"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04641"/>
      <w:docPartObj>
        <w:docPartGallery w:val="Page Numbers (Bottom of Page)"/>
        <w:docPartUnique/>
      </w:docPartObj>
    </w:sdtPr>
    <w:sdtContent>
      <w:p w:rsidR="007C7AAC" w:rsidRDefault="00082CEE">
        <w:pPr>
          <w:pStyle w:val="Footer"/>
          <w:jc w:val="center"/>
        </w:pPr>
        <w:fldSimple w:instr=" PAGE   \* MERGEFORMAT ">
          <w:r w:rsidR="00F3013D">
            <w:rPr>
              <w:noProof/>
            </w:rPr>
            <w:t>6</w:t>
          </w:r>
        </w:fldSimple>
      </w:p>
    </w:sdtContent>
  </w:sdt>
  <w:p w:rsidR="007C7AAC" w:rsidRDefault="007C7A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2B1" w:rsidRDefault="001072B1" w:rsidP="007C7AAC">
      <w:r>
        <w:separator/>
      </w:r>
    </w:p>
  </w:footnote>
  <w:footnote w:type="continuationSeparator" w:id="0">
    <w:p w:rsidR="001072B1" w:rsidRDefault="001072B1" w:rsidP="007C7A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97ADF"/>
    <w:multiLevelType w:val="hybridMultilevel"/>
    <w:tmpl w:val="FE70A7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E22739"/>
    <w:multiLevelType w:val="hybridMultilevel"/>
    <w:tmpl w:val="049633A6"/>
    <w:lvl w:ilvl="0" w:tplc="2DB8544C">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CB01D70"/>
    <w:multiLevelType w:val="hybridMultilevel"/>
    <w:tmpl w:val="C8248A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341724A"/>
    <w:multiLevelType w:val="hybridMultilevel"/>
    <w:tmpl w:val="18F86B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875FCF"/>
    <w:rsid w:val="00005106"/>
    <w:rsid w:val="000062CD"/>
    <w:rsid w:val="000124B5"/>
    <w:rsid w:val="0001259F"/>
    <w:rsid w:val="000139AD"/>
    <w:rsid w:val="000159C1"/>
    <w:rsid w:val="000159E9"/>
    <w:rsid w:val="00024885"/>
    <w:rsid w:val="00034434"/>
    <w:rsid w:val="00044051"/>
    <w:rsid w:val="00044DE2"/>
    <w:rsid w:val="000474E0"/>
    <w:rsid w:val="00051B57"/>
    <w:rsid w:val="000528F8"/>
    <w:rsid w:val="0005772E"/>
    <w:rsid w:val="00065264"/>
    <w:rsid w:val="00070EC7"/>
    <w:rsid w:val="000769AA"/>
    <w:rsid w:val="00082CEE"/>
    <w:rsid w:val="00085171"/>
    <w:rsid w:val="00086FE0"/>
    <w:rsid w:val="000872B6"/>
    <w:rsid w:val="00091B28"/>
    <w:rsid w:val="000A4965"/>
    <w:rsid w:val="000A4B70"/>
    <w:rsid w:val="000A5E6A"/>
    <w:rsid w:val="000B101A"/>
    <w:rsid w:val="000B3E44"/>
    <w:rsid w:val="000C42C9"/>
    <w:rsid w:val="000C4934"/>
    <w:rsid w:val="000C70AB"/>
    <w:rsid w:val="000C7678"/>
    <w:rsid w:val="000E083B"/>
    <w:rsid w:val="000E3755"/>
    <w:rsid w:val="000F0456"/>
    <w:rsid w:val="000F1CCD"/>
    <w:rsid w:val="000F6D4B"/>
    <w:rsid w:val="000F6E35"/>
    <w:rsid w:val="00101ED2"/>
    <w:rsid w:val="001072B1"/>
    <w:rsid w:val="00111C0A"/>
    <w:rsid w:val="00112DAC"/>
    <w:rsid w:val="00115372"/>
    <w:rsid w:val="001163E6"/>
    <w:rsid w:val="00117084"/>
    <w:rsid w:val="00122702"/>
    <w:rsid w:val="001227B0"/>
    <w:rsid w:val="00126FB7"/>
    <w:rsid w:val="00134681"/>
    <w:rsid w:val="00137895"/>
    <w:rsid w:val="00141515"/>
    <w:rsid w:val="00142A56"/>
    <w:rsid w:val="00144F0A"/>
    <w:rsid w:val="00144F7C"/>
    <w:rsid w:val="00145A92"/>
    <w:rsid w:val="001505F2"/>
    <w:rsid w:val="001529EC"/>
    <w:rsid w:val="0015369E"/>
    <w:rsid w:val="00154644"/>
    <w:rsid w:val="00173B07"/>
    <w:rsid w:val="00190038"/>
    <w:rsid w:val="00190085"/>
    <w:rsid w:val="00191EA7"/>
    <w:rsid w:val="00192558"/>
    <w:rsid w:val="001A2B54"/>
    <w:rsid w:val="001A5226"/>
    <w:rsid w:val="001A6304"/>
    <w:rsid w:val="001C68DD"/>
    <w:rsid w:val="001D4157"/>
    <w:rsid w:val="001E28F3"/>
    <w:rsid w:val="001F18EC"/>
    <w:rsid w:val="001F2106"/>
    <w:rsid w:val="002024C6"/>
    <w:rsid w:val="002157D4"/>
    <w:rsid w:val="00220743"/>
    <w:rsid w:val="0022113F"/>
    <w:rsid w:val="002217BE"/>
    <w:rsid w:val="002412EE"/>
    <w:rsid w:val="002454F1"/>
    <w:rsid w:val="00251061"/>
    <w:rsid w:val="002712E2"/>
    <w:rsid w:val="0027484F"/>
    <w:rsid w:val="002844CA"/>
    <w:rsid w:val="0028470B"/>
    <w:rsid w:val="002A04D1"/>
    <w:rsid w:val="002A2C52"/>
    <w:rsid w:val="002B56E6"/>
    <w:rsid w:val="002B7A19"/>
    <w:rsid w:val="002C2522"/>
    <w:rsid w:val="002F3C4F"/>
    <w:rsid w:val="00303FBC"/>
    <w:rsid w:val="00306B7F"/>
    <w:rsid w:val="0031272B"/>
    <w:rsid w:val="00314C22"/>
    <w:rsid w:val="00316972"/>
    <w:rsid w:val="00321482"/>
    <w:rsid w:val="00322132"/>
    <w:rsid w:val="00333543"/>
    <w:rsid w:val="00334F48"/>
    <w:rsid w:val="00341A6D"/>
    <w:rsid w:val="00365F08"/>
    <w:rsid w:val="0036737C"/>
    <w:rsid w:val="00372BE4"/>
    <w:rsid w:val="00374EC5"/>
    <w:rsid w:val="00383DF1"/>
    <w:rsid w:val="003858C9"/>
    <w:rsid w:val="00391CC1"/>
    <w:rsid w:val="003966D9"/>
    <w:rsid w:val="00396DA7"/>
    <w:rsid w:val="003A0CB5"/>
    <w:rsid w:val="003A134A"/>
    <w:rsid w:val="003A6B25"/>
    <w:rsid w:val="003B0E89"/>
    <w:rsid w:val="003B1307"/>
    <w:rsid w:val="003B2B2F"/>
    <w:rsid w:val="003B4B95"/>
    <w:rsid w:val="003B578B"/>
    <w:rsid w:val="003B5CEB"/>
    <w:rsid w:val="003C3F2D"/>
    <w:rsid w:val="003E1CCD"/>
    <w:rsid w:val="003E304A"/>
    <w:rsid w:val="003F5238"/>
    <w:rsid w:val="0040196E"/>
    <w:rsid w:val="0041763C"/>
    <w:rsid w:val="00421443"/>
    <w:rsid w:val="0042181C"/>
    <w:rsid w:val="00425656"/>
    <w:rsid w:val="00433436"/>
    <w:rsid w:val="00433F99"/>
    <w:rsid w:val="00436534"/>
    <w:rsid w:val="004447B6"/>
    <w:rsid w:val="00456265"/>
    <w:rsid w:val="00482FC0"/>
    <w:rsid w:val="00493D3E"/>
    <w:rsid w:val="004947C3"/>
    <w:rsid w:val="004A38B7"/>
    <w:rsid w:val="004A47ED"/>
    <w:rsid w:val="004A6B43"/>
    <w:rsid w:val="004B6F00"/>
    <w:rsid w:val="004C00EB"/>
    <w:rsid w:val="004C2885"/>
    <w:rsid w:val="004C5442"/>
    <w:rsid w:val="004C6885"/>
    <w:rsid w:val="004D079A"/>
    <w:rsid w:val="004D3183"/>
    <w:rsid w:val="004E1523"/>
    <w:rsid w:val="004E32BA"/>
    <w:rsid w:val="004E4E5D"/>
    <w:rsid w:val="004F0030"/>
    <w:rsid w:val="004F332D"/>
    <w:rsid w:val="004F5C6D"/>
    <w:rsid w:val="004F5D66"/>
    <w:rsid w:val="00511F1F"/>
    <w:rsid w:val="00520A8C"/>
    <w:rsid w:val="0054374F"/>
    <w:rsid w:val="00561FC2"/>
    <w:rsid w:val="005642A2"/>
    <w:rsid w:val="00577907"/>
    <w:rsid w:val="005829D0"/>
    <w:rsid w:val="00583601"/>
    <w:rsid w:val="00591178"/>
    <w:rsid w:val="00593DE9"/>
    <w:rsid w:val="00596E45"/>
    <w:rsid w:val="005A310E"/>
    <w:rsid w:val="005A48BA"/>
    <w:rsid w:val="005A51E4"/>
    <w:rsid w:val="005B41D6"/>
    <w:rsid w:val="005E137B"/>
    <w:rsid w:val="005E172B"/>
    <w:rsid w:val="005E677D"/>
    <w:rsid w:val="005E6BE4"/>
    <w:rsid w:val="005F031E"/>
    <w:rsid w:val="005F0D3A"/>
    <w:rsid w:val="005F20EB"/>
    <w:rsid w:val="005F4BC0"/>
    <w:rsid w:val="005F744E"/>
    <w:rsid w:val="00603198"/>
    <w:rsid w:val="00613572"/>
    <w:rsid w:val="00617C83"/>
    <w:rsid w:val="00623ACD"/>
    <w:rsid w:val="00625C07"/>
    <w:rsid w:val="0063077C"/>
    <w:rsid w:val="006432D0"/>
    <w:rsid w:val="00650166"/>
    <w:rsid w:val="00674A8A"/>
    <w:rsid w:val="00683EBC"/>
    <w:rsid w:val="00687952"/>
    <w:rsid w:val="00697540"/>
    <w:rsid w:val="006A26B5"/>
    <w:rsid w:val="006A6210"/>
    <w:rsid w:val="006B071F"/>
    <w:rsid w:val="006B314E"/>
    <w:rsid w:val="006C4F69"/>
    <w:rsid w:val="006C5307"/>
    <w:rsid w:val="006D0776"/>
    <w:rsid w:val="006D11BF"/>
    <w:rsid w:val="006E7E98"/>
    <w:rsid w:val="006F0EA1"/>
    <w:rsid w:val="006F293C"/>
    <w:rsid w:val="00707D4D"/>
    <w:rsid w:val="00712DBC"/>
    <w:rsid w:val="007165A7"/>
    <w:rsid w:val="00717292"/>
    <w:rsid w:val="0072600D"/>
    <w:rsid w:val="007521E7"/>
    <w:rsid w:val="00752928"/>
    <w:rsid w:val="00753C14"/>
    <w:rsid w:val="007549FF"/>
    <w:rsid w:val="00762EFF"/>
    <w:rsid w:val="0077128B"/>
    <w:rsid w:val="007755C5"/>
    <w:rsid w:val="00777D05"/>
    <w:rsid w:val="007938ED"/>
    <w:rsid w:val="007943AC"/>
    <w:rsid w:val="00795432"/>
    <w:rsid w:val="0079569F"/>
    <w:rsid w:val="007A252C"/>
    <w:rsid w:val="007B6322"/>
    <w:rsid w:val="007B772A"/>
    <w:rsid w:val="007C2478"/>
    <w:rsid w:val="007C7AAC"/>
    <w:rsid w:val="007D017F"/>
    <w:rsid w:val="007D3413"/>
    <w:rsid w:val="007D7827"/>
    <w:rsid w:val="007E4DC2"/>
    <w:rsid w:val="007F0BAD"/>
    <w:rsid w:val="007F20D2"/>
    <w:rsid w:val="007F53C7"/>
    <w:rsid w:val="0080038A"/>
    <w:rsid w:val="00813B70"/>
    <w:rsid w:val="008141CB"/>
    <w:rsid w:val="00815D1B"/>
    <w:rsid w:val="00821043"/>
    <w:rsid w:val="00825B99"/>
    <w:rsid w:val="00831719"/>
    <w:rsid w:val="008337C9"/>
    <w:rsid w:val="00833C1B"/>
    <w:rsid w:val="008361E6"/>
    <w:rsid w:val="00841816"/>
    <w:rsid w:val="008422C8"/>
    <w:rsid w:val="0086014B"/>
    <w:rsid w:val="00863A77"/>
    <w:rsid w:val="00865457"/>
    <w:rsid w:val="00867F44"/>
    <w:rsid w:val="008756C0"/>
    <w:rsid w:val="00875FCF"/>
    <w:rsid w:val="0087789A"/>
    <w:rsid w:val="00880F14"/>
    <w:rsid w:val="00883F57"/>
    <w:rsid w:val="00893D7D"/>
    <w:rsid w:val="008943D4"/>
    <w:rsid w:val="008A273F"/>
    <w:rsid w:val="008A6BE3"/>
    <w:rsid w:val="008B081C"/>
    <w:rsid w:val="008B234D"/>
    <w:rsid w:val="008B4281"/>
    <w:rsid w:val="008B55F1"/>
    <w:rsid w:val="008C2351"/>
    <w:rsid w:val="008C63CD"/>
    <w:rsid w:val="008C6C86"/>
    <w:rsid w:val="008D2F35"/>
    <w:rsid w:val="008D340C"/>
    <w:rsid w:val="008D3A65"/>
    <w:rsid w:val="008D5A71"/>
    <w:rsid w:val="008E3295"/>
    <w:rsid w:val="008E513C"/>
    <w:rsid w:val="008F29CB"/>
    <w:rsid w:val="008F58E9"/>
    <w:rsid w:val="008F6C8A"/>
    <w:rsid w:val="008F742B"/>
    <w:rsid w:val="009012B2"/>
    <w:rsid w:val="009044A2"/>
    <w:rsid w:val="0090621A"/>
    <w:rsid w:val="00912ED2"/>
    <w:rsid w:val="00917818"/>
    <w:rsid w:val="009229E9"/>
    <w:rsid w:val="0092320E"/>
    <w:rsid w:val="009315B5"/>
    <w:rsid w:val="009325AF"/>
    <w:rsid w:val="009334A8"/>
    <w:rsid w:val="0094594D"/>
    <w:rsid w:val="00950F83"/>
    <w:rsid w:val="0095124A"/>
    <w:rsid w:val="00960426"/>
    <w:rsid w:val="009633BF"/>
    <w:rsid w:val="00970DF8"/>
    <w:rsid w:val="009710AD"/>
    <w:rsid w:val="009718B6"/>
    <w:rsid w:val="0097410D"/>
    <w:rsid w:val="009749F9"/>
    <w:rsid w:val="00975A28"/>
    <w:rsid w:val="00977610"/>
    <w:rsid w:val="00980EA2"/>
    <w:rsid w:val="009851C5"/>
    <w:rsid w:val="00987148"/>
    <w:rsid w:val="009909F0"/>
    <w:rsid w:val="00990F25"/>
    <w:rsid w:val="009975EA"/>
    <w:rsid w:val="009A08B3"/>
    <w:rsid w:val="009A2147"/>
    <w:rsid w:val="009B025C"/>
    <w:rsid w:val="009B1237"/>
    <w:rsid w:val="009B12AC"/>
    <w:rsid w:val="009B1733"/>
    <w:rsid w:val="009B7132"/>
    <w:rsid w:val="009B7A43"/>
    <w:rsid w:val="009C0D63"/>
    <w:rsid w:val="009C6540"/>
    <w:rsid w:val="009C774D"/>
    <w:rsid w:val="009D29ED"/>
    <w:rsid w:val="009D2ABD"/>
    <w:rsid w:val="009E1A1B"/>
    <w:rsid w:val="009F552E"/>
    <w:rsid w:val="009F7008"/>
    <w:rsid w:val="009F70BD"/>
    <w:rsid w:val="00A0328E"/>
    <w:rsid w:val="00A109DC"/>
    <w:rsid w:val="00A10C87"/>
    <w:rsid w:val="00A13856"/>
    <w:rsid w:val="00A16D33"/>
    <w:rsid w:val="00A17FDA"/>
    <w:rsid w:val="00A23314"/>
    <w:rsid w:val="00A40814"/>
    <w:rsid w:val="00A47BA2"/>
    <w:rsid w:val="00A53105"/>
    <w:rsid w:val="00A71AA1"/>
    <w:rsid w:val="00A74A3A"/>
    <w:rsid w:val="00A80CAF"/>
    <w:rsid w:val="00A9550C"/>
    <w:rsid w:val="00A95D3D"/>
    <w:rsid w:val="00AA3D45"/>
    <w:rsid w:val="00AA46FD"/>
    <w:rsid w:val="00AA486D"/>
    <w:rsid w:val="00AA6F8F"/>
    <w:rsid w:val="00AB09D1"/>
    <w:rsid w:val="00AB1599"/>
    <w:rsid w:val="00AB4D2A"/>
    <w:rsid w:val="00AB5518"/>
    <w:rsid w:val="00AB63FE"/>
    <w:rsid w:val="00AC05B9"/>
    <w:rsid w:val="00AC2F1C"/>
    <w:rsid w:val="00AC7E82"/>
    <w:rsid w:val="00AE0B5E"/>
    <w:rsid w:val="00AE2D42"/>
    <w:rsid w:val="00AE3AD2"/>
    <w:rsid w:val="00AE7AD5"/>
    <w:rsid w:val="00AF0162"/>
    <w:rsid w:val="00B022A0"/>
    <w:rsid w:val="00B02813"/>
    <w:rsid w:val="00B0575E"/>
    <w:rsid w:val="00B1349C"/>
    <w:rsid w:val="00B15D31"/>
    <w:rsid w:val="00B21035"/>
    <w:rsid w:val="00B238B2"/>
    <w:rsid w:val="00B2458E"/>
    <w:rsid w:val="00B313E9"/>
    <w:rsid w:val="00B32F50"/>
    <w:rsid w:val="00B453A3"/>
    <w:rsid w:val="00B4705F"/>
    <w:rsid w:val="00B57B67"/>
    <w:rsid w:val="00B64211"/>
    <w:rsid w:val="00B677FF"/>
    <w:rsid w:val="00B727A3"/>
    <w:rsid w:val="00B73B2B"/>
    <w:rsid w:val="00B74691"/>
    <w:rsid w:val="00B800B6"/>
    <w:rsid w:val="00B92F2F"/>
    <w:rsid w:val="00B948ED"/>
    <w:rsid w:val="00B94E59"/>
    <w:rsid w:val="00BC18D9"/>
    <w:rsid w:val="00BC1CA2"/>
    <w:rsid w:val="00BC1D1E"/>
    <w:rsid w:val="00BC4917"/>
    <w:rsid w:val="00BC7578"/>
    <w:rsid w:val="00BD3044"/>
    <w:rsid w:val="00BD5355"/>
    <w:rsid w:val="00BD65AF"/>
    <w:rsid w:val="00BE116C"/>
    <w:rsid w:val="00BE1607"/>
    <w:rsid w:val="00BE4DC2"/>
    <w:rsid w:val="00BE7DE6"/>
    <w:rsid w:val="00BF1440"/>
    <w:rsid w:val="00BF1820"/>
    <w:rsid w:val="00BF5387"/>
    <w:rsid w:val="00BF792D"/>
    <w:rsid w:val="00C01692"/>
    <w:rsid w:val="00C10D26"/>
    <w:rsid w:val="00C11765"/>
    <w:rsid w:val="00C14C21"/>
    <w:rsid w:val="00C15E0B"/>
    <w:rsid w:val="00C1631F"/>
    <w:rsid w:val="00C16EC2"/>
    <w:rsid w:val="00C21033"/>
    <w:rsid w:val="00C33664"/>
    <w:rsid w:val="00C35ED9"/>
    <w:rsid w:val="00C3681D"/>
    <w:rsid w:val="00C42E3D"/>
    <w:rsid w:val="00C42EB1"/>
    <w:rsid w:val="00C47EBB"/>
    <w:rsid w:val="00C5009F"/>
    <w:rsid w:val="00C5680D"/>
    <w:rsid w:val="00C574C5"/>
    <w:rsid w:val="00C71369"/>
    <w:rsid w:val="00C71C7A"/>
    <w:rsid w:val="00C77024"/>
    <w:rsid w:val="00C821DE"/>
    <w:rsid w:val="00C83425"/>
    <w:rsid w:val="00C87A8C"/>
    <w:rsid w:val="00C87EA0"/>
    <w:rsid w:val="00CB1938"/>
    <w:rsid w:val="00CC059F"/>
    <w:rsid w:val="00CC3703"/>
    <w:rsid w:val="00CD514F"/>
    <w:rsid w:val="00CD5F02"/>
    <w:rsid w:val="00CE2372"/>
    <w:rsid w:val="00CE4069"/>
    <w:rsid w:val="00CF55CF"/>
    <w:rsid w:val="00CF6BCB"/>
    <w:rsid w:val="00D13455"/>
    <w:rsid w:val="00D151DF"/>
    <w:rsid w:val="00D23181"/>
    <w:rsid w:val="00D27C6A"/>
    <w:rsid w:val="00D36501"/>
    <w:rsid w:val="00D55DA5"/>
    <w:rsid w:val="00D6560C"/>
    <w:rsid w:val="00D6740A"/>
    <w:rsid w:val="00D70B95"/>
    <w:rsid w:val="00D71718"/>
    <w:rsid w:val="00D71AE6"/>
    <w:rsid w:val="00D725CA"/>
    <w:rsid w:val="00D74F06"/>
    <w:rsid w:val="00D76185"/>
    <w:rsid w:val="00D772E3"/>
    <w:rsid w:val="00D82F2C"/>
    <w:rsid w:val="00D8634C"/>
    <w:rsid w:val="00D86786"/>
    <w:rsid w:val="00D9279A"/>
    <w:rsid w:val="00D93699"/>
    <w:rsid w:val="00D941D4"/>
    <w:rsid w:val="00D94D69"/>
    <w:rsid w:val="00D952DA"/>
    <w:rsid w:val="00DA112A"/>
    <w:rsid w:val="00DA6972"/>
    <w:rsid w:val="00DA70FE"/>
    <w:rsid w:val="00DB25E0"/>
    <w:rsid w:val="00DC15A6"/>
    <w:rsid w:val="00DD1500"/>
    <w:rsid w:val="00DE0623"/>
    <w:rsid w:val="00DE339F"/>
    <w:rsid w:val="00DE53AF"/>
    <w:rsid w:val="00DE6B4D"/>
    <w:rsid w:val="00DF00AC"/>
    <w:rsid w:val="00DF134A"/>
    <w:rsid w:val="00DF32EB"/>
    <w:rsid w:val="00DF7C61"/>
    <w:rsid w:val="00E02E3A"/>
    <w:rsid w:val="00E06A85"/>
    <w:rsid w:val="00E07831"/>
    <w:rsid w:val="00E1161F"/>
    <w:rsid w:val="00E12E7F"/>
    <w:rsid w:val="00E20081"/>
    <w:rsid w:val="00E225F3"/>
    <w:rsid w:val="00E25148"/>
    <w:rsid w:val="00E25671"/>
    <w:rsid w:val="00E3146D"/>
    <w:rsid w:val="00E627B3"/>
    <w:rsid w:val="00E75842"/>
    <w:rsid w:val="00E803F8"/>
    <w:rsid w:val="00E90CAA"/>
    <w:rsid w:val="00E9333A"/>
    <w:rsid w:val="00E95E7D"/>
    <w:rsid w:val="00EA5875"/>
    <w:rsid w:val="00EB132E"/>
    <w:rsid w:val="00EB1470"/>
    <w:rsid w:val="00EB3212"/>
    <w:rsid w:val="00EB3A22"/>
    <w:rsid w:val="00EC2171"/>
    <w:rsid w:val="00EC7E5C"/>
    <w:rsid w:val="00EE4397"/>
    <w:rsid w:val="00EE6920"/>
    <w:rsid w:val="00F0083D"/>
    <w:rsid w:val="00F02106"/>
    <w:rsid w:val="00F04762"/>
    <w:rsid w:val="00F06F36"/>
    <w:rsid w:val="00F1450D"/>
    <w:rsid w:val="00F177FE"/>
    <w:rsid w:val="00F20D4A"/>
    <w:rsid w:val="00F229C9"/>
    <w:rsid w:val="00F249A4"/>
    <w:rsid w:val="00F3013D"/>
    <w:rsid w:val="00F33226"/>
    <w:rsid w:val="00F40CCE"/>
    <w:rsid w:val="00F427F7"/>
    <w:rsid w:val="00F452D9"/>
    <w:rsid w:val="00F506FB"/>
    <w:rsid w:val="00F5503E"/>
    <w:rsid w:val="00F57ECC"/>
    <w:rsid w:val="00F6542B"/>
    <w:rsid w:val="00F722D4"/>
    <w:rsid w:val="00F75ADC"/>
    <w:rsid w:val="00F827A9"/>
    <w:rsid w:val="00F83FF9"/>
    <w:rsid w:val="00F90894"/>
    <w:rsid w:val="00F911B9"/>
    <w:rsid w:val="00F92C4F"/>
    <w:rsid w:val="00FA1183"/>
    <w:rsid w:val="00FA330C"/>
    <w:rsid w:val="00FC08FC"/>
    <w:rsid w:val="00FC2D47"/>
    <w:rsid w:val="00FD2BCC"/>
    <w:rsid w:val="00FD4A04"/>
    <w:rsid w:val="00FE07BB"/>
    <w:rsid w:val="00FE0906"/>
    <w:rsid w:val="00FE564D"/>
    <w:rsid w:val="00FF2416"/>
    <w:rsid w:val="00FF2C9E"/>
    <w:rsid w:val="00FF335D"/>
    <w:rsid w:val="00FF6589"/>
    <w:rsid w:val="00FF6F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47ED"/>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5F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Title">
    <w:name w:val="Appendix Title"/>
    <w:basedOn w:val="Normal"/>
    <w:rsid w:val="00583601"/>
    <w:pPr>
      <w:tabs>
        <w:tab w:val="left" w:pos="2880"/>
      </w:tabs>
      <w:jc w:val="center"/>
    </w:pPr>
    <w:rPr>
      <w:rFonts w:cs="Arial"/>
      <w:sz w:val="24"/>
    </w:rPr>
  </w:style>
  <w:style w:type="character" w:styleId="Hyperlink">
    <w:name w:val="Hyperlink"/>
    <w:basedOn w:val="DefaultParagraphFont"/>
    <w:rsid w:val="00583601"/>
    <w:rPr>
      <w:color w:val="0000FF"/>
      <w:u w:val="single"/>
    </w:rPr>
  </w:style>
  <w:style w:type="character" w:styleId="FollowedHyperlink">
    <w:name w:val="FollowedHyperlink"/>
    <w:basedOn w:val="DefaultParagraphFont"/>
    <w:rsid w:val="00583601"/>
    <w:rPr>
      <w:color w:val="800080"/>
      <w:u w:val="single"/>
    </w:rPr>
  </w:style>
  <w:style w:type="character" w:styleId="CommentReference">
    <w:name w:val="annotation reference"/>
    <w:basedOn w:val="DefaultParagraphFont"/>
    <w:rsid w:val="008361E6"/>
    <w:rPr>
      <w:sz w:val="16"/>
      <w:szCs w:val="16"/>
    </w:rPr>
  </w:style>
  <w:style w:type="paragraph" w:styleId="CommentText">
    <w:name w:val="annotation text"/>
    <w:basedOn w:val="Normal"/>
    <w:link w:val="CommentTextChar"/>
    <w:rsid w:val="008361E6"/>
    <w:pPr>
      <w:widowControl w:val="0"/>
      <w:autoSpaceDE w:val="0"/>
      <w:autoSpaceDN w:val="0"/>
      <w:adjustRightInd w:val="0"/>
    </w:pPr>
    <w:rPr>
      <w:rFonts w:ascii="Times New Roman" w:hAnsi="Times New Roman"/>
      <w:sz w:val="20"/>
      <w:szCs w:val="20"/>
    </w:rPr>
  </w:style>
  <w:style w:type="character" w:customStyle="1" w:styleId="CommentTextChar">
    <w:name w:val="Comment Text Char"/>
    <w:basedOn w:val="DefaultParagraphFont"/>
    <w:link w:val="CommentText"/>
    <w:rsid w:val="008361E6"/>
  </w:style>
  <w:style w:type="character" w:styleId="FootnoteReference">
    <w:name w:val="footnote reference"/>
    <w:uiPriority w:val="99"/>
    <w:rsid w:val="00F249A4"/>
  </w:style>
  <w:style w:type="paragraph" w:styleId="CommentSubject">
    <w:name w:val="annotation subject"/>
    <w:basedOn w:val="CommentText"/>
    <w:next w:val="CommentText"/>
    <w:link w:val="CommentSubjectChar"/>
    <w:rsid w:val="00BC1D1E"/>
    <w:pPr>
      <w:widowControl/>
      <w:autoSpaceDE/>
      <w:autoSpaceDN/>
      <w:adjustRightInd/>
    </w:pPr>
    <w:rPr>
      <w:rFonts w:ascii="Arial" w:hAnsi="Arial"/>
      <w:b/>
      <w:bCs/>
    </w:rPr>
  </w:style>
  <w:style w:type="character" w:customStyle="1" w:styleId="CommentSubjectChar">
    <w:name w:val="Comment Subject Char"/>
    <w:basedOn w:val="CommentTextChar"/>
    <w:link w:val="CommentSubject"/>
    <w:rsid w:val="00BC1D1E"/>
    <w:rPr>
      <w:rFonts w:ascii="Arial" w:hAnsi="Arial"/>
      <w:b/>
      <w:bCs/>
    </w:rPr>
  </w:style>
  <w:style w:type="paragraph" w:styleId="Revision">
    <w:name w:val="Revision"/>
    <w:hidden/>
    <w:uiPriority w:val="99"/>
    <w:semiHidden/>
    <w:rsid w:val="00BC1D1E"/>
    <w:rPr>
      <w:rFonts w:ascii="Arial" w:hAnsi="Arial"/>
      <w:sz w:val="22"/>
      <w:szCs w:val="24"/>
    </w:rPr>
  </w:style>
  <w:style w:type="paragraph" w:styleId="BalloonText">
    <w:name w:val="Balloon Text"/>
    <w:basedOn w:val="Normal"/>
    <w:link w:val="BalloonTextChar"/>
    <w:rsid w:val="00BC1D1E"/>
    <w:rPr>
      <w:rFonts w:ascii="Tahoma" w:hAnsi="Tahoma" w:cs="Tahoma"/>
      <w:sz w:val="16"/>
      <w:szCs w:val="16"/>
    </w:rPr>
  </w:style>
  <w:style w:type="character" w:customStyle="1" w:styleId="BalloonTextChar">
    <w:name w:val="Balloon Text Char"/>
    <w:basedOn w:val="DefaultParagraphFont"/>
    <w:link w:val="BalloonText"/>
    <w:rsid w:val="00BC1D1E"/>
    <w:rPr>
      <w:rFonts w:ascii="Tahoma" w:hAnsi="Tahoma" w:cs="Tahoma"/>
      <w:sz w:val="16"/>
      <w:szCs w:val="16"/>
    </w:rPr>
  </w:style>
  <w:style w:type="paragraph" w:styleId="ListParagraph">
    <w:name w:val="List Paragraph"/>
    <w:basedOn w:val="Normal"/>
    <w:uiPriority w:val="34"/>
    <w:qFormat/>
    <w:rsid w:val="00DE0623"/>
    <w:pPr>
      <w:widowControl w:val="0"/>
      <w:autoSpaceDE w:val="0"/>
      <w:autoSpaceDN w:val="0"/>
      <w:adjustRightInd w:val="0"/>
      <w:ind w:left="720"/>
      <w:contextualSpacing/>
    </w:pPr>
    <w:rPr>
      <w:rFonts w:ascii="Segoe Print" w:hAnsi="Segoe Print"/>
      <w:sz w:val="24"/>
    </w:rPr>
  </w:style>
  <w:style w:type="paragraph" w:styleId="Header">
    <w:name w:val="header"/>
    <w:basedOn w:val="Normal"/>
    <w:link w:val="HeaderChar"/>
    <w:rsid w:val="007C7AAC"/>
    <w:pPr>
      <w:tabs>
        <w:tab w:val="center" w:pos="4680"/>
        <w:tab w:val="right" w:pos="9360"/>
      </w:tabs>
    </w:pPr>
  </w:style>
  <w:style w:type="character" w:customStyle="1" w:styleId="HeaderChar">
    <w:name w:val="Header Char"/>
    <w:basedOn w:val="DefaultParagraphFont"/>
    <w:link w:val="Header"/>
    <w:rsid w:val="007C7AAC"/>
    <w:rPr>
      <w:rFonts w:ascii="Arial" w:hAnsi="Arial"/>
      <w:sz w:val="22"/>
      <w:szCs w:val="24"/>
    </w:rPr>
  </w:style>
  <w:style w:type="paragraph" w:styleId="Footer">
    <w:name w:val="footer"/>
    <w:basedOn w:val="Normal"/>
    <w:link w:val="FooterChar"/>
    <w:uiPriority w:val="99"/>
    <w:rsid w:val="007C7AAC"/>
    <w:pPr>
      <w:tabs>
        <w:tab w:val="center" w:pos="4680"/>
        <w:tab w:val="right" w:pos="9360"/>
      </w:tabs>
    </w:pPr>
  </w:style>
  <w:style w:type="character" w:customStyle="1" w:styleId="FooterChar">
    <w:name w:val="Footer Char"/>
    <w:basedOn w:val="DefaultParagraphFont"/>
    <w:link w:val="Footer"/>
    <w:uiPriority w:val="99"/>
    <w:rsid w:val="007C7AAC"/>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divs>
    <w:div w:id="845441981">
      <w:bodyDiv w:val="1"/>
      <w:marLeft w:val="0"/>
      <w:marRight w:val="0"/>
      <w:marTop w:val="0"/>
      <w:marBottom w:val="0"/>
      <w:divBdr>
        <w:top w:val="none" w:sz="0" w:space="0" w:color="auto"/>
        <w:left w:val="none" w:sz="0" w:space="0" w:color="auto"/>
        <w:bottom w:val="none" w:sz="0" w:space="0" w:color="auto"/>
        <w:right w:val="none" w:sz="0" w:space="0" w:color="auto"/>
      </w:divBdr>
    </w:div>
    <w:div w:id="1199464137">
      <w:bodyDiv w:val="1"/>
      <w:marLeft w:val="0"/>
      <w:marRight w:val="0"/>
      <w:marTop w:val="0"/>
      <w:marBottom w:val="0"/>
      <w:divBdr>
        <w:top w:val="none" w:sz="0" w:space="0" w:color="auto"/>
        <w:left w:val="none" w:sz="0" w:space="0" w:color="auto"/>
        <w:bottom w:val="none" w:sz="0" w:space="0" w:color="auto"/>
        <w:right w:val="none" w:sz="0" w:space="0" w:color="auto"/>
      </w:divBdr>
    </w:div>
    <w:div w:id="1690640023">
      <w:bodyDiv w:val="1"/>
      <w:marLeft w:val="0"/>
      <w:marRight w:val="0"/>
      <w:marTop w:val="0"/>
      <w:marBottom w:val="0"/>
      <w:divBdr>
        <w:top w:val="none" w:sz="0" w:space="0" w:color="auto"/>
        <w:left w:val="none" w:sz="0" w:space="0" w:color="auto"/>
        <w:bottom w:val="none" w:sz="0" w:space="0" w:color="auto"/>
        <w:right w:val="none" w:sz="0" w:space="0" w:color="auto"/>
      </w:divBdr>
    </w:div>
    <w:div w:id="186400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CFC46-E137-4B7B-ACB8-0C7F9CBF8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2195</Words>
  <Characters>12514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Internal Power Uprate Stakeholder Comments</vt:lpstr>
    </vt:vector>
  </TitlesOfParts>
  <Company>USNRC</Company>
  <LinksUpToDate>false</LinksUpToDate>
  <CharactersWithSpaces>14680</CharactersWithSpaces>
  <SharedDoc>false</SharedDoc>
  <HLinks>
    <vt:vector size="36" baseType="variant">
      <vt:variant>
        <vt:i4>4063281</vt:i4>
      </vt:variant>
      <vt:variant>
        <vt:i4>17</vt:i4>
      </vt:variant>
      <vt:variant>
        <vt:i4>0</vt:i4>
      </vt:variant>
      <vt:variant>
        <vt:i4>5</vt:i4>
      </vt:variant>
      <vt:variant>
        <vt:lpwstr>http://www.internal.nrc.gov/sunsi/</vt:lpwstr>
      </vt:variant>
      <vt:variant>
        <vt:lpwstr/>
      </vt:variant>
      <vt:variant>
        <vt:i4>8323187</vt:i4>
      </vt:variant>
      <vt:variant>
        <vt:i4>14</vt:i4>
      </vt:variant>
      <vt:variant>
        <vt:i4>0</vt:i4>
      </vt:variant>
      <vt:variant>
        <vt:i4>5</vt:i4>
      </vt:variant>
      <vt:variant>
        <vt:lpwstr>http://www.nrc.gov/reading-rm/doc-collections/commission/comm-secy/2005/2005-0054comscy-attachment2.pdf</vt:lpwstr>
      </vt:variant>
      <vt:variant>
        <vt:lpwstr/>
      </vt:variant>
      <vt:variant>
        <vt:i4>1114200</vt:i4>
      </vt:variant>
      <vt:variant>
        <vt:i4>11</vt:i4>
      </vt:variant>
      <vt:variant>
        <vt:i4>0</vt:i4>
      </vt:variant>
      <vt:variant>
        <vt:i4>5</vt:i4>
      </vt:variant>
      <vt:variant>
        <vt:lpwstr>http://www.internal.nrc.gov/sunsi</vt:lpwstr>
      </vt:variant>
      <vt:variant>
        <vt:lpwstr/>
      </vt:variant>
      <vt:variant>
        <vt:i4>2687100</vt:i4>
      </vt:variant>
      <vt:variant>
        <vt:i4>8</vt:i4>
      </vt:variant>
      <vt:variant>
        <vt:i4>0</vt:i4>
      </vt:variant>
      <vt:variant>
        <vt:i4>5</vt:i4>
      </vt:variant>
      <vt:variant>
        <vt:lpwstr>http://heinonline.org/HOL/Page?public=false&amp;handle=hein.fedreg/074058&amp;men_hide=false&amp;men_tab=citnav&amp;collection=fedreg&amp;page=13925</vt:lpwstr>
      </vt:variant>
      <vt:variant>
        <vt:lpwstr/>
      </vt:variant>
      <vt:variant>
        <vt:i4>1114200</vt:i4>
      </vt:variant>
      <vt:variant>
        <vt:i4>5</vt:i4>
      </vt:variant>
      <vt:variant>
        <vt:i4>0</vt:i4>
      </vt:variant>
      <vt:variant>
        <vt:i4>5</vt:i4>
      </vt:variant>
      <vt:variant>
        <vt:lpwstr>http://www.internal.nrc.gov/sunsi</vt:lpwstr>
      </vt:variant>
      <vt:variant>
        <vt:lpwstr/>
      </vt:variant>
      <vt:variant>
        <vt:i4>1114200</vt:i4>
      </vt:variant>
      <vt:variant>
        <vt:i4>2</vt:i4>
      </vt:variant>
      <vt:variant>
        <vt:i4>0</vt:i4>
      </vt:variant>
      <vt:variant>
        <vt:i4>5</vt:i4>
      </vt:variant>
      <vt:variant>
        <vt:lpwstr>http://www.internal.nrc.gov/sunsi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Power Uprate Stakeholder Comments</dc:title>
  <dc:subject/>
  <dc:creator>Jeremy Seth Bowen</dc:creator>
  <cp:keywords/>
  <dc:description/>
  <cp:lastModifiedBy>cdd</cp:lastModifiedBy>
  <cp:revision>2</cp:revision>
  <cp:lastPrinted>2010-12-08T15:56:00Z</cp:lastPrinted>
  <dcterms:created xsi:type="dcterms:W3CDTF">2011-09-07T16:51:00Z</dcterms:created>
  <dcterms:modified xsi:type="dcterms:W3CDTF">2011-09-07T16:51:00Z</dcterms:modified>
</cp:coreProperties>
</file>