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C4" w:rsidRPr="00FF6355" w:rsidRDefault="00170ECA" w:rsidP="00170ECA">
      <w:pPr>
        <w:tabs>
          <w:tab w:val="center" w:pos="4680"/>
          <w:tab w:val="right" w:pos="9360"/>
        </w:tabs>
      </w:pPr>
      <w:r>
        <w:rPr>
          <w:b/>
          <w:sz w:val="38"/>
          <w:szCs w:val="38"/>
        </w:rPr>
        <w:tab/>
      </w:r>
      <w:r w:rsidR="00FA716E" w:rsidRPr="0096589F">
        <w:rPr>
          <w:b/>
          <w:sz w:val="38"/>
          <w:szCs w:val="38"/>
        </w:rPr>
        <w:t>NRC INSPECTION MANUAL</w:t>
      </w:r>
      <w:r w:rsidR="00FA716E" w:rsidRPr="00FF6355">
        <w:tab/>
      </w:r>
      <w:r w:rsidR="00380CE2">
        <w:t>IOEB</w:t>
      </w:r>
    </w:p>
    <w:tbl>
      <w:tblPr>
        <w:tblStyle w:val="TableGrid"/>
        <w:tblW w:w="9360" w:type="dxa"/>
        <w:tblInd w:w="10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1E0"/>
      </w:tblPr>
      <w:tblGrid>
        <w:gridCol w:w="9360"/>
      </w:tblGrid>
      <w:tr w:rsidR="00AD30C4" w:rsidRPr="00AD30C4" w:rsidTr="004256A0">
        <w:trPr>
          <w:trHeight w:val="234"/>
        </w:trPr>
        <w:tc>
          <w:tcPr>
            <w:tcW w:w="9360" w:type="dxa"/>
            <w:tcBorders>
              <w:top w:val="single" w:sz="18" w:space="0" w:color="auto"/>
              <w:bottom w:val="single" w:sz="18" w:space="0" w:color="auto"/>
            </w:tcBorders>
            <w:vAlign w:val="center"/>
          </w:tcPr>
          <w:p w:rsidR="00AD30C4" w:rsidRPr="00FF6355" w:rsidRDefault="00380CE2" w:rsidP="00547740">
            <w:pPr>
              <w:jc w:val="center"/>
            </w:pPr>
            <w:r>
              <w:t>O</w:t>
            </w:r>
            <w:r w:rsidR="00BE43A2">
              <w:t>PERATING EXPERIENCE SMART SAMPLE (</w:t>
            </w:r>
            <w:proofErr w:type="spellStart"/>
            <w:r w:rsidR="00BE43A2">
              <w:t>OpESS</w:t>
            </w:r>
            <w:proofErr w:type="spellEnd"/>
            <w:r w:rsidR="00BE43A2">
              <w:t>)</w:t>
            </w:r>
            <w:r>
              <w:t xml:space="preserve"> 201</w:t>
            </w:r>
            <w:r w:rsidR="00BE43A2">
              <w:t>2/0</w:t>
            </w:r>
            <w:r w:rsidR="00547740">
              <w:t>2</w:t>
            </w:r>
            <w:r w:rsidR="001B3484">
              <w:t>, Revision 1</w:t>
            </w:r>
          </w:p>
        </w:tc>
      </w:tr>
    </w:tbl>
    <w:p w:rsidR="00AD30C4" w:rsidRPr="00FF6355" w:rsidRDefault="00AD30C4" w:rsidP="00950727"/>
    <w:p w:rsidR="00AD30C4" w:rsidRPr="00FF6355" w:rsidRDefault="00AD30C4" w:rsidP="00950727"/>
    <w:p w:rsidR="00137F11" w:rsidRPr="00FF6355" w:rsidRDefault="00547740" w:rsidP="0096589F">
      <w:pPr>
        <w:jc w:val="center"/>
      </w:pPr>
      <w:r>
        <w:t>TECHNICAL SPECIFICATION INTERPRETATION</w:t>
      </w:r>
      <w:r w:rsidR="00137F11">
        <w:t xml:space="preserve"> AND OPERABILITY DETERMINATION</w:t>
      </w:r>
    </w:p>
    <w:p w:rsidR="008568BA" w:rsidRPr="00FF6355" w:rsidRDefault="008568BA" w:rsidP="00950727"/>
    <w:p w:rsidR="004256A0" w:rsidRPr="00FF6355" w:rsidRDefault="004256A0" w:rsidP="00950727"/>
    <w:p w:rsidR="00BE43A2" w:rsidRDefault="00CD789F" w:rsidP="00950727">
      <w:r w:rsidRPr="00FF6355">
        <w:t>CORNERSTONE:</w:t>
      </w:r>
      <w:r w:rsidRPr="00FF6355">
        <w:tab/>
      </w:r>
      <w:r w:rsidR="00BE43A2">
        <w:tab/>
      </w:r>
      <w:r w:rsidR="00547740">
        <w:t>BARRIER INTEGRITY</w:t>
      </w:r>
    </w:p>
    <w:p w:rsidR="00372C4D" w:rsidRPr="00FF6355" w:rsidRDefault="00BE43A2" w:rsidP="00950727">
      <w:r>
        <w:tab/>
      </w:r>
      <w:r>
        <w:tab/>
      </w:r>
      <w:r>
        <w:tab/>
      </w:r>
      <w:r>
        <w:tab/>
      </w:r>
      <w:r w:rsidR="00CD789F" w:rsidRPr="00FF6355">
        <w:t>MITIGATING SYSTEMS</w:t>
      </w:r>
    </w:p>
    <w:p w:rsidR="00566F3F" w:rsidRPr="00FF6355" w:rsidRDefault="00566F3F" w:rsidP="00950727"/>
    <w:p w:rsidR="009E39C5" w:rsidRPr="00FF6355" w:rsidRDefault="009E39C5" w:rsidP="00950727"/>
    <w:p w:rsidR="00BE43A2" w:rsidRDefault="00BE43A2" w:rsidP="00950727">
      <w:proofErr w:type="spellStart"/>
      <w:proofErr w:type="gramStart"/>
      <w:r>
        <w:t>OpESS</w:t>
      </w:r>
      <w:proofErr w:type="spellEnd"/>
      <w:r>
        <w:t xml:space="preserve"> 2012</w:t>
      </w:r>
      <w:r w:rsidRPr="00FF6355">
        <w:t>/</w:t>
      </w:r>
      <w:r>
        <w:t>0</w:t>
      </w:r>
      <w:r w:rsidR="00547740">
        <w:t>2</w:t>
      </w:r>
      <w:r w:rsidRPr="00FF6355">
        <w:t>-0</w:t>
      </w:r>
      <w:r>
        <w:t>1</w:t>
      </w:r>
      <w:r w:rsidRPr="00FF6355">
        <w:tab/>
        <w:t>APPLICABILITY</w:t>
      </w:r>
      <w:proofErr w:type="gramEnd"/>
    </w:p>
    <w:p w:rsidR="00BE43A2" w:rsidRDefault="00BE43A2" w:rsidP="00950727"/>
    <w:p w:rsidR="00C7364A" w:rsidRDefault="00C7364A" w:rsidP="00C7364A">
      <w:pPr>
        <w:tabs>
          <w:tab w:val="left" w:pos="810"/>
        </w:tabs>
      </w:pPr>
      <w:r>
        <w:rPr>
          <w:rFonts w:cs="Arial"/>
          <w:szCs w:val="22"/>
        </w:rPr>
        <w:t>01.01</w:t>
      </w:r>
      <w:r>
        <w:rPr>
          <w:rFonts w:cs="Arial"/>
          <w:szCs w:val="22"/>
        </w:rPr>
        <w:tab/>
        <w:t xml:space="preserve">This </w:t>
      </w:r>
      <w:proofErr w:type="spellStart"/>
      <w:r>
        <w:rPr>
          <w:rFonts w:cs="Arial"/>
          <w:szCs w:val="22"/>
        </w:rPr>
        <w:t>OpESS</w:t>
      </w:r>
      <w:proofErr w:type="spellEnd"/>
      <w:r>
        <w:rPr>
          <w:rFonts w:cs="Arial"/>
          <w:szCs w:val="22"/>
        </w:rPr>
        <w:t xml:space="preserve"> applies to a</w:t>
      </w:r>
      <w:r w:rsidRPr="00DF7567">
        <w:rPr>
          <w:rFonts w:cs="Arial"/>
          <w:szCs w:val="22"/>
        </w:rPr>
        <w:t>ll licensed operating commercial nuclear reactors.</w:t>
      </w:r>
    </w:p>
    <w:p w:rsidR="00C7364A" w:rsidRDefault="00C7364A" w:rsidP="00C7364A">
      <w:pPr>
        <w:tabs>
          <w:tab w:val="left" w:pos="810"/>
        </w:tabs>
      </w:pPr>
    </w:p>
    <w:p w:rsidR="00C7364A" w:rsidRDefault="00C7364A" w:rsidP="00C7364A">
      <w:pPr>
        <w:tabs>
          <w:tab w:val="left" w:pos="810"/>
        </w:tabs>
      </w:pPr>
      <w:r>
        <w:t>01.02</w:t>
      </w:r>
      <w:r>
        <w:tab/>
        <w:t>Supports informing sample selection for Inspection Procedure (IP) 71111.15, “Operability Determinations</w:t>
      </w:r>
      <w:r w:rsidRPr="00C7364A">
        <w:t xml:space="preserve"> </w:t>
      </w:r>
      <w:r>
        <w:t>and Functionality Assessments.”</w:t>
      </w:r>
    </w:p>
    <w:p w:rsidR="00C7364A" w:rsidRDefault="00C7364A" w:rsidP="00C7364A">
      <w:pPr>
        <w:tabs>
          <w:tab w:val="left" w:pos="810"/>
        </w:tabs>
      </w:pPr>
    </w:p>
    <w:p w:rsidR="00C7364A" w:rsidRDefault="00C7364A" w:rsidP="00C7364A">
      <w:pPr>
        <w:tabs>
          <w:tab w:val="left" w:pos="810"/>
        </w:tabs>
      </w:pPr>
      <w:r>
        <w:t>01.03</w:t>
      </w:r>
      <w:r>
        <w:tab/>
        <w:t>Performance of t</w:t>
      </w:r>
      <w:r w:rsidRPr="0050791C">
        <w:t xml:space="preserve">his </w:t>
      </w:r>
      <w:proofErr w:type="spellStart"/>
      <w:r w:rsidRPr="0050791C">
        <w:t>OpESS</w:t>
      </w:r>
      <w:proofErr w:type="spellEnd"/>
      <w:r w:rsidRPr="0050791C">
        <w:t xml:space="preserve"> is voluntary</w:t>
      </w:r>
      <w:r>
        <w:t>.</w:t>
      </w:r>
    </w:p>
    <w:p w:rsidR="0050791C" w:rsidRDefault="0050791C" w:rsidP="00950727"/>
    <w:p w:rsidR="00BE43A2" w:rsidRDefault="00BE43A2" w:rsidP="00950727"/>
    <w:p w:rsidR="00FA6080" w:rsidRPr="00FF6355" w:rsidRDefault="00BE43A2" w:rsidP="00950727">
      <w:proofErr w:type="spellStart"/>
      <w:r>
        <w:t>OpESS</w:t>
      </w:r>
      <w:proofErr w:type="spellEnd"/>
      <w:r>
        <w:t xml:space="preserve"> 2012/0</w:t>
      </w:r>
      <w:r w:rsidR="00547740">
        <w:t>2</w:t>
      </w:r>
      <w:r w:rsidR="00CD789F" w:rsidRPr="00FF6355">
        <w:t>-0</w:t>
      </w:r>
      <w:r>
        <w:t>2</w:t>
      </w:r>
      <w:r w:rsidR="00CD789F" w:rsidRPr="00FF6355">
        <w:tab/>
      </w:r>
      <w:r w:rsidR="00FA6080" w:rsidRPr="00FF6355">
        <w:t>OBJECTIVE</w:t>
      </w:r>
      <w:r w:rsidR="00365451" w:rsidRPr="00FF6355">
        <w:t>S</w:t>
      </w:r>
      <w:r>
        <w:t xml:space="preserve"> </w:t>
      </w:r>
    </w:p>
    <w:p w:rsidR="00E64727" w:rsidRDefault="00E64727" w:rsidP="00950727"/>
    <w:p w:rsidR="00C7364A" w:rsidRDefault="00C7364A" w:rsidP="00C7364A">
      <w:pPr>
        <w:tabs>
          <w:tab w:val="left" w:pos="810"/>
        </w:tabs>
      </w:pPr>
      <w:r>
        <w:t>02.01</w:t>
      </w:r>
      <w:r>
        <w:tab/>
        <w:t>P</w:t>
      </w:r>
      <w:r w:rsidR="00547740">
        <w:t>rovide support to baseline inspection activities in the area of Technical Spec</w:t>
      </w:r>
      <w:r>
        <w:t>ification (TS) interpretation.</w:t>
      </w:r>
    </w:p>
    <w:p w:rsidR="00C7364A" w:rsidRDefault="00C7364A" w:rsidP="00C7364A">
      <w:pPr>
        <w:tabs>
          <w:tab w:val="left" w:pos="810"/>
        </w:tabs>
      </w:pPr>
    </w:p>
    <w:p w:rsidR="0050791C" w:rsidRPr="0050791C" w:rsidRDefault="00C7364A" w:rsidP="00C7364A">
      <w:pPr>
        <w:tabs>
          <w:tab w:val="left" w:pos="810"/>
        </w:tabs>
      </w:pPr>
      <w:r>
        <w:t>02.02</w:t>
      </w:r>
      <w:r>
        <w:tab/>
        <w:t>Pr</w:t>
      </w:r>
      <w:r w:rsidR="00547740">
        <w:t>ovide examples of licensee non-conservative decision-making and improper applica</w:t>
      </w:r>
      <w:r w:rsidR="003F5B2A">
        <w:t>tion</w:t>
      </w:r>
      <w:r w:rsidR="00547740">
        <w:t xml:space="preserve"> of TS Limiting Condition of Operation (LCO) and Action requirements</w:t>
      </w:r>
      <w:r w:rsidR="003F5B2A">
        <w:t xml:space="preserve"> identified </w:t>
      </w:r>
      <w:proofErr w:type="gramStart"/>
      <w:r w:rsidR="003F5B2A">
        <w:t>during</w:t>
      </w:r>
      <w:proofErr w:type="gramEnd"/>
      <w:r w:rsidR="003F5B2A">
        <w:t xml:space="preserve"> </w:t>
      </w:r>
      <w:r w:rsidR="00EA1C84">
        <w:t xml:space="preserve">inspections, reviews of operating experience and </w:t>
      </w:r>
      <w:r w:rsidR="003F5B2A">
        <w:t>licensing actions</w:t>
      </w:r>
      <w:r w:rsidR="00547740">
        <w:t>.</w:t>
      </w:r>
    </w:p>
    <w:p w:rsidR="00E64727" w:rsidRDefault="00E64727" w:rsidP="00950727"/>
    <w:p w:rsidR="00DF2A38" w:rsidRPr="00FF6355" w:rsidRDefault="00DF2A38" w:rsidP="00950727"/>
    <w:p w:rsidR="00741A2F" w:rsidRPr="00FF6355" w:rsidRDefault="00BE43A2" w:rsidP="00950727">
      <w:proofErr w:type="spellStart"/>
      <w:r>
        <w:t>OpESS</w:t>
      </w:r>
      <w:proofErr w:type="spellEnd"/>
      <w:r>
        <w:t xml:space="preserve"> </w:t>
      </w:r>
      <w:r w:rsidR="00EB61CC" w:rsidRPr="00FF6355">
        <w:t>2</w:t>
      </w:r>
      <w:r>
        <w:t>012</w:t>
      </w:r>
      <w:r w:rsidR="00EB61CC" w:rsidRPr="00FF6355">
        <w:t>/</w:t>
      </w:r>
      <w:r>
        <w:t>0</w:t>
      </w:r>
      <w:r w:rsidR="00547740">
        <w:t>2</w:t>
      </w:r>
      <w:r w:rsidR="003D4F96" w:rsidRPr="00FF6355">
        <w:t>-0</w:t>
      </w:r>
      <w:r w:rsidR="00365451" w:rsidRPr="00FF6355">
        <w:t>3</w:t>
      </w:r>
      <w:r w:rsidR="003D4F96" w:rsidRPr="00FF6355">
        <w:tab/>
      </w:r>
      <w:proofErr w:type="gramStart"/>
      <w:r w:rsidR="00FA6080" w:rsidRPr="00FF6355">
        <w:t>BACKGROUND</w:t>
      </w:r>
      <w:proofErr w:type="gramEnd"/>
    </w:p>
    <w:p w:rsidR="00741A2F" w:rsidRPr="00FF6355" w:rsidRDefault="00741A2F" w:rsidP="00950727"/>
    <w:p w:rsidR="00235B10" w:rsidRPr="00235B10" w:rsidRDefault="00235B10" w:rsidP="00235B10">
      <w:pPr>
        <w:pStyle w:val="ListParagraph"/>
        <w:tabs>
          <w:tab w:val="left" w:pos="810"/>
        </w:tabs>
        <w:ind w:left="0"/>
        <w:rPr>
          <w:u w:val="single"/>
        </w:rPr>
      </w:pPr>
      <w:r>
        <w:t>03.01</w:t>
      </w:r>
      <w:r>
        <w:tab/>
      </w:r>
      <w:r w:rsidR="004B2D32">
        <w:rPr>
          <w:u w:val="single"/>
        </w:rPr>
        <w:t>Technical Specification Interpretation</w:t>
      </w:r>
      <w:r w:rsidR="004B2D32" w:rsidRPr="004B2D32">
        <w:t>.</w:t>
      </w:r>
    </w:p>
    <w:p w:rsidR="00235B10" w:rsidRDefault="00235B10" w:rsidP="00235B10">
      <w:pPr>
        <w:pStyle w:val="ListParagraph"/>
        <w:tabs>
          <w:tab w:val="left" w:pos="810"/>
        </w:tabs>
        <w:ind w:left="0"/>
      </w:pPr>
    </w:p>
    <w:p w:rsidR="005B0C28" w:rsidRDefault="005B0C28" w:rsidP="00235B10">
      <w:pPr>
        <w:pStyle w:val="ListParagraph"/>
        <w:tabs>
          <w:tab w:val="left" w:pos="810"/>
        </w:tabs>
        <w:ind w:left="0"/>
      </w:pPr>
      <w:r>
        <w:t>Since 2007, there has been an increase in the number of inspection findings involving the human performance cross cutting aspects of ‘a systematic process for decision making’ (</w:t>
      </w:r>
      <w:proofErr w:type="gramStart"/>
      <w:r>
        <w:t>H.1(</w:t>
      </w:r>
      <w:proofErr w:type="gramEnd"/>
      <w:r>
        <w:t xml:space="preserve">a)), and ‘use of conservative assumptions in decision making’ (H.1(b)).  These </w:t>
      </w:r>
      <w:r>
        <w:rPr>
          <w:rFonts w:cs="Arial"/>
          <w:szCs w:val="22"/>
        </w:rPr>
        <w:t>are the only two cross-cutting aspects that have shown any kind of upward trend.</w:t>
      </w:r>
    </w:p>
    <w:p w:rsidR="005B0C28" w:rsidRDefault="005B0C28" w:rsidP="005B0C28"/>
    <w:p w:rsidR="005126C4" w:rsidRDefault="005B0C28" w:rsidP="005126C4">
      <w:r>
        <w:t>A recent review of inspection</w:t>
      </w:r>
      <w:r w:rsidR="00F2423E">
        <w:t xml:space="preserve"> findings</w:t>
      </w:r>
      <w:proofErr w:type="gramStart"/>
      <w:r w:rsidR="00F2423E">
        <w:t xml:space="preserve">, </w:t>
      </w:r>
      <w:r>
        <w:t xml:space="preserve"> </w:t>
      </w:r>
      <w:r w:rsidR="00EA1C84">
        <w:t>operating</w:t>
      </w:r>
      <w:proofErr w:type="gramEnd"/>
      <w:r w:rsidR="00EA1C84">
        <w:t xml:space="preserve"> </w:t>
      </w:r>
      <w:r>
        <w:t>experience</w:t>
      </w:r>
      <w:r w:rsidR="00F2423E">
        <w:t>,</w:t>
      </w:r>
      <w:r>
        <w:t xml:space="preserve"> and </w:t>
      </w:r>
      <w:r w:rsidR="00E8109F">
        <w:t>license amendment requests (LAR</w:t>
      </w:r>
      <w:r>
        <w:t>s</w:t>
      </w:r>
      <w:r w:rsidR="00E8109F">
        <w:t>)</w:t>
      </w:r>
      <w:r>
        <w:t xml:space="preserve"> identified numerous instances where licensees have improperly applied their TS.</w:t>
      </w:r>
      <w:r w:rsidR="00C47F3F">
        <w:t xml:space="preserve">  Collectively, this experience </w:t>
      </w:r>
      <w:r w:rsidR="00F2423E">
        <w:t xml:space="preserve">along with increased NRR support, </w:t>
      </w:r>
      <w:r w:rsidR="00C47F3F">
        <w:t xml:space="preserve">suggests that an increasing number of licensees may be taking a non-conservative approach to interpreting their TS </w:t>
      </w:r>
      <w:r w:rsidR="00EA1C84">
        <w:t xml:space="preserve">requirements </w:t>
      </w:r>
      <w:r w:rsidR="00C47F3F">
        <w:t>or when evaluating degraded or non-conforming conditions.</w:t>
      </w:r>
      <w:r w:rsidR="005126C4">
        <w:t xml:space="preserve">  NOTE:  </w:t>
      </w:r>
      <w:r w:rsidR="000B20A7">
        <w:rPr>
          <w:rFonts w:cs="Arial"/>
        </w:rPr>
        <w:t>Inspectors should not</w:t>
      </w:r>
      <w:r w:rsidR="005126C4">
        <w:rPr>
          <w:rFonts w:cs="Arial"/>
        </w:rPr>
        <w:t xml:space="preserve"> approve a licensee’s interpretation of their Technical Specifications.</w:t>
      </w:r>
    </w:p>
    <w:p w:rsidR="00EA1C84" w:rsidRDefault="00EA1C84" w:rsidP="005B0C28"/>
    <w:p w:rsidR="00860D07" w:rsidRDefault="00860D07" w:rsidP="004B2D32">
      <w:pPr>
        <w:tabs>
          <w:tab w:val="left" w:pos="810"/>
        </w:tabs>
      </w:pPr>
    </w:p>
    <w:p w:rsidR="00860D07" w:rsidRDefault="00860D07" w:rsidP="004B2D32">
      <w:pPr>
        <w:tabs>
          <w:tab w:val="left" w:pos="810"/>
        </w:tabs>
      </w:pPr>
    </w:p>
    <w:p w:rsidR="00860D07" w:rsidRDefault="00860D07" w:rsidP="004B2D32">
      <w:pPr>
        <w:tabs>
          <w:tab w:val="left" w:pos="810"/>
        </w:tabs>
      </w:pPr>
    </w:p>
    <w:p w:rsidR="004B2D32" w:rsidRPr="004B2D32" w:rsidRDefault="004B2D32" w:rsidP="004B2D32">
      <w:pPr>
        <w:tabs>
          <w:tab w:val="left" w:pos="810"/>
        </w:tabs>
      </w:pPr>
      <w:r>
        <w:lastRenderedPageBreak/>
        <w:t>03.02</w:t>
      </w:r>
      <w:r>
        <w:tab/>
      </w:r>
      <w:r>
        <w:rPr>
          <w:u w:val="single"/>
        </w:rPr>
        <w:t>Operability Determinations</w:t>
      </w:r>
      <w:r>
        <w:t>.</w:t>
      </w:r>
    </w:p>
    <w:p w:rsidR="004B2D32" w:rsidRDefault="004B2D32" w:rsidP="005B0C28"/>
    <w:p w:rsidR="00012D69" w:rsidRDefault="00BD586F" w:rsidP="00BD586F">
      <w:r w:rsidRPr="00BD586F">
        <w:t xml:space="preserve">NRC Inspection Manual </w:t>
      </w:r>
      <w:hyperlink r:id="rId8" w:history="1">
        <w:r w:rsidRPr="00BD586F">
          <w:rPr>
            <w:rStyle w:val="Hyperlink"/>
          </w:rPr>
          <w:t>Part 9900: Technical Guidance</w:t>
        </w:r>
      </w:hyperlink>
      <w:proofErr w:type="gramStart"/>
      <w:r w:rsidRPr="00BD586F">
        <w:t xml:space="preserve">, </w:t>
      </w:r>
      <w:r w:rsidR="00324489">
        <w:t xml:space="preserve"> (</w:t>
      </w:r>
      <w:proofErr w:type="gramEnd"/>
      <w:r w:rsidR="00324489">
        <w:t>TG)</w:t>
      </w:r>
      <w:r w:rsidR="00324489" w:rsidRPr="00BD586F">
        <w:t xml:space="preserve"> </w:t>
      </w:r>
      <w:r w:rsidRPr="00BD586F">
        <w:t>“Operability Determinations &amp; Functionality Assessments for Resolution of Degraded or Nonconforming Conditions Adverse to Quality or Safety</w:t>
      </w:r>
      <w:r w:rsidR="00324489">
        <w:t xml:space="preserve"> (ODP)</w:t>
      </w:r>
      <w:r w:rsidRPr="00BD586F">
        <w:t xml:space="preserve">” </w:t>
      </w:r>
      <w:r w:rsidR="00324489">
        <w:t xml:space="preserve">sets forth NRC staff expectations for licensee operability determinations and functionality assessments.  </w:t>
      </w:r>
    </w:p>
    <w:p w:rsidR="00012D69" w:rsidRDefault="00012D69" w:rsidP="00BD586F"/>
    <w:p w:rsidR="00BD586F" w:rsidRPr="00BD586F" w:rsidRDefault="00324489" w:rsidP="00BD586F">
      <w:r>
        <w:t xml:space="preserve">The </w:t>
      </w:r>
      <w:r w:rsidR="00BD586F" w:rsidRPr="00BD586F">
        <w:t xml:space="preserve">Standard Technical Specifications </w:t>
      </w:r>
      <w:r w:rsidR="00012D69">
        <w:t xml:space="preserve">(STS) </w:t>
      </w:r>
      <w:r>
        <w:t>definition of Operable/O</w:t>
      </w:r>
      <w:r w:rsidR="00BD586F" w:rsidRPr="00BD586F">
        <w:t xml:space="preserve">perability </w:t>
      </w:r>
      <w:r>
        <w:t xml:space="preserve">is an integral concept to TS compliance and therefore plant-specific </w:t>
      </w:r>
      <w:r w:rsidR="00563736">
        <w:t xml:space="preserve">immediate </w:t>
      </w:r>
      <w:r w:rsidR="00012D69">
        <w:t xml:space="preserve">operability determinations </w:t>
      </w:r>
      <w:r w:rsidR="00563736">
        <w:t xml:space="preserve">and prompt </w:t>
      </w:r>
      <w:r>
        <w:t>operability determinations.  The TG</w:t>
      </w:r>
      <w:r w:rsidR="00563736">
        <w:t xml:space="preserve"> references</w:t>
      </w:r>
      <w:r>
        <w:t xml:space="preserve"> the STS definition of Operable/Operability</w:t>
      </w:r>
      <w:r w:rsidR="00BD586F" w:rsidRPr="00BD586F">
        <w:t>:</w:t>
      </w:r>
    </w:p>
    <w:p w:rsidR="00BD586F" w:rsidRPr="00BD586F" w:rsidRDefault="00BD586F" w:rsidP="00BD586F"/>
    <w:p w:rsidR="00BD586F" w:rsidRPr="00BD586F" w:rsidRDefault="00BD586F" w:rsidP="004B2D32">
      <w:pPr>
        <w:tabs>
          <w:tab w:val="left" w:pos="810"/>
        </w:tabs>
        <w:ind w:left="810" w:hanging="810"/>
      </w:pPr>
      <w:r>
        <w:tab/>
      </w:r>
      <w:r w:rsidRPr="00BD586F">
        <w:t xml:space="preserve">A system, subsystem, train, component, or device shall be </w:t>
      </w:r>
      <w:r w:rsidRPr="00BD586F">
        <w:rPr>
          <w:b/>
        </w:rPr>
        <w:t>OPERABLE</w:t>
      </w:r>
      <w:r w:rsidRPr="00BD586F">
        <w:t xml:space="preserve"> or have </w:t>
      </w:r>
      <w:r w:rsidRPr="00BD586F">
        <w:rPr>
          <w:b/>
        </w:rPr>
        <w:t>OPERABILITY</w:t>
      </w:r>
      <w:r w:rsidRPr="00BD586F">
        <w:t xml:space="preserve"> when it is capable of performing its specified safety functions, and when all necessary attendant instrumentation, controls, normal or emergency electrical power, cooling and seal water, lubrication and other auxiliary equipment that are required for the system, subsystem, train, component, or device to perform its function(s) are also capable of performing their related support function(s).</w:t>
      </w:r>
    </w:p>
    <w:p w:rsidR="00BD586F" w:rsidRPr="00BD586F" w:rsidRDefault="00BD586F" w:rsidP="00BD586F"/>
    <w:p w:rsidR="00B817BD" w:rsidRDefault="000A685B">
      <w:pPr>
        <w:autoSpaceDE w:val="0"/>
        <w:autoSpaceDN w:val="0"/>
        <w:adjustRightInd w:val="0"/>
      </w:pPr>
      <w:r>
        <w:t xml:space="preserve">Upon discovery of failure to meet </w:t>
      </w:r>
      <w:r w:rsidR="00BD586F" w:rsidRPr="00BD586F">
        <w:t xml:space="preserve">an </w:t>
      </w:r>
      <w:r w:rsidRPr="00BD586F">
        <w:t>LCO</w:t>
      </w:r>
      <w:r>
        <w:t xml:space="preserve">, the </w:t>
      </w:r>
      <w:r w:rsidR="00BD586F" w:rsidRPr="00BD586F">
        <w:t xml:space="preserve">SSC is declared inoperable </w:t>
      </w:r>
      <w:r w:rsidR="003F5B2A">
        <w:t>and</w:t>
      </w:r>
      <w:r w:rsidR="00BD586F" w:rsidRPr="00BD586F">
        <w:t xml:space="preserve"> licensees must </w:t>
      </w:r>
      <w:r>
        <w:t xml:space="preserve">meet </w:t>
      </w:r>
      <w:r w:rsidR="003F5B2A">
        <w:t>the associated Conditions</w:t>
      </w:r>
      <w:r w:rsidR="002E16F3">
        <w:t xml:space="preserve"> </w:t>
      </w:r>
      <w:r>
        <w:t xml:space="preserve">of </w:t>
      </w:r>
      <w:r w:rsidR="002E16F3">
        <w:t>the Required Actions per LCO 3.0.2.”</w:t>
      </w:r>
      <w:r w:rsidR="00B817BD" w:rsidDel="00012D69">
        <w:t xml:space="preserve"> </w:t>
      </w:r>
    </w:p>
    <w:p w:rsidR="00B817BD" w:rsidRDefault="00B817BD">
      <w:pPr>
        <w:autoSpaceDE w:val="0"/>
        <w:autoSpaceDN w:val="0"/>
        <w:adjustRightInd w:val="0"/>
      </w:pPr>
    </w:p>
    <w:p w:rsidR="00E5032D" w:rsidRDefault="00F2423E">
      <w:pPr>
        <w:autoSpaceDE w:val="0"/>
        <w:autoSpaceDN w:val="0"/>
        <w:adjustRightInd w:val="0"/>
      </w:pPr>
      <w:r>
        <w:t>It has become apparent that some</w:t>
      </w:r>
      <w:r w:rsidR="00B817BD">
        <w:t xml:space="preserve"> </w:t>
      </w:r>
      <w:r w:rsidR="00146D27">
        <w:t>l</w:t>
      </w:r>
      <w:r w:rsidR="00E5032D">
        <w:t>icensee</w:t>
      </w:r>
      <w:r w:rsidR="00B817BD">
        <w:t>s have</w:t>
      </w:r>
      <w:r w:rsidR="00146D27">
        <w:t xml:space="preserve"> take</w:t>
      </w:r>
      <w:r w:rsidR="00B817BD">
        <w:t>n</w:t>
      </w:r>
      <w:r w:rsidR="00146D27">
        <w:t xml:space="preserve"> a</w:t>
      </w:r>
      <w:r w:rsidR="00E5032D">
        <w:t xml:space="preserve"> non-conservative approach to interpreting their TS </w:t>
      </w:r>
      <w:r w:rsidR="000A685B">
        <w:t xml:space="preserve">requirements </w:t>
      </w:r>
      <w:r w:rsidR="00E5032D">
        <w:t xml:space="preserve">when </w:t>
      </w:r>
      <w:r w:rsidR="00146D27">
        <w:t>it comes</w:t>
      </w:r>
      <w:r w:rsidR="003F52C6">
        <w:t xml:space="preserve"> to</w:t>
      </w:r>
      <w:r w:rsidR="00146D27">
        <w:t xml:space="preserve"> meeting the Requ</w:t>
      </w:r>
      <w:r w:rsidR="00B817BD">
        <w:t>ir</w:t>
      </w:r>
      <w:r w:rsidR="00146D27">
        <w:t xml:space="preserve">ed Actions </w:t>
      </w:r>
      <w:r w:rsidR="002B2CF5">
        <w:t xml:space="preserve">of </w:t>
      </w:r>
      <w:r w:rsidR="00146D27">
        <w:t>associated Conditions required by TSs.  F</w:t>
      </w:r>
      <w:r w:rsidR="00E5032D">
        <w:t xml:space="preserve">or example: </w:t>
      </w:r>
    </w:p>
    <w:p w:rsidR="004B2D32" w:rsidRDefault="00BD586F" w:rsidP="004B2D32">
      <w:pPr>
        <w:pStyle w:val="ListParagraph"/>
        <w:numPr>
          <w:ilvl w:val="0"/>
          <w:numId w:val="17"/>
        </w:numPr>
        <w:ind w:left="810"/>
      </w:pPr>
      <w:r w:rsidRPr="00BD586F">
        <w:t xml:space="preserve">A licensee may decide to implement compensatory measures as an interim action until final corrective action to resolve </w:t>
      </w:r>
      <w:r w:rsidR="003F5B2A">
        <w:t>an emergent</w:t>
      </w:r>
      <w:r w:rsidRPr="00BD586F">
        <w:t xml:space="preserve"> condition is completed; however,</w:t>
      </w:r>
      <w:r w:rsidR="00B817BD">
        <w:t xml:space="preserve"> </w:t>
      </w:r>
      <w:r w:rsidRPr="00BD586F">
        <w:t xml:space="preserve">they must </w:t>
      </w:r>
      <w:r w:rsidR="003F5B2A">
        <w:t>meet</w:t>
      </w:r>
      <w:r w:rsidRPr="00BD586F">
        <w:t xml:space="preserve"> all </w:t>
      </w:r>
      <w:r w:rsidR="003F5B2A">
        <w:t xml:space="preserve">LCO </w:t>
      </w:r>
      <w:r w:rsidRPr="00BD586F">
        <w:t xml:space="preserve">applicable </w:t>
      </w:r>
      <w:r w:rsidR="003F5B2A">
        <w:t>Required Actions of the associated Conditions</w:t>
      </w:r>
      <w:r w:rsidRPr="00BD586F">
        <w:t>.</w:t>
      </w:r>
    </w:p>
    <w:p w:rsidR="004B2D32" w:rsidRDefault="004B2D32" w:rsidP="004B2D32">
      <w:pPr>
        <w:pStyle w:val="ListParagraph"/>
      </w:pPr>
    </w:p>
    <w:p w:rsidR="00BD586F" w:rsidRDefault="00BD586F" w:rsidP="004B2D32">
      <w:pPr>
        <w:pStyle w:val="ListParagraph"/>
        <w:numPr>
          <w:ilvl w:val="0"/>
          <w:numId w:val="17"/>
        </w:numPr>
        <w:ind w:left="810"/>
      </w:pPr>
      <w:r w:rsidRPr="00BD586F">
        <w:t xml:space="preserve">A licensee may not intentionally declare a required SSC inoperable </w:t>
      </w:r>
      <w:r w:rsidR="00402FA6">
        <w:t>when it is capable of performing its specified safety function unless the inoperability declaration is for preventative maintenance, corrective maintenance, or other activities consistent with, but limited to, those identified in LCO 3.0.2</w:t>
      </w:r>
      <w:r w:rsidRPr="00BD586F">
        <w:t>.  Intentional entry into any action statement shall not be made for operational convenience.</w:t>
      </w:r>
    </w:p>
    <w:p w:rsidR="00146D27" w:rsidRDefault="00146D27" w:rsidP="00146D27">
      <w:pPr>
        <w:pStyle w:val="ListParagraph"/>
      </w:pPr>
    </w:p>
    <w:p w:rsidR="00146D27" w:rsidRDefault="00146D27" w:rsidP="00146D27">
      <w:pPr>
        <w:pStyle w:val="ListParagraph"/>
        <w:numPr>
          <w:ilvl w:val="0"/>
          <w:numId w:val="17"/>
        </w:numPr>
        <w:ind w:left="810"/>
      </w:pPr>
      <w:r w:rsidRPr="00BD586F">
        <w:t xml:space="preserve">Whether stated as a Required Action or not, </w:t>
      </w:r>
      <w:r>
        <w:t>licensees always have the option to restore inoperable equipment to operable status and exit the TS Condition</w:t>
      </w:r>
      <w:r w:rsidRPr="00BD586F">
        <w:t>.</w:t>
      </w:r>
    </w:p>
    <w:p w:rsidR="00146D27" w:rsidRDefault="00146D27" w:rsidP="00950727"/>
    <w:p w:rsidR="00146D27" w:rsidRDefault="00F2423E" w:rsidP="00950727">
      <w:r>
        <w:t>Section .5.03, “Examples o</w:t>
      </w:r>
      <w:r w:rsidR="00365C6C">
        <w:t>f Previous Ins</w:t>
      </w:r>
      <w:r>
        <w:t>pection Findings</w:t>
      </w:r>
      <w:r w:rsidR="00365C6C">
        <w:t>,</w:t>
      </w:r>
      <w:r>
        <w:t>”</w:t>
      </w:r>
      <w:r w:rsidR="00365C6C">
        <w:t xml:space="preserve"> of this guidance</w:t>
      </w:r>
      <w:r>
        <w:t xml:space="preserve"> </w:t>
      </w:r>
      <w:r w:rsidR="00365C6C">
        <w:t xml:space="preserve">provides specific inspection experience examples regarding non-conservative decision making. </w:t>
      </w:r>
    </w:p>
    <w:p w:rsidR="00F2423E" w:rsidRDefault="00F2423E" w:rsidP="00950727"/>
    <w:p w:rsidR="00FA6080" w:rsidRPr="00FF6355" w:rsidRDefault="00BE43A2" w:rsidP="00950727">
      <w:proofErr w:type="spellStart"/>
      <w:r>
        <w:t>OpESS</w:t>
      </w:r>
      <w:proofErr w:type="spellEnd"/>
      <w:r>
        <w:t xml:space="preserve"> </w:t>
      </w:r>
      <w:r w:rsidR="00EB61CC" w:rsidRPr="00FF6355">
        <w:t>2</w:t>
      </w:r>
      <w:r>
        <w:t>012</w:t>
      </w:r>
      <w:r w:rsidR="00EB61CC" w:rsidRPr="00FF6355">
        <w:t>/</w:t>
      </w:r>
      <w:r>
        <w:t>0</w:t>
      </w:r>
      <w:r w:rsidR="00547740">
        <w:t>2</w:t>
      </w:r>
      <w:r w:rsidR="003D4F96" w:rsidRPr="00FF6355">
        <w:t>-0</w:t>
      </w:r>
      <w:r w:rsidR="00365451" w:rsidRPr="00FF6355">
        <w:t>4</w:t>
      </w:r>
      <w:r w:rsidR="003D4F96" w:rsidRPr="00FF6355">
        <w:tab/>
        <w:t>INSPECTION</w:t>
      </w:r>
      <w:r w:rsidR="00FA6080" w:rsidRPr="00FF6355">
        <w:t xml:space="preserve"> </w:t>
      </w:r>
      <w:r w:rsidR="005245D9" w:rsidRPr="00FF6355">
        <w:t>GUIDANCE</w:t>
      </w:r>
    </w:p>
    <w:p w:rsidR="00FA6080" w:rsidRDefault="00FA6080" w:rsidP="00950727"/>
    <w:p w:rsidR="00C7364A" w:rsidRDefault="00C7364A" w:rsidP="00C7364A">
      <w:r>
        <w:t xml:space="preserve">The following inspection guidance may be applied as appropriate to support baseline inspection activities.  Inspector judgment should be used when determining the extent to which this </w:t>
      </w:r>
      <w:proofErr w:type="spellStart"/>
      <w:r>
        <w:t>OpESS</w:t>
      </w:r>
      <w:proofErr w:type="spellEnd"/>
      <w:r>
        <w:t xml:space="preserve"> should be used to inform inspection activities under the applicable baseline IPs.</w:t>
      </w:r>
    </w:p>
    <w:p w:rsidR="00C7364A" w:rsidRDefault="00C7364A" w:rsidP="00C7364A"/>
    <w:p w:rsidR="005B0C28" w:rsidRDefault="005B0C28" w:rsidP="005B0C28">
      <w:pPr>
        <w:tabs>
          <w:tab w:val="left" w:pos="810"/>
        </w:tabs>
      </w:pPr>
      <w:r>
        <w:t>04.01</w:t>
      </w:r>
      <w:r>
        <w:tab/>
      </w:r>
      <w:r w:rsidR="00C7364A" w:rsidRPr="0029434F">
        <w:rPr>
          <w:u w:val="single"/>
        </w:rPr>
        <w:t>Operability Determinations and Functionality Assessments</w:t>
      </w:r>
      <w:r w:rsidR="00C7364A">
        <w:rPr>
          <w:u w:val="single"/>
        </w:rPr>
        <w:t>.</w:t>
      </w:r>
      <w:r w:rsidR="00C7364A">
        <w:t xml:space="preserve">  The recommended inspection activities describe</w:t>
      </w:r>
      <w:r w:rsidR="005E347F">
        <w:t>d</w:t>
      </w:r>
      <w:r w:rsidR="00C7364A">
        <w:t xml:space="preserve"> below support </w:t>
      </w:r>
      <w:r w:rsidR="00C7364A" w:rsidRPr="009F6738">
        <w:rPr>
          <w:rFonts w:cs="Arial"/>
        </w:rPr>
        <w:t>IP 711</w:t>
      </w:r>
      <w:r w:rsidR="005126C4">
        <w:rPr>
          <w:rFonts w:cs="Arial"/>
        </w:rPr>
        <w:t>1</w:t>
      </w:r>
      <w:r w:rsidR="00C7364A" w:rsidRPr="009F6738">
        <w:rPr>
          <w:rFonts w:cs="Arial"/>
        </w:rPr>
        <w:t>1.15</w:t>
      </w:r>
      <w:r w:rsidR="00C7364A">
        <w:t>, “</w:t>
      </w:r>
      <w:r w:rsidR="009F6738">
        <w:t>Operability Determinations and F</w:t>
      </w:r>
      <w:r w:rsidR="00C7364A">
        <w:t>unctionality Assessments.”</w:t>
      </w:r>
    </w:p>
    <w:p w:rsidR="005B0C28" w:rsidRDefault="005B0C28" w:rsidP="005B0C28"/>
    <w:p w:rsidR="009F6738" w:rsidRDefault="005B0C28" w:rsidP="005B0C28">
      <w:pPr>
        <w:tabs>
          <w:tab w:val="left" w:pos="270"/>
          <w:tab w:val="left" w:pos="810"/>
        </w:tabs>
        <w:ind w:left="810" w:hanging="810"/>
      </w:pPr>
      <w:r>
        <w:lastRenderedPageBreak/>
        <w:tab/>
        <w:t>a.</w:t>
      </w:r>
      <w:r>
        <w:tab/>
      </w:r>
      <w:r w:rsidR="00BD586F">
        <w:t>Review</w:t>
      </w:r>
      <w:r w:rsidR="00BD586F" w:rsidRPr="00BD586F">
        <w:t xml:space="preserve"> </w:t>
      </w:r>
      <w:r w:rsidR="00235B10">
        <w:t xml:space="preserve">an </w:t>
      </w:r>
      <w:r w:rsidR="00BD586F" w:rsidRPr="00BD586F">
        <w:t xml:space="preserve">instance where </w:t>
      </w:r>
      <w:r w:rsidR="00BD586F">
        <w:t xml:space="preserve">a change to </w:t>
      </w:r>
      <w:r w:rsidR="00BD586F" w:rsidRPr="00BD586F">
        <w:t>plant operations</w:t>
      </w:r>
      <w:r w:rsidR="00BD586F">
        <w:t xml:space="preserve"> was justified by a corresponding change to the </w:t>
      </w:r>
      <w:r w:rsidR="00BD586F" w:rsidRPr="00BD586F">
        <w:t xml:space="preserve">TS Bases </w:t>
      </w:r>
      <w:r w:rsidR="00BD586F">
        <w:t>or an interpretation of an existing TS Bases statement.</w:t>
      </w:r>
      <w:r w:rsidR="00BD586F" w:rsidRPr="00BD586F">
        <w:t xml:space="preserve"> </w:t>
      </w:r>
    </w:p>
    <w:p w:rsidR="00BD586F" w:rsidRDefault="009F6738" w:rsidP="005B0C28">
      <w:pPr>
        <w:tabs>
          <w:tab w:val="left" w:pos="270"/>
          <w:tab w:val="left" w:pos="810"/>
        </w:tabs>
        <w:ind w:left="810" w:hanging="810"/>
      </w:pPr>
      <w:r>
        <w:tab/>
      </w:r>
      <w:r>
        <w:tab/>
      </w:r>
      <w:r w:rsidR="00BD586F" w:rsidRPr="00BD586F">
        <w:t>[Supports IP 71111.15, Section 02.01</w:t>
      </w:r>
      <w:r w:rsidR="009B6E3F">
        <w:t>b</w:t>
      </w:r>
      <w:r w:rsidR="00BD586F" w:rsidRPr="00BD586F">
        <w:t>]</w:t>
      </w:r>
    </w:p>
    <w:p w:rsidR="003F5B2A" w:rsidRDefault="003F5B2A" w:rsidP="005B0C28">
      <w:pPr>
        <w:tabs>
          <w:tab w:val="left" w:pos="270"/>
          <w:tab w:val="left" w:pos="810"/>
        </w:tabs>
        <w:ind w:left="810" w:hanging="810"/>
      </w:pPr>
    </w:p>
    <w:p w:rsidR="009F6738" w:rsidRDefault="009B6E3F" w:rsidP="009B6E3F">
      <w:pPr>
        <w:tabs>
          <w:tab w:val="left" w:pos="270"/>
          <w:tab w:val="left" w:pos="810"/>
        </w:tabs>
        <w:ind w:left="1260" w:hanging="1260"/>
      </w:pPr>
      <w:r>
        <w:tab/>
      </w:r>
      <w:r>
        <w:tab/>
        <w:t>1.</w:t>
      </w:r>
      <w:r w:rsidR="009F6738">
        <w:tab/>
      </w:r>
      <w:r w:rsidR="004D6766">
        <w:t>Compare the changes against any licensee procedures or written guidance associated with the decision making process.</w:t>
      </w:r>
    </w:p>
    <w:p w:rsidR="004D6766" w:rsidRDefault="004D6766" w:rsidP="009B6E3F">
      <w:pPr>
        <w:tabs>
          <w:tab w:val="left" w:pos="270"/>
          <w:tab w:val="left" w:pos="810"/>
        </w:tabs>
        <w:ind w:left="1260" w:hanging="1260"/>
      </w:pPr>
    </w:p>
    <w:p w:rsidR="009B6E3F" w:rsidRDefault="009F6738" w:rsidP="009B6E3F">
      <w:pPr>
        <w:tabs>
          <w:tab w:val="left" w:pos="270"/>
          <w:tab w:val="left" w:pos="810"/>
        </w:tabs>
        <w:ind w:left="1260" w:hanging="1260"/>
      </w:pPr>
      <w:r>
        <w:tab/>
      </w:r>
      <w:r>
        <w:tab/>
        <w:t>2.</w:t>
      </w:r>
      <w:r>
        <w:tab/>
      </w:r>
      <w:r w:rsidR="009B6E3F">
        <w:t>Evaluate the adequacy of an</w:t>
      </w:r>
      <w:r w:rsidR="00695A8F">
        <w:t>y</w:t>
      </w:r>
      <w:r w:rsidR="009B6E3F">
        <w:t xml:space="preserve"> 10 CFR 50.59 evaluation associated with the change to the TS Bases.</w:t>
      </w:r>
    </w:p>
    <w:p w:rsidR="009B6E3F" w:rsidRDefault="009B6E3F" w:rsidP="009B6E3F">
      <w:pPr>
        <w:tabs>
          <w:tab w:val="left" w:pos="270"/>
          <w:tab w:val="left" w:pos="810"/>
        </w:tabs>
        <w:ind w:left="1260" w:hanging="1260"/>
      </w:pPr>
    </w:p>
    <w:p w:rsidR="009B6E3F" w:rsidRDefault="009B6E3F" w:rsidP="009B6E3F">
      <w:pPr>
        <w:tabs>
          <w:tab w:val="left" w:pos="270"/>
          <w:tab w:val="left" w:pos="810"/>
        </w:tabs>
        <w:ind w:left="1260" w:hanging="1260"/>
      </w:pPr>
      <w:r>
        <w:tab/>
      </w:r>
      <w:r>
        <w:tab/>
      </w:r>
      <w:r w:rsidR="004D6766">
        <w:t>3</w:t>
      </w:r>
      <w:r>
        <w:t>.</w:t>
      </w:r>
      <w:r>
        <w:tab/>
      </w:r>
      <w:r w:rsidRPr="00942FC1">
        <w:t>Examples of previous issues are provided below in Section 05.03</w:t>
      </w:r>
      <w:r w:rsidR="00942FC1" w:rsidRPr="00942FC1">
        <w:t>d and</w:t>
      </w:r>
      <w:r w:rsidRPr="00942FC1">
        <w:t xml:space="preserve"> 05.03</w:t>
      </w:r>
      <w:r w:rsidR="00942FC1" w:rsidRPr="00942FC1">
        <w:t>e</w:t>
      </w:r>
      <w:r w:rsidRPr="00942FC1">
        <w:t>.</w:t>
      </w:r>
    </w:p>
    <w:p w:rsidR="005B0C28" w:rsidRDefault="005B0C28" w:rsidP="005B0C28">
      <w:pPr>
        <w:tabs>
          <w:tab w:val="left" w:pos="270"/>
          <w:tab w:val="left" w:pos="810"/>
        </w:tabs>
        <w:ind w:left="810" w:hanging="810"/>
        <w:rPr>
          <w:szCs w:val="22"/>
        </w:rPr>
      </w:pPr>
    </w:p>
    <w:p w:rsidR="00235B10" w:rsidRDefault="005B0C28" w:rsidP="005B0C28">
      <w:pPr>
        <w:tabs>
          <w:tab w:val="left" w:pos="270"/>
          <w:tab w:val="left" w:pos="810"/>
        </w:tabs>
        <w:ind w:left="810" w:hanging="810"/>
        <w:rPr>
          <w:szCs w:val="22"/>
        </w:rPr>
      </w:pPr>
      <w:r>
        <w:rPr>
          <w:szCs w:val="22"/>
        </w:rPr>
        <w:tab/>
        <w:t>b.</w:t>
      </w:r>
      <w:r>
        <w:rPr>
          <w:szCs w:val="22"/>
        </w:rPr>
        <w:tab/>
      </w:r>
      <w:r w:rsidR="005126C4" w:rsidRPr="00BF1FAE">
        <w:rPr>
          <w:szCs w:val="22"/>
        </w:rPr>
        <w:t xml:space="preserve">Review an operability determination where a licensee credit compensatory measures, which substitute manual operator action for automatic action to perform a specified safety function, to </w:t>
      </w:r>
      <w:r w:rsidR="005126C4" w:rsidRPr="00235B10">
        <w:rPr>
          <w:szCs w:val="22"/>
        </w:rPr>
        <w:t>consider/declare equipment operable</w:t>
      </w:r>
      <w:r w:rsidR="005126C4" w:rsidRPr="00BF1FAE">
        <w:rPr>
          <w:szCs w:val="22"/>
        </w:rPr>
        <w:t>.</w:t>
      </w:r>
    </w:p>
    <w:p w:rsidR="00235B10" w:rsidRDefault="00235B10" w:rsidP="005B0C28">
      <w:pPr>
        <w:tabs>
          <w:tab w:val="left" w:pos="270"/>
          <w:tab w:val="left" w:pos="810"/>
        </w:tabs>
        <w:ind w:left="810" w:hanging="810"/>
        <w:rPr>
          <w:i/>
          <w:color w:val="1F497D"/>
          <w:szCs w:val="22"/>
        </w:rPr>
      </w:pPr>
      <w:r>
        <w:rPr>
          <w:szCs w:val="22"/>
        </w:rPr>
        <w:tab/>
      </w:r>
      <w:r>
        <w:rPr>
          <w:szCs w:val="22"/>
        </w:rPr>
        <w:tab/>
      </w:r>
      <w:r w:rsidRPr="00235B10">
        <w:rPr>
          <w:szCs w:val="22"/>
        </w:rPr>
        <w:t>[Supports IP 71111.15, Section</w:t>
      </w:r>
      <w:r>
        <w:rPr>
          <w:szCs w:val="22"/>
        </w:rPr>
        <w:t>s</w:t>
      </w:r>
      <w:r w:rsidRPr="00235B10">
        <w:rPr>
          <w:szCs w:val="22"/>
        </w:rPr>
        <w:t xml:space="preserve"> 02.01</w:t>
      </w:r>
      <w:r>
        <w:rPr>
          <w:szCs w:val="22"/>
        </w:rPr>
        <w:t>c, 02.01d</w:t>
      </w:r>
      <w:r w:rsidRPr="00235B10">
        <w:rPr>
          <w:szCs w:val="22"/>
        </w:rPr>
        <w:t>]</w:t>
      </w:r>
    </w:p>
    <w:p w:rsidR="00235B10" w:rsidRDefault="00235B10" w:rsidP="005B0C28">
      <w:pPr>
        <w:tabs>
          <w:tab w:val="left" w:pos="270"/>
          <w:tab w:val="left" w:pos="810"/>
        </w:tabs>
        <w:ind w:left="810" w:hanging="810"/>
        <w:rPr>
          <w:i/>
          <w:color w:val="1F497D"/>
          <w:szCs w:val="22"/>
        </w:rPr>
      </w:pPr>
    </w:p>
    <w:p w:rsidR="00235B10" w:rsidRDefault="00235B10" w:rsidP="00235B10">
      <w:pPr>
        <w:tabs>
          <w:tab w:val="left" w:pos="270"/>
          <w:tab w:val="left" w:pos="810"/>
        </w:tabs>
        <w:ind w:left="1260" w:hanging="1260"/>
        <w:rPr>
          <w:szCs w:val="22"/>
        </w:rPr>
      </w:pPr>
      <w:r>
        <w:rPr>
          <w:i/>
          <w:color w:val="1F497D"/>
          <w:szCs w:val="22"/>
        </w:rPr>
        <w:tab/>
      </w:r>
      <w:r>
        <w:rPr>
          <w:i/>
          <w:color w:val="1F497D"/>
          <w:szCs w:val="22"/>
        </w:rPr>
        <w:tab/>
      </w:r>
      <w:r w:rsidRPr="00235B10">
        <w:rPr>
          <w:szCs w:val="22"/>
        </w:rPr>
        <w:t>1.</w:t>
      </w:r>
      <w:r w:rsidRPr="00235B10">
        <w:rPr>
          <w:szCs w:val="22"/>
        </w:rPr>
        <w:tab/>
      </w:r>
      <w:hyperlink r:id="rId9" w:history="1">
        <w:r w:rsidR="00402FA6" w:rsidRPr="00BD586F">
          <w:rPr>
            <w:rStyle w:val="Hyperlink"/>
          </w:rPr>
          <w:t>Part 9900: Technical Guidance</w:t>
        </w:r>
      </w:hyperlink>
      <w:r w:rsidR="00402FA6">
        <w:t>,</w:t>
      </w:r>
      <w:r w:rsidR="00402FA6">
        <w:rPr>
          <w:szCs w:val="22"/>
        </w:rPr>
        <w:t xml:space="preserve"> </w:t>
      </w:r>
      <w:hyperlink r:id="rId10" w:anchor="Page=29" w:history="1">
        <w:r w:rsidR="00402FA6" w:rsidRPr="00402FA6">
          <w:rPr>
            <w:rStyle w:val="Hyperlink"/>
            <w:szCs w:val="22"/>
          </w:rPr>
          <w:t>Appendix C.5</w:t>
        </w:r>
      </w:hyperlink>
      <w:r w:rsidR="00402FA6">
        <w:rPr>
          <w:szCs w:val="22"/>
        </w:rPr>
        <w:t xml:space="preserve"> contains guidance on the temporary use of manual actions to support operability determinations. </w:t>
      </w:r>
      <w:r w:rsidR="002A73DA" w:rsidRPr="00235B10">
        <w:rPr>
          <w:szCs w:val="22"/>
        </w:rPr>
        <w:t>Operability determinations are generally not expected to be successful in cases where credit is taken for manual action in place of automatic action(s).</w:t>
      </w:r>
      <w:r w:rsidR="002A73DA">
        <w:rPr>
          <w:szCs w:val="22"/>
        </w:rPr>
        <w:t xml:space="preserve">  </w:t>
      </w:r>
    </w:p>
    <w:p w:rsidR="00235B10" w:rsidRDefault="00235B10" w:rsidP="00235B10">
      <w:pPr>
        <w:tabs>
          <w:tab w:val="left" w:pos="270"/>
          <w:tab w:val="left" w:pos="810"/>
        </w:tabs>
        <w:ind w:left="1260" w:hanging="1260"/>
        <w:rPr>
          <w:szCs w:val="22"/>
        </w:rPr>
      </w:pPr>
    </w:p>
    <w:p w:rsidR="00235B10" w:rsidRDefault="00235B10" w:rsidP="00235B10">
      <w:pPr>
        <w:tabs>
          <w:tab w:val="left" w:pos="270"/>
          <w:tab w:val="left" w:pos="810"/>
        </w:tabs>
        <w:ind w:left="1260" w:hanging="1260"/>
        <w:rPr>
          <w:szCs w:val="22"/>
        </w:rPr>
      </w:pPr>
      <w:r>
        <w:rPr>
          <w:szCs w:val="22"/>
        </w:rPr>
        <w:tab/>
      </w:r>
      <w:r>
        <w:rPr>
          <w:szCs w:val="22"/>
        </w:rPr>
        <w:tab/>
        <w:t>2.</w:t>
      </w:r>
      <w:r>
        <w:rPr>
          <w:szCs w:val="22"/>
        </w:rPr>
        <w:tab/>
      </w:r>
      <w:r w:rsidRPr="00235B10">
        <w:rPr>
          <w:szCs w:val="22"/>
        </w:rPr>
        <w:t xml:space="preserve">Some manual compensatory actions could constitute a temporary facility or procedure change under 10 CFR 50.59 and inadvertently </w:t>
      </w:r>
      <w:r w:rsidR="002A73DA">
        <w:rPr>
          <w:szCs w:val="22"/>
        </w:rPr>
        <w:t xml:space="preserve">result in </w:t>
      </w:r>
      <w:r w:rsidRPr="00235B10">
        <w:rPr>
          <w:szCs w:val="22"/>
        </w:rPr>
        <w:t xml:space="preserve">the </w:t>
      </w:r>
      <w:r w:rsidR="002A73DA">
        <w:rPr>
          <w:szCs w:val="22"/>
        </w:rPr>
        <w:t xml:space="preserve">plant operating </w:t>
      </w:r>
      <w:r w:rsidR="005126C4">
        <w:rPr>
          <w:szCs w:val="22"/>
        </w:rPr>
        <w:t>outside its design bas</w:t>
      </w:r>
      <w:r w:rsidR="002A73DA">
        <w:rPr>
          <w:szCs w:val="22"/>
        </w:rPr>
        <w:t>i</w:t>
      </w:r>
      <w:r>
        <w:rPr>
          <w:szCs w:val="22"/>
        </w:rPr>
        <w:t>s.</w:t>
      </w:r>
    </w:p>
    <w:p w:rsidR="00235B10" w:rsidRDefault="00235B10" w:rsidP="005B0C28">
      <w:pPr>
        <w:tabs>
          <w:tab w:val="left" w:pos="270"/>
          <w:tab w:val="left" w:pos="810"/>
        </w:tabs>
        <w:ind w:left="810" w:hanging="810"/>
        <w:rPr>
          <w:szCs w:val="22"/>
        </w:rPr>
      </w:pPr>
    </w:p>
    <w:p w:rsidR="005B0C28" w:rsidRPr="00235B10" w:rsidRDefault="00235B10" w:rsidP="005B0C28">
      <w:pPr>
        <w:tabs>
          <w:tab w:val="left" w:pos="270"/>
          <w:tab w:val="left" w:pos="810"/>
        </w:tabs>
        <w:ind w:left="810" w:hanging="810"/>
        <w:rPr>
          <w:szCs w:val="22"/>
        </w:rPr>
      </w:pPr>
      <w:r>
        <w:rPr>
          <w:szCs w:val="22"/>
        </w:rPr>
        <w:tab/>
      </w:r>
      <w:r>
        <w:rPr>
          <w:szCs w:val="22"/>
        </w:rPr>
        <w:tab/>
        <w:t>3.</w:t>
      </w:r>
      <w:r>
        <w:rPr>
          <w:szCs w:val="22"/>
        </w:rPr>
        <w:tab/>
      </w:r>
      <w:r w:rsidRPr="00942FC1">
        <w:t>Examples of previous issues are provided below in Section 05.03</w:t>
      </w:r>
      <w:r w:rsidR="00942FC1" w:rsidRPr="00942FC1">
        <w:t>b and</w:t>
      </w:r>
      <w:r w:rsidRPr="00942FC1">
        <w:t xml:space="preserve"> 05.03</w:t>
      </w:r>
      <w:r w:rsidR="00942FC1" w:rsidRPr="00942FC1">
        <w:t>f</w:t>
      </w:r>
      <w:r w:rsidRPr="00942FC1">
        <w:t>.</w:t>
      </w:r>
      <w:r w:rsidR="00C7364A" w:rsidRPr="00235B10">
        <w:rPr>
          <w:szCs w:val="22"/>
        </w:rPr>
        <w:t xml:space="preserve">  </w:t>
      </w:r>
    </w:p>
    <w:p w:rsidR="005B0C28" w:rsidRDefault="005B0C28" w:rsidP="005B0C28">
      <w:pPr>
        <w:tabs>
          <w:tab w:val="left" w:pos="270"/>
          <w:tab w:val="left" w:pos="810"/>
        </w:tabs>
        <w:ind w:left="810" w:hanging="810"/>
        <w:rPr>
          <w:i/>
          <w:color w:val="1F497D"/>
          <w:szCs w:val="22"/>
        </w:rPr>
      </w:pPr>
    </w:p>
    <w:p w:rsidR="00235B10" w:rsidRPr="00235B10" w:rsidRDefault="005B0C28" w:rsidP="00BD586F">
      <w:pPr>
        <w:tabs>
          <w:tab w:val="left" w:pos="274"/>
          <w:tab w:val="left" w:pos="806"/>
        </w:tabs>
        <w:ind w:left="810" w:hanging="810"/>
        <w:rPr>
          <w:szCs w:val="22"/>
        </w:rPr>
      </w:pPr>
      <w:r>
        <w:rPr>
          <w:i/>
          <w:color w:val="1F497D"/>
          <w:szCs w:val="22"/>
        </w:rPr>
        <w:tab/>
      </w:r>
      <w:r w:rsidRPr="00235B10">
        <w:rPr>
          <w:szCs w:val="22"/>
        </w:rPr>
        <w:t>c.</w:t>
      </w:r>
      <w:r w:rsidRPr="00235B10">
        <w:rPr>
          <w:szCs w:val="22"/>
        </w:rPr>
        <w:tab/>
      </w:r>
      <w:r w:rsidR="00235B10" w:rsidRPr="00235B10">
        <w:rPr>
          <w:szCs w:val="22"/>
        </w:rPr>
        <w:t xml:space="preserve">Review an instance </w:t>
      </w:r>
      <w:r w:rsidR="00C7364A" w:rsidRPr="00235B10">
        <w:rPr>
          <w:szCs w:val="22"/>
        </w:rPr>
        <w:t xml:space="preserve">where the licensee failed </w:t>
      </w:r>
      <w:r w:rsidR="003F5B2A">
        <w:rPr>
          <w:szCs w:val="22"/>
        </w:rPr>
        <w:t>to</w:t>
      </w:r>
      <w:r w:rsidR="00402FA6">
        <w:rPr>
          <w:szCs w:val="22"/>
        </w:rPr>
        <w:t xml:space="preserve"> </w:t>
      </w:r>
      <w:r w:rsidR="002A73DA">
        <w:rPr>
          <w:szCs w:val="22"/>
        </w:rPr>
        <w:t xml:space="preserve">meet </w:t>
      </w:r>
      <w:r w:rsidR="00402FA6">
        <w:rPr>
          <w:szCs w:val="22"/>
        </w:rPr>
        <w:t>or did not</w:t>
      </w:r>
      <w:r w:rsidR="003F5B2A">
        <w:rPr>
          <w:szCs w:val="22"/>
        </w:rPr>
        <w:t xml:space="preserve"> perform</w:t>
      </w:r>
      <w:r w:rsidR="00C7364A" w:rsidRPr="00235B10">
        <w:rPr>
          <w:szCs w:val="22"/>
        </w:rPr>
        <w:t xml:space="preserve"> a surveillance test</w:t>
      </w:r>
      <w:r w:rsidR="003F5B2A">
        <w:rPr>
          <w:szCs w:val="22"/>
        </w:rPr>
        <w:t xml:space="preserve"> within its specified frequency</w:t>
      </w:r>
      <w:r w:rsidR="00235B10" w:rsidRPr="00235B10">
        <w:rPr>
          <w:szCs w:val="22"/>
        </w:rPr>
        <w:t>.</w:t>
      </w:r>
    </w:p>
    <w:p w:rsidR="00235B10" w:rsidRPr="00235B10" w:rsidRDefault="00235B10" w:rsidP="00BD586F">
      <w:pPr>
        <w:tabs>
          <w:tab w:val="left" w:pos="274"/>
          <w:tab w:val="left" w:pos="806"/>
        </w:tabs>
        <w:ind w:left="810" w:hanging="810"/>
        <w:rPr>
          <w:szCs w:val="22"/>
        </w:rPr>
      </w:pPr>
      <w:r w:rsidRPr="00235B10">
        <w:rPr>
          <w:szCs w:val="22"/>
        </w:rPr>
        <w:tab/>
      </w:r>
      <w:r w:rsidRPr="00235B10">
        <w:rPr>
          <w:szCs w:val="22"/>
        </w:rPr>
        <w:tab/>
        <w:t>[Supports IP 71111.15, Section 02.01</w:t>
      </w:r>
      <w:r>
        <w:rPr>
          <w:szCs w:val="22"/>
        </w:rPr>
        <w:t>e</w:t>
      </w:r>
      <w:r w:rsidRPr="00235B10">
        <w:rPr>
          <w:szCs w:val="22"/>
        </w:rPr>
        <w:t>]</w:t>
      </w:r>
    </w:p>
    <w:p w:rsidR="00235B10" w:rsidRPr="00235B10" w:rsidRDefault="00235B10" w:rsidP="00BD586F">
      <w:pPr>
        <w:tabs>
          <w:tab w:val="left" w:pos="274"/>
          <w:tab w:val="left" w:pos="806"/>
        </w:tabs>
        <w:ind w:left="810" w:hanging="810"/>
        <w:rPr>
          <w:szCs w:val="22"/>
        </w:rPr>
      </w:pPr>
    </w:p>
    <w:p w:rsidR="00235B10" w:rsidRPr="00235B10" w:rsidRDefault="00235B10" w:rsidP="00235B10">
      <w:pPr>
        <w:tabs>
          <w:tab w:val="left" w:pos="274"/>
          <w:tab w:val="left" w:pos="810"/>
        </w:tabs>
        <w:ind w:left="1260" w:hanging="1260"/>
        <w:rPr>
          <w:szCs w:val="22"/>
        </w:rPr>
      </w:pPr>
      <w:r w:rsidRPr="00235B10">
        <w:rPr>
          <w:szCs w:val="22"/>
        </w:rPr>
        <w:tab/>
      </w:r>
      <w:r w:rsidRPr="00235B10">
        <w:rPr>
          <w:szCs w:val="22"/>
        </w:rPr>
        <w:tab/>
        <w:t>1.</w:t>
      </w:r>
      <w:r w:rsidRPr="00235B10">
        <w:rPr>
          <w:szCs w:val="22"/>
        </w:rPr>
        <w:tab/>
      </w:r>
      <w:r w:rsidR="00402FA6">
        <w:rPr>
          <w:szCs w:val="22"/>
        </w:rPr>
        <w:t xml:space="preserve">Per </w:t>
      </w:r>
      <w:hyperlink r:id="rId11" w:anchor="Page=11" w:history="1">
        <w:r w:rsidR="00402FA6" w:rsidRPr="00402FA6">
          <w:rPr>
            <w:rStyle w:val="Hyperlink"/>
            <w:szCs w:val="22"/>
          </w:rPr>
          <w:t>Part 9900: Technical Guidance</w:t>
        </w:r>
      </w:hyperlink>
      <w:r w:rsidR="00402FA6">
        <w:rPr>
          <w:szCs w:val="22"/>
        </w:rPr>
        <w:t>, if</w:t>
      </w:r>
      <w:r w:rsidR="00402FA6" w:rsidRPr="00402FA6">
        <w:t xml:space="preserve"> </w:t>
      </w:r>
      <w:r w:rsidR="00402FA6">
        <w:t>an SSC is clearly inoperable (e.g., loss of motive power or failed TS surveillance), it must be declared inoperable and the operability determination process need not be entered.</w:t>
      </w:r>
      <w:r w:rsidR="00402FA6">
        <w:rPr>
          <w:szCs w:val="22"/>
        </w:rPr>
        <w:t xml:space="preserve"> L</w:t>
      </w:r>
      <w:r w:rsidR="00C7364A" w:rsidRPr="00235B10">
        <w:rPr>
          <w:szCs w:val="22"/>
        </w:rPr>
        <w:t>icensee</w:t>
      </w:r>
      <w:r w:rsidR="00402FA6">
        <w:rPr>
          <w:szCs w:val="22"/>
        </w:rPr>
        <w:t>s</w:t>
      </w:r>
      <w:r w:rsidR="00C7364A" w:rsidRPr="00235B10">
        <w:rPr>
          <w:szCs w:val="22"/>
        </w:rPr>
        <w:t xml:space="preserve"> </w:t>
      </w:r>
      <w:r w:rsidR="00402FA6">
        <w:rPr>
          <w:szCs w:val="22"/>
        </w:rPr>
        <w:t xml:space="preserve">shall </w:t>
      </w:r>
      <w:r w:rsidR="00C7364A" w:rsidRPr="00235B10">
        <w:rPr>
          <w:szCs w:val="22"/>
        </w:rPr>
        <w:t>enter</w:t>
      </w:r>
      <w:r w:rsidR="00402FA6">
        <w:rPr>
          <w:szCs w:val="22"/>
        </w:rPr>
        <w:t xml:space="preserve"> </w:t>
      </w:r>
      <w:r w:rsidR="00C7364A" w:rsidRPr="00235B10">
        <w:rPr>
          <w:szCs w:val="22"/>
        </w:rPr>
        <w:t xml:space="preserve">all applicable </w:t>
      </w:r>
      <w:r w:rsidR="00C81BBF">
        <w:rPr>
          <w:szCs w:val="22"/>
        </w:rPr>
        <w:t xml:space="preserve">conditions immediately, per LCO 3.0.2. </w:t>
      </w:r>
      <w:r>
        <w:rPr>
          <w:szCs w:val="22"/>
        </w:rPr>
        <w:t xml:space="preserve">  </w:t>
      </w:r>
      <w:r w:rsidR="00C7364A" w:rsidRPr="00235B10">
        <w:rPr>
          <w:szCs w:val="22"/>
        </w:rPr>
        <w:t xml:space="preserve">Time of </w:t>
      </w:r>
      <w:r w:rsidR="00C81BBF">
        <w:rPr>
          <w:szCs w:val="22"/>
        </w:rPr>
        <w:t>d</w:t>
      </w:r>
      <w:r w:rsidR="00C7364A" w:rsidRPr="00235B10">
        <w:rPr>
          <w:szCs w:val="22"/>
        </w:rPr>
        <w:t xml:space="preserve">iscovery for a failed surveillance should be determined from the surveillance test unless there is clear evidence showing otherwise.  </w:t>
      </w:r>
    </w:p>
    <w:p w:rsidR="00235B10" w:rsidRPr="00235B10" w:rsidRDefault="00235B10" w:rsidP="00235B10">
      <w:pPr>
        <w:tabs>
          <w:tab w:val="left" w:pos="274"/>
          <w:tab w:val="left" w:pos="810"/>
        </w:tabs>
        <w:ind w:left="1260" w:hanging="1260"/>
        <w:rPr>
          <w:szCs w:val="22"/>
        </w:rPr>
      </w:pPr>
    </w:p>
    <w:p w:rsidR="00235B10" w:rsidRDefault="00235B10" w:rsidP="00C30BC4">
      <w:pPr>
        <w:tabs>
          <w:tab w:val="left" w:pos="274"/>
          <w:tab w:val="left" w:pos="810"/>
        </w:tabs>
        <w:ind w:left="1260" w:hanging="1260"/>
        <w:rPr>
          <w:szCs w:val="22"/>
        </w:rPr>
      </w:pPr>
      <w:r w:rsidRPr="00235B10">
        <w:rPr>
          <w:szCs w:val="22"/>
        </w:rPr>
        <w:tab/>
      </w:r>
      <w:r w:rsidRPr="00235B10">
        <w:rPr>
          <w:szCs w:val="22"/>
        </w:rPr>
        <w:tab/>
        <w:t>2.</w:t>
      </w:r>
      <w:r w:rsidRPr="00235B10">
        <w:rPr>
          <w:szCs w:val="22"/>
        </w:rPr>
        <w:tab/>
        <w:t>R</w:t>
      </w:r>
      <w:r w:rsidR="00C7364A" w:rsidRPr="00235B10">
        <w:rPr>
          <w:szCs w:val="22"/>
        </w:rPr>
        <w:t xml:space="preserve">eview any applicable licensee procedure requirements for a surveillance </w:t>
      </w:r>
      <w:r w:rsidR="00DC2CF8" w:rsidRPr="00E53E42">
        <w:rPr>
          <w:szCs w:val="22"/>
        </w:rPr>
        <w:t>not performed within its</w:t>
      </w:r>
      <w:r w:rsidR="00DC2CF8">
        <w:rPr>
          <w:szCs w:val="22"/>
        </w:rPr>
        <w:t xml:space="preserve"> </w:t>
      </w:r>
      <w:r w:rsidR="00DC2CF8" w:rsidRPr="00E53E42">
        <w:rPr>
          <w:szCs w:val="22"/>
        </w:rPr>
        <w:t>specified Frequency</w:t>
      </w:r>
      <w:r w:rsidR="00DC2CF8" w:rsidRPr="00235B10">
        <w:rPr>
          <w:szCs w:val="22"/>
        </w:rPr>
        <w:t xml:space="preserve"> </w:t>
      </w:r>
      <w:r w:rsidR="00C7364A" w:rsidRPr="00235B10">
        <w:rPr>
          <w:szCs w:val="22"/>
        </w:rPr>
        <w:t xml:space="preserve">to ensure that </w:t>
      </w:r>
      <w:r w:rsidR="00C47F3F">
        <w:rPr>
          <w:szCs w:val="22"/>
        </w:rPr>
        <w:t>they are</w:t>
      </w:r>
      <w:r w:rsidR="00C7364A" w:rsidRPr="00235B10">
        <w:rPr>
          <w:szCs w:val="22"/>
        </w:rPr>
        <w:t xml:space="preserve"> properly implemented and that all applicable TS requirements are identified and implemented within the </w:t>
      </w:r>
      <w:r w:rsidR="003D20EF">
        <w:rPr>
          <w:szCs w:val="22"/>
        </w:rPr>
        <w:t xml:space="preserve">time </w:t>
      </w:r>
      <w:r w:rsidR="00C7364A" w:rsidRPr="00235B10">
        <w:rPr>
          <w:szCs w:val="22"/>
        </w:rPr>
        <w:t>allowed</w:t>
      </w:r>
      <w:r w:rsidR="003D20EF">
        <w:rPr>
          <w:szCs w:val="22"/>
        </w:rPr>
        <w:t xml:space="preserve"> by</w:t>
      </w:r>
      <w:r w:rsidR="00C7364A" w:rsidRPr="00235B10">
        <w:rPr>
          <w:szCs w:val="22"/>
        </w:rPr>
        <w:t xml:space="preserve"> </w:t>
      </w:r>
      <w:proofErr w:type="gramStart"/>
      <w:r w:rsidR="00C7364A" w:rsidRPr="00235B10">
        <w:rPr>
          <w:szCs w:val="22"/>
        </w:rPr>
        <w:t>TS .</w:t>
      </w:r>
      <w:proofErr w:type="gramEnd"/>
      <w:r w:rsidR="00402FA6">
        <w:rPr>
          <w:szCs w:val="22"/>
        </w:rPr>
        <w:t xml:space="preserve"> </w:t>
      </w:r>
      <w:r w:rsidR="00C30BC4">
        <w:rPr>
          <w:szCs w:val="22"/>
        </w:rPr>
        <w:t xml:space="preserve"> Per SR 3.0.3, </w:t>
      </w:r>
      <w:r w:rsidR="00C30BC4" w:rsidRPr="00C30BC4">
        <w:rPr>
          <w:szCs w:val="22"/>
        </w:rPr>
        <w:t>compliance with the requirement to declare the</w:t>
      </w:r>
      <w:r w:rsidR="00C30BC4">
        <w:rPr>
          <w:szCs w:val="22"/>
        </w:rPr>
        <w:t xml:space="preserve"> </w:t>
      </w:r>
      <w:r w:rsidR="00C30BC4" w:rsidRPr="00C30BC4">
        <w:rPr>
          <w:szCs w:val="22"/>
        </w:rPr>
        <w:t>LCO not met may be delayed, from the time of discovery, up to 24 hours</w:t>
      </w:r>
      <w:r w:rsidR="00C30BC4">
        <w:rPr>
          <w:szCs w:val="22"/>
        </w:rPr>
        <w:t xml:space="preserve"> </w:t>
      </w:r>
      <w:r w:rsidR="00C30BC4" w:rsidRPr="00C30BC4">
        <w:rPr>
          <w:szCs w:val="22"/>
        </w:rPr>
        <w:t xml:space="preserve">or up to the limit of the specified Frequency, whichever is greater. </w:t>
      </w:r>
      <w:r w:rsidR="00C30BC4">
        <w:rPr>
          <w:szCs w:val="22"/>
        </w:rPr>
        <w:t xml:space="preserve"> </w:t>
      </w:r>
      <w:r w:rsidR="00C30BC4" w:rsidRPr="00C30BC4">
        <w:rPr>
          <w:szCs w:val="22"/>
        </w:rPr>
        <w:t>This</w:t>
      </w:r>
      <w:r w:rsidR="00C30BC4">
        <w:rPr>
          <w:szCs w:val="22"/>
        </w:rPr>
        <w:t xml:space="preserve"> </w:t>
      </w:r>
      <w:r w:rsidR="00C30BC4" w:rsidRPr="00C30BC4">
        <w:rPr>
          <w:szCs w:val="22"/>
        </w:rPr>
        <w:t>delay period is permitted to allow performance of the Surveillance.</w:t>
      </w:r>
      <w:r w:rsidR="00402FA6">
        <w:rPr>
          <w:szCs w:val="22"/>
        </w:rPr>
        <w:t xml:space="preserve"> </w:t>
      </w:r>
    </w:p>
    <w:p w:rsidR="00235B10" w:rsidRDefault="00235B10" w:rsidP="00235B10">
      <w:pPr>
        <w:tabs>
          <w:tab w:val="left" w:pos="274"/>
          <w:tab w:val="left" w:pos="810"/>
        </w:tabs>
        <w:ind w:left="1260" w:hanging="1260"/>
        <w:rPr>
          <w:szCs w:val="22"/>
        </w:rPr>
      </w:pPr>
    </w:p>
    <w:p w:rsidR="005B0C28" w:rsidRPr="00235B10" w:rsidRDefault="00235B10" w:rsidP="00235B10">
      <w:pPr>
        <w:tabs>
          <w:tab w:val="left" w:pos="274"/>
          <w:tab w:val="left" w:pos="810"/>
        </w:tabs>
        <w:ind w:left="1260" w:hanging="1260"/>
      </w:pPr>
      <w:r>
        <w:rPr>
          <w:szCs w:val="22"/>
        </w:rPr>
        <w:tab/>
      </w:r>
      <w:r>
        <w:rPr>
          <w:szCs w:val="22"/>
        </w:rPr>
        <w:tab/>
        <w:t>3.</w:t>
      </w:r>
      <w:r>
        <w:rPr>
          <w:szCs w:val="22"/>
        </w:rPr>
        <w:tab/>
      </w:r>
      <w:r w:rsidRPr="00942FC1">
        <w:t>Examples of previous issues are provided below in Section 05.03</w:t>
      </w:r>
      <w:r w:rsidR="00942FC1" w:rsidRPr="00942FC1">
        <w:t>a</w:t>
      </w:r>
      <w:r w:rsidRPr="00942FC1">
        <w:t>, 05.03</w:t>
      </w:r>
      <w:r w:rsidR="00942FC1" w:rsidRPr="00942FC1">
        <w:t>c</w:t>
      </w:r>
      <w:r w:rsidRPr="00942FC1">
        <w:t>,</w:t>
      </w:r>
      <w:r w:rsidR="00942FC1" w:rsidRPr="00942FC1">
        <w:t xml:space="preserve"> and</w:t>
      </w:r>
      <w:r w:rsidRPr="00942FC1">
        <w:t xml:space="preserve"> 05.03</w:t>
      </w:r>
      <w:r w:rsidR="00942FC1" w:rsidRPr="00942FC1">
        <w:t>d</w:t>
      </w:r>
      <w:r w:rsidRPr="00942FC1">
        <w:t>.</w:t>
      </w:r>
    </w:p>
    <w:p w:rsidR="005B0C28" w:rsidRPr="00235B10" w:rsidRDefault="005B0C28" w:rsidP="00A013C6">
      <w:pPr>
        <w:tabs>
          <w:tab w:val="left" w:pos="274"/>
          <w:tab w:val="left" w:pos="806"/>
          <w:tab w:val="left" w:pos="1440"/>
          <w:tab w:val="left" w:pos="2074"/>
        </w:tabs>
      </w:pPr>
    </w:p>
    <w:p w:rsidR="002F283B" w:rsidRDefault="002F283B" w:rsidP="00A013C6">
      <w:pPr>
        <w:tabs>
          <w:tab w:val="left" w:pos="274"/>
          <w:tab w:val="left" w:pos="806"/>
          <w:tab w:val="left" w:pos="1440"/>
          <w:tab w:val="left" w:pos="2074"/>
        </w:tabs>
      </w:pPr>
    </w:p>
    <w:p w:rsidR="00FA6080" w:rsidRPr="00FF6355" w:rsidRDefault="00BE43A2" w:rsidP="00950727">
      <w:proofErr w:type="spellStart"/>
      <w:r>
        <w:t>OpESS</w:t>
      </w:r>
      <w:proofErr w:type="spellEnd"/>
      <w:r>
        <w:t xml:space="preserve"> </w:t>
      </w:r>
      <w:r w:rsidR="00962DD9" w:rsidRPr="00FF6355">
        <w:t>2</w:t>
      </w:r>
      <w:r>
        <w:t>012</w:t>
      </w:r>
      <w:r w:rsidR="00962DD9" w:rsidRPr="00FF6355">
        <w:t>/</w:t>
      </w:r>
      <w:r>
        <w:t>0</w:t>
      </w:r>
      <w:r w:rsidR="00547740">
        <w:t>2</w:t>
      </w:r>
      <w:r w:rsidR="003D4F96" w:rsidRPr="00FF6355">
        <w:t>-0</w:t>
      </w:r>
      <w:r w:rsidR="00B06B1B" w:rsidRPr="00FF6355">
        <w:t>5</w:t>
      </w:r>
      <w:r w:rsidR="003D4F96" w:rsidRPr="00FF6355">
        <w:tab/>
      </w:r>
      <w:r w:rsidR="009376F2" w:rsidRPr="00FF6355">
        <w:t>RE</w:t>
      </w:r>
      <w:r>
        <w:t>FERENCES</w:t>
      </w:r>
    </w:p>
    <w:p w:rsidR="00FA6080" w:rsidRDefault="00FA6080" w:rsidP="00950727"/>
    <w:p w:rsidR="00A64994" w:rsidRDefault="001D6B24" w:rsidP="00950727">
      <w:r>
        <w:t>T</w:t>
      </w:r>
      <w:r w:rsidR="00A64994">
        <w:t>he</w:t>
      </w:r>
      <w:r w:rsidR="00954615">
        <w:t>se</w:t>
      </w:r>
      <w:r w:rsidR="00A64994">
        <w:t xml:space="preserve"> references </w:t>
      </w:r>
      <w:r>
        <w:t xml:space="preserve">may </w:t>
      </w:r>
      <w:r w:rsidR="00A64994">
        <w:t>include pre</w:t>
      </w:r>
      <w:r w:rsidR="005B0C28">
        <w:t>-</w:t>
      </w:r>
      <w:r w:rsidR="00A64994">
        <w:t>decisional information contained on NRC internal websites</w:t>
      </w:r>
      <w:r w:rsidR="00A64994" w:rsidRPr="00A64994">
        <w:t>.</w:t>
      </w:r>
      <w:r w:rsidR="00A64994">
        <w:t xml:space="preserve">  </w:t>
      </w:r>
      <w:r w:rsidR="00A64994" w:rsidRPr="00A64994">
        <w:t xml:space="preserve">Once the agency has formally evaluated an </w:t>
      </w:r>
      <w:proofErr w:type="spellStart"/>
      <w:r w:rsidR="00A64994" w:rsidRPr="00A64994">
        <w:t>OpE</w:t>
      </w:r>
      <w:proofErr w:type="spellEnd"/>
      <w:r w:rsidR="00A64994" w:rsidRPr="00A64994">
        <w:t xml:space="preserve"> issu</w:t>
      </w:r>
      <w:r w:rsidR="00A64994">
        <w:t>e</w:t>
      </w:r>
      <w:r w:rsidR="00A64994" w:rsidRPr="00A64994">
        <w:t xml:space="preserve"> and has determined that it meets the criteria for agency action, the NRC communicates the issue to the public and the industry through one or more </w:t>
      </w:r>
      <w:r>
        <w:t xml:space="preserve">appropriate </w:t>
      </w:r>
      <w:r w:rsidR="00A64994" w:rsidRPr="00A64994">
        <w:t>methods (e.g. generic communication, rulemaking public comment periods, etc.).</w:t>
      </w:r>
    </w:p>
    <w:p w:rsidR="00A64994" w:rsidRDefault="00A64994" w:rsidP="00950727"/>
    <w:p w:rsidR="002B58B6" w:rsidRDefault="002B58B6" w:rsidP="00950727"/>
    <w:p w:rsidR="002F283B" w:rsidRDefault="002F283B" w:rsidP="00547740">
      <w:pPr>
        <w:tabs>
          <w:tab w:val="left" w:pos="810"/>
        </w:tabs>
      </w:pPr>
      <w:r>
        <w:t>05.01</w:t>
      </w:r>
      <w:r w:rsidR="00547740">
        <w:tab/>
        <w:t>NRC Inspection Manual</w:t>
      </w:r>
      <w:r>
        <w:tab/>
      </w:r>
    </w:p>
    <w:p w:rsidR="002F283B" w:rsidRDefault="002F283B" w:rsidP="0050791C"/>
    <w:p w:rsidR="005B0C28" w:rsidRDefault="002F283B" w:rsidP="00085215">
      <w:pPr>
        <w:tabs>
          <w:tab w:val="left" w:pos="270"/>
          <w:tab w:val="left" w:pos="810"/>
          <w:tab w:val="left" w:pos="1440"/>
          <w:tab w:val="left" w:pos="2070"/>
        </w:tabs>
        <w:ind w:left="810" w:hanging="810"/>
      </w:pPr>
      <w:r>
        <w:tab/>
        <w:t>a.</w:t>
      </w:r>
      <w:r>
        <w:tab/>
      </w:r>
      <w:hyperlink r:id="rId12" w:history="1">
        <w:r w:rsidR="005B0C28" w:rsidRPr="00A16516">
          <w:rPr>
            <w:rStyle w:val="Hyperlink"/>
          </w:rPr>
          <w:t>71111.15</w:t>
        </w:r>
      </w:hyperlink>
      <w:r w:rsidR="005B0C28" w:rsidRPr="00A16516">
        <w:t>, “Operability Determinations and Functionality Assessments”</w:t>
      </w:r>
    </w:p>
    <w:p w:rsidR="005B0C28" w:rsidRDefault="005B0C28" w:rsidP="00085215">
      <w:pPr>
        <w:tabs>
          <w:tab w:val="left" w:pos="270"/>
          <w:tab w:val="left" w:pos="810"/>
          <w:tab w:val="left" w:pos="1440"/>
          <w:tab w:val="left" w:pos="2070"/>
        </w:tabs>
        <w:ind w:left="810" w:hanging="810"/>
      </w:pPr>
    </w:p>
    <w:p w:rsidR="00085215" w:rsidRDefault="005B0C28" w:rsidP="00085215">
      <w:pPr>
        <w:tabs>
          <w:tab w:val="left" w:pos="270"/>
          <w:tab w:val="left" w:pos="810"/>
          <w:tab w:val="left" w:pos="1440"/>
          <w:tab w:val="left" w:pos="2070"/>
        </w:tabs>
        <w:ind w:left="810" w:hanging="810"/>
      </w:pPr>
      <w:r>
        <w:tab/>
        <w:t>b.</w:t>
      </w:r>
      <w:r>
        <w:tab/>
      </w:r>
      <w:hyperlink r:id="rId13" w:history="1">
        <w:r w:rsidR="00547740" w:rsidRPr="000751D5">
          <w:rPr>
            <w:rStyle w:val="Hyperlink"/>
          </w:rPr>
          <w:t>Part 9900: Technical Guidance</w:t>
        </w:r>
      </w:hyperlink>
      <w:r w:rsidR="00547740">
        <w:t>, “Operability Determinations &amp; Functionality Assessments for Resolution of Degraded or Nonconforming Conditions Adverse to Quality or Safety.”</w:t>
      </w:r>
      <w:r w:rsidR="00887DBE">
        <w:t xml:space="preserve"> (Included as the attachment to RIS 2005-20, Revision 1)</w:t>
      </w:r>
    </w:p>
    <w:p w:rsidR="00C7364A" w:rsidRDefault="00C7364A" w:rsidP="00A16516">
      <w:pPr>
        <w:tabs>
          <w:tab w:val="left" w:pos="270"/>
          <w:tab w:val="left" w:pos="810"/>
          <w:tab w:val="left" w:pos="1440"/>
          <w:tab w:val="left" w:pos="2070"/>
        </w:tabs>
        <w:ind w:left="810" w:hanging="810"/>
      </w:pPr>
    </w:p>
    <w:p w:rsidR="00C7364A" w:rsidRDefault="00C7364A" w:rsidP="00A16516">
      <w:pPr>
        <w:tabs>
          <w:tab w:val="left" w:pos="270"/>
          <w:tab w:val="left" w:pos="810"/>
          <w:tab w:val="left" w:pos="1440"/>
          <w:tab w:val="left" w:pos="2070"/>
        </w:tabs>
        <w:ind w:left="810" w:hanging="810"/>
      </w:pPr>
      <w:r>
        <w:t>05.02</w:t>
      </w:r>
      <w:r w:rsidR="005B0C28">
        <w:tab/>
        <w:t>NRC Generic Communications</w:t>
      </w:r>
    </w:p>
    <w:p w:rsidR="00C7364A" w:rsidRDefault="00C7364A" w:rsidP="00A16516">
      <w:pPr>
        <w:tabs>
          <w:tab w:val="left" w:pos="270"/>
          <w:tab w:val="left" w:pos="810"/>
          <w:tab w:val="left" w:pos="1440"/>
          <w:tab w:val="left" w:pos="2070"/>
        </w:tabs>
        <w:ind w:left="810" w:hanging="810"/>
      </w:pPr>
    </w:p>
    <w:p w:rsidR="00C7364A" w:rsidRDefault="00C7364A" w:rsidP="00C7364A">
      <w:pPr>
        <w:tabs>
          <w:tab w:val="left" w:pos="270"/>
          <w:tab w:val="left" w:pos="810"/>
          <w:tab w:val="left" w:pos="1440"/>
          <w:tab w:val="left" w:pos="2070"/>
        </w:tabs>
        <w:ind w:left="810" w:hanging="810"/>
      </w:pPr>
      <w:r>
        <w:tab/>
        <w:t>a.</w:t>
      </w:r>
      <w:r>
        <w:tab/>
      </w:r>
      <w:hyperlink r:id="rId14" w:history="1">
        <w:r w:rsidRPr="00C7364A">
          <w:rPr>
            <w:rStyle w:val="Hyperlink"/>
          </w:rPr>
          <w:t xml:space="preserve">NRC Regulatory Issue Summary 2005-20, Revision 1, Revision </w:t>
        </w:r>
        <w:proofErr w:type="gramStart"/>
        <w:r w:rsidRPr="00C7364A">
          <w:rPr>
            <w:rStyle w:val="Hyperlink"/>
          </w:rPr>
          <w:t>To</w:t>
        </w:r>
        <w:proofErr w:type="gramEnd"/>
        <w:r w:rsidRPr="00C7364A">
          <w:rPr>
            <w:rStyle w:val="Hyperlink"/>
          </w:rPr>
          <w:t xml:space="preserve"> NRC Inspection Manual Part 9900 Technical Guidance, “Operability Determinations &amp; Functionality Assessments For Resolution Of Degraded Or Nonconforming Conditions Adverse To Quality Or Safety”</w:t>
        </w:r>
      </w:hyperlink>
    </w:p>
    <w:p w:rsidR="005B0C28" w:rsidRDefault="005B0C28" w:rsidP="00C7364A">
      <w:pPr>
        <w:tabs>
          <w:tab w:val="left" w:pos="270"/>
          <w:tab w:val="left" w:pos="810"/>
          <w:tab w:val="left" w:pos="1440"/>
          <w:tab w:val="left" w:pos="2070"/>
        </w:tabs>
        <w:ind w:left="810" w:hanging="810"/>
      </w:pPr>
    </w:p>
    <w:p w:rsidR="00C7364A" w:rsidRPr="00C7364A" w:rsidRDefault="00C7364A" w:rsidP="00C7364A">
      <w:pPr>
        <w:tabs>
          <w:tab w:val="left" w:pos="270"/>
          <w:tab w:val="left" w:pos="810"/>
          <w:tab w:val="left" w:pos="1440"/>
          <w:tab w:val="left" w:pos="2070"/>
        </w:tabs>
        <w:ind w:left="810" w:hanging="810"/>
        <w:rPr>
          <w:color w:val="0000FF"/>
          <w:u w:val="single"/>
        </w:rPr>
      </w:pPr>
      <w:r>
        <w:tab/>
      </w:r>
      <w:proofErr w:type="gramStart"/>
      <w:r>
        <w:t>b</w:t>
      </w:r>
      <w:proofErr w:type="gramEnd"/>
      <w:r>
        <w:t>.</w:t>
      </w:r>
      <w:r>
        <w:tab/>
      </w:r>
      <w:hyperlink r:id="rId15" w:history="1">
        <w:r w:rsidRPr="00C7364A">
          <w:rPr>
            <w:rStyle w:val="Hyperlink"/>
          </w:rPr>
          <w:t>Information Notice 97-78</w:t>
        </w:r>
      </w:hyperlink>
      <w:r w:rsidRPr="00C7364A">
        <w:t>, “Crediting of Operator Actions in Place of Automatic Actions and Modification of Operator Actions, including Response Times”</w:t>
      </w:r>
    </w:p>
    <w:p w:rsidR="00085215" w:rsidRDefault="00085215" w:rsidP="00085215">
      <w:pPr>
        <w:tabs>
          <w:tab w:val="left" w:pos="270"/>
          <w:tab w:val="left" w:pos="810"/>
          <w:tab w:val="left" w:pos="1440"/>
          <w:tab w:val="left" w:pos="2070"/>
        </w:tabs>
        <w:ind w:left="810" w:hanging="810"/>
      </w:pPr>
    </w:p>
    <w:p w:rsidR="00C7364A" w:rsidRDefault="00085215" w:rsidP="00C7364A">
      <w:pPr>
        <w:tabs>
          <w:tab w:val="left" w:pos="270"/>
          <w:tab w:val="left" w:pos="810"/>
          <w:tab w:val="left" w:pos="1440"/>
          <w:tab w:val="left" w:pos="2070"/>
        </w:tabs>
        <w:ind w:left="810" w:hanging="810"/>
      </w:pPr>
      <w:r>
        <w:t>05.03</w:t>
      </w:r>
      <w:r w:rsidR="00FA67C0">
        <w:tab/>
      </w:r>
      <w:r w:rsidR="00EF1242">
        <w:t>E</w:t>
      </w:r>
      <w:r w:rsidR="00EF1242" w:rsidRPr="00EF1242">
        <w:t xml:space="preserve">xamples of </w:t>
      </w:r>
      <w:r w:rsidR="00EF1242">
        <w:t xml:space="preserve">previous inspection </w:t>
      </w:r>
      <w:r w:rsidR="00EF1242" w:rsidRPr="00EF1242">
        <w:t>findings</w:t>
      </w:r>
      <w:r w:rsidR="00EF1242">
        <w:t>.</w:t>
      </w:r>
    </w:p>
    <w:p w:rsidR="00C7364A" w:rsidRDefault="00C7364A" w:rsidP="00C7364A">
      <w:pPr>
        <w:tabs>
          <w:tab w:val="left" w:pos="270"/>
          <w:tab w:val="left" w:pos="810"/>
          <w:tab w:val="left" w:pos="1440"/>
          <w:tab w:val="left" w:pos="2070"/>
        </w:tabs>
        <w:ind w:left="810" w:hanging="810"/>
      </w:pPr>
    </w:p>
    <w:p w:rsidR="00C7364A" w:rsidRDefault="00C7364A" w:rsidP="00C7364A">
      <w:pPr>
        <w:tabs>
          <w:tab w:val="left" w:pos="270"/>
          <w:tab w:val="left" w:pos="810"/>
          <w:tab w:val="left" w:pos="1440"/>
          <w:tab w:val="left" w:pos="2070"/>
        </w:tabs>
        <w:ind w:left="810" w:hanging="810"/>
      </w:pPr>
      <w:r>
        <w:tab/>
      </w:r>
      <w:r w:rsidR="00EF1242">
        <w:t>a.</w:t>
      </w:r>
      <w:r w:rsidR="00EF1242">
        <w:tab/>
      </w:r>
      <w:hyperlink r:id="rId16" w:history="1">
        <w:r w:rsidRPr="00C7364A">
          <w:rPr>
            <w:rStyle w:val="Hyperlink"/>
          </w:rPr>
          <w:t>River Bend</w:t>
        </w:r>
      </w:hyperlink>
      <w:r w:rsidRPr="00C7364A">
        <w:t xml:space="preserve"> – The licensee experienced a reactor system flow mismatch due to a reactor recirculation flow control valve malfunction and properly entered the TS Action for failing to meet the TS LCO (3.4.1).  However, rather than reduce reactor power (to less than 77.6%) within 1-hour and shutdown the affected loop within two hours as required by TS (Action Conditions A and B respectively), the licensee chose to only enter the Condition (TS LCO 3.4.1.D.1) requiring a plant shutdown with an AOT of 12 hours.  The recirculation flow control valve was returned to service about 4.5 hours after the licensee entered the TS LCO Action Statement and reactor power was maintained steady at 100% throughout this period.  The licensee’s failure to comply with Condition “A” of TS 3.4.1 constituted a violation of their TS.</w:t>
      </w:r>
    </w:p>
    <w:p w:rsidR="00C7364A" w:rsidRDefault="00C7364A" w:rsidP="00C7364A">
      <w:pPr>
        <w:tabs>
          <w:tab w:val="left" w:pos="270"/>
          <w:tab w:val="left" w:pos="810"/>
          <w:tab w:val="left" w:pos="1440"/>
          <w:tab w:val="left" w:pos="2070"/>
        </w:tabs>
        <w:ind w:left="810" w:hanging="810"/>
      </w:pPr>
    </w:p>
    <w:p w:rsidR="00C7364A" w:rsidRDefault="00C7364A" w:rsidP="00C7364A">
      <w:pPr>
        <w:tabs>
          <w:tab w:val="left" w:pos="270"/>
          <w:tab w:val="left" w:pos="810"/>
          <w:tab w:val="left" w:pos="1440"/>
          <w:tab w:val="left" w:pos="2070"/>
        </w:tabs>
        <w:ind w:left="810" w:hanging="810"/>
      </w:pPr>
      <w:r>
        <w:tab/>
        <w:t>b.</w:t>
      </w:r>
      <w:r>
        <w:tab/>
      </w:r>
      <w:hyperlink r:id="rId17" w:history="1">
        <w:r w:rsidRPr="00C7364A">
          <w:rPr>
            <w:rStyle w:val="Hyperlink"/>
          </w:rPr>
          <w:t>Perry</w:t>
        </w:r>
      </w:hyperlink>
      <w:r w:rsidRPr="00C7364A">
        <w:t xml:space="preserve"> – Due to past experience and concerns of causing a loss of shutdown cooling (SDC) during testing and other maintenance, the licensee voluntarily entered </w:t>
      </w:r>
      <w:r w:rsidR="007A3306">
        <w:t xml:space="preserve">Condition “A” of </w:t>
      </w:r>
      <w:r w:rsidRPr="00C7364A">
        <w:t xml:space="preserve">the primary containment isolation valve TS LCO (3.6.1.3) nine times in a 6-day period.  To prevent the potential closure of the SDC primary containment isolation valves, the licensee removed electrical power from the valve actuator with the valve in the open position. This action prevented the SDC isolation valve from remote operation including automatic closure signal from reactor vessel water level – low instrumentation.  The “authorization” allowing the voluntary </w:t>
      </w:r>
      <w:r w:rsidR="007A3306">
        <w:t xml:space="preserve">Condition “A” of </w:t>
      </w:r>
      <w:r w:rsidRPr="00C7364A">
        <w:t xml:space="preserve">TS 3.6.1.3 entry was communicated to the operators via the station night orders. </w:t>
      </w:r>
    </w:p>
    <w:p w:rsidR="00C7364A" w:rsidRDefault="00C7364A" w:rsidP="00C7364A">
      <w:pPr>
        <w:tabs>
          <w:tab w:val="left" w:pos="270"/>
          <w:tab w:val="left" w:pos="810"/>
          <w:tab w:val="left" w:pos="1440"/>
          <w:tab w:val="left" w:pos="2070"/>
        </w:tabs>
        <w:ind w:left="810" w:hanging="810"/>
      </w:pPr>
    </w:p>
    <w:p w:rsidR="00C7364A" w:rsidRDefault="00C7364A" w:rsidP="00C7364A">
      <w:pPr>
        <w:tabs>
          <w:tab w:val="left" w:pos="270"/>
          <w:tab w:val="left" w:pos="810"/>
          <w:tab w:val="left" w:pos="1440"/>
          <w:tab w:val="left" w:pos="2070"/>
        </w:tabs>
        <w:ind w:left="810" w:hanging="810"/>
      </w:pPr>
      <w:r>
        <w:lastRenderedPageBreak/>
        <w:tab/>
        <w:t>c.</w:t>
      </w:r>
      <w:r>
        <w:tab/>
      </w:r>
      <w:hyperlink r:id="rId18" w:history="1">
        <w:r w:rsidRPr="00C7364A">
          <w:rPr>
            <w:rStyle w:val="Hyperlink"/>
          </w:rPr>
          <w:t>SONGS</w:t>
        </w:r>
      </w:hyperlink>
      <w:r w:rsidRPr="00C7364A">
        <w:t xml:space="preserve"> – While performing a TS surveillance to verify that the reactor control element assembles (CEAs) are capable of inserting upon a reactor trip (</w:t>
      </w:r>
      <w:proofErr w:type="spellStart"/>
      <w:r w:rsidRPr="00C7364A">
        <w:t>trippable</w:t>
      </w:r>
      <w:proofErr w:type="spellEnd"/>
      <w:r w:rsidRPr="00C7364A">
        <w:t xml:space="preserve">), one of the CEAs failed to move as required by the surveillance test.  The licensee “suspended” the surveillance test and initiated action to determine the cause of the CEA malfunction.  After about 5-hours the licensee verified that the cause of the CEA failure was due to a CEA control system failure and was not due to a “stuck” CEA condition (indication on the installed CEA instrumentation does not provide positive determination).  Based on prior problems with the CEA control system and never having experienced a stuck CEA, the licensee did not enter the applicable TS LCO 3.1.5 </w:t>
      </w:r>
      <w:r w:rsidR="00C332F9">
        <w:t>Condition</w:t>
      </w:r>
      <w:r w:rsidR="00C332F9" w:rsidRPr="00C7364A">
        <w:t xml:space="preserve"> </w:t>
      </w:r>
      <w:r w:rsidRPr="00C7364A">
        <w:t xml:space="preserve">for the surveillance test that was being conducted.  TS LCO 3.1.5 Condition </w:t>
      </w:r>
      <w:r w:rsidR="00C332F9">
        <w:t>“</w:t>
      </w:r>
      <w:r w:rsidRPr="00C7364A">
        <w:t>D</w:t>
      </w:r>
      <w:r w:rsidR="00C332F9">
        <w:t>”</w:t>
      </w:r>
      <w:r w:rsidRPr="00C7364A">
        <w:t xml:space="preserve">, </w:t>
      </w:r>
      <w:proofErr w:type="spellStart"/>
      <w:r w:rsidRPr="00C7364A">
        <w:t>Untrippable</w:t>
      </w:r>
      <w:proofErr w:type="spellEnd"/>
      <w:r w:rsidRPr="00C7364A">
        <w:t xml:space="preserve"> CEA, has a 6-hour completion time.  Operators used non-conservative decision making to determine Operability in lieu of following surveillance procedures that clearly identified a condition indicating a failed surveillance test.</w:t>
      </w:r>
    </w:p>
    <w:p w:rsidR="00C7364A" w:rsidRDefault="00C7364A" w:rsidP="00C7364A">
      <w:pPr>
        <w:tabs>
          <w:tab w:val="left" w:pos="270"/>
          <w:tab w:val="left" w:pos="810"/>
          <w:tab w:val="left" w:pos="1440"/>
          <w:tab w:val="left" w:pos="2070"/>
        </w:tabs>
        <w:ind w:left="810" w:hanging="810"/>
      </w:pPr>
    </w:p>
    <w:p w:rsidR="00C7364A" w:rsidRDefault="00C7364A" w:rsidP="00C7364A">
      <w:pPr>
        <w:tabs>
          <w:tab w:val="left" w:pos="270"/>
          <w:tab w:val="left" w:pos="810"/>
          <w:tab w:val="left" w:pos="1440"/>
          <w:tab w:val="left" w:pos="2070"/>
        </w:tabs>
        <w:ind w:left="810" w:hanging="810"/>
      </w:pPr>
      <w:r>
        <w:tab/>
        <w:t>d.</w:t>
      </w:r>
      <w:r>
        <w:tab/>
      </w:r>
      <w:hyperlink r:id="rId19" w:history="1">
        <w:r w:rsidRPr="00C7364A">
          <w:rPr>
            <w:rStyle w:val="Hyperlink"/>
          </w:rPr>
          <w:t>Pilgrim</w:t>
        </w:r>
      </w:hyperlink>
      <w:r w:rsidRPr="00C7364A">
        <w:t xml:space="preserve"> - </w:t>
      </w:r>
      <w:r w:rsidR="00EA3551">
        <w:t>A</w:t>
      </w:r>
      <w:r w:rsidRPr="00C7364A">
        <w:t xml:space="preserve">fter just completing a surveillance test of the control rods, the control rod position indication system failed, and the locations of the control rods were indeterminate.  TS 3.3.8.1 states that all control rods without position indication are required to be declared inoperable and fully inserted into the core within 3 hours.  However, the licensee did not enter </w:t>
      </w:r>
      <w:r w:rsidR="007A3306">
        <w:t xml:space="preserve">any Condition within </w:t>
      </w:r>
      <w:r w:rsidRPr="00C7364A">
        <w:t>TS 3.3.8.1 at the time of discovery.  The licensee erroneously believed that TS 3.3.8.1 entry was not required until the 24 hour periodicity of surveillance 4.3.B.1.5, “Control Rod Operability,” expired.  The licensee did not enter TS 3.3.8.1 when faced with a degraded condition affecting control rod position indication.  The licensee’s improper interpretation resulted in a TS violation.</w:t>
      </w:r>
    </w:p>
    <w:p w:rsidR="00C7364A" w:rsidRDefault="00C7364A" w:rsidP="00C7364A">
      <w:pPr>
        <w:tabs>
          <w:tab w:val="left" w:pos="270"/>
          <w:tab w:val="left" w:pos="810"/>
          <w:tab w:val="left" w:pos="1440"/>
          <w:tab w:val="left" w:pos="2070"/>
        </w:tabs>
        <w:ind w:left="810" w:hanging="810"/>
      </w:pPr>
    </w:p>
    <w:p w:rsidR="00C7364A" w:rsidRDefault="00C7364A" w:rsidP="00C7364A">
      <w:pPr>
        <w:tabs>
          <w:tab w:val="left" w:pos="270"/>
          <w:tab w:val="left" w:pos="810"/>
          <w:tab w:val="left" w:pos="1440"/>
          <w:tab w:val="left" w:pos="2070"/>
        </w:tabs>
        <w:ind w:left="810" w:hanging="810"/>
      </w:pPr>
      <w:r>
        <w:tab/>
        <w:t>e.</w:t>
      </w:r>
      <w:r>
        <w:tab/>
      </w:r>
      <w:hyperlink r:id="rId20" w:history="1">
        <w:r w:rsidRPr="00C7364A">
          <w:rPr>
            <w:rStyle w:val="Hyperlink"/>
          </w:rPr>
          <w:t>Limerick</w:t>
        </w:r>
      </w:hyperlink>
      <w:r w:rsidRPr="00C7364A">
        <w:t xml:space="preserve"> - The licensee racked out one of the two offsite power supply feeder breakers to a 4kV Class 1E emergency electrical bus for maintenance.  Although one of the two offsite power sources was not available to emergency bus, the licensee did not declare the associated offsite power circuit inoperable and enter into the associated technical specification Action per TS LCO 3.8.1.1, “AC Sources – Operating.”  With an offsite power supply feeder breaker to a 4kV bus racked out, manual and automatic transfer between the normal and alternate offsite power circuits to the bus was not possible. The licensee had made a prior change to the TS Bases to allow the breaker configuration without submitting a license amendment request (LAR) to make the necessary TS change. The licensee’s non-conservative decision was caused by an inadequate TS Bases change evaluation (10 CFR 50.59) to identify a Bases change requiring a license amendment to change the applicable TS.</w:t>
      </w:r>
    </w:p>
    <w:p w:rsidR="00C7364A" w:rsidRDefault="00C7364A" w:rsidP="00C7364A">
      <w:pPr>
        <w:tabs>
          <w:tab w:val="left" w:pos="270"/>
          <w:tab w:val="left" w:pos="810"/>
          <w:tab w:val="left" w:pos="1440"/>
          <w:tab w:val="left" w:pos="2070"/>
        </w:tabs>
        <w:ind w:left="810" w:hanging="810"/>
      </w:pPr>
    </w:p>
    <w:p w:rsidR="00954615" w:rsidRPr="00085215" w:rsidRDefault="00C7364A" w:rsidP="00C7364A">
      <w:pPr>
        <w:tabs>
          <w:tab w:val="left" w:pos="270"/>
          <w:tab w:val="left" w:pos="810"/>
          <w:tab w:val="left" w:pos="1440"/>
          <w:tab w:val="left" w:pos="2070"/>
        </w:tabs>
        <w:ind w:left="810" w:hanging="810"/>
      </w:pPr>
      <w:r>
        <w:tab/>
        <w:t>f.</w:t>
      </w:r>
      <w:r>
        <w:tab/>
      </w:r>
      <w:r w:rsidRPr="00C7364A">
        <w:t xml:space="preserve">A common practice for a number of plants (e.g., McGuire, Harris, </w:t>
      </w:r>
      <w:hyperlink r:id="rId21" w:history="1">
        <w:r w:rsidRPr="00C7364A">
          <w:rPr>
            <w:rStyle w:val="Hyperlink"/>
          </w:rPr>
          <w:t>SONGS</w:t>
        </w:r>
      </w:hyperlink>
      <w:r w:rsidRPr="00C7364A">
        <w:t xml:space="preserve">, Robinson, </w:t>
      </w:r>
      <w:hyperlink r:id="rId22" w:history="1">
        <w:proofErr w:type="gramStart"/>
        <w:r w:rsidRPr="00C7364A">
          <w:rPr>
            <w:rStyle w:val="Hyperlink"/>
          </w:rPr>
          <w:t>North</w:t>
        </w:r>
        <w:proofErr w:type="gramEnd"/>
        <w:r w:rsidRPr="00C7364A">
          <w:rPr>
            <w:rStyle w:val="Hyperlink"/>
          </w:rPr>
          <w:t xml:space="preserve"> Anna</w:t>
        </w:r>
      </w:hyperlink>
      <w:r w:rsidRPr="00C7364A">
        <w:t>) has been to connect the Refueling Water Storage Tank (RWST) to the non-safety/non-seismic spent fuel pool purification system (FPPS)</w:t>
      </w:r>
      <w:r w:rsidR="005126C4">
        <w:t>,</w:t>
      </w:r>
      <w:r w:rsidRPr="00C7364A">
        <w:t xml:space="preserve"> while at power</w:t>
      </w:r>
      <w:r w:rsidR="005126C4">
        <w:t>,</w:t>
      </w:r>
      <w:r w:rsidRPr="00C7364A">
        <w:t xml:space="preserve"> for filtration and purification of the safety injection system water source contained in the RWST.  </w:t>
      </w:r>
      <w:r w:rsidR="00EC66E1" w:rsidRPr="00EC66E1">
        <w:rPr>
          <w:rFonts w:cs="Arial"/>
        </w:rPr>
        <w:t>In these circumstances, these licensees had not evaluated the potential effects of cross-tying the safety and non-safety systems (i.e., potential failures modes of non-safety system).  Inspectors should question the licensees whether such similar configurations are within their licensing basis, review any supporting analysis, and make determinations on the adequacy of such analysis.  If the configurations cannot be supported by analysis, the inspector should question the licensee whether the affected systems can still meet their design function and the basis for operability.  In the examples above, the</w:t>
      </w:r>
      <w:r w:rsidRPr="00EC66E1">
        <w:t>se</w:t>
      </w:r>
      <w:r w:rsidRPr="00C7364A">
        <w:t xml:space="preserve"> licensees did not declare the RWST inoperable and did not enter the applicable LCO statement while in this configuration.  </w:t>
      </w:r>
      <w:r w:rsidR="00EA3551">
        <w:t>S</w:t>
      </w:r>
      <w:r w:rsidRPr="00C7364A">
        <w:t xml:space="preserve">ome licensees may </w:t>
      </w:r>
      <w:r w:rsidRPr="00C7364A">
        <w:lastRenderedPageBreak/>
        <w:t>have relied on manual operator actions to close the system interface valve between the RWST and the FPPS in the event of a seismic event.  Others ma</w:t>
      </w:r>
      <w:r w:rsidR="00EA3551">
        <w:t>ke</w:t>
      </w:r>
      <w:r w:rsidRPr="00C7364A">
        <w:t xml:space="preserve"> procedural changes under 10 CFR 50.59 and conduct independent reviews.  </w:t>
      </w:r>
      <w:r w:rsidR="0013094D">
        <w:t>Normally, p</w:t>
      </w:r>
      <w:r w:rsidRPr="00C7364A">
        <w:t>lant operation c</w:t>
      </w:r>
      <w:r w:rsidR="0013094D">
        <w:t>annot</w:t>
      </w:r>
      <w:r w:rsidRPr="00C7364A">
        <w:t xml:space="preserve"> be sustained indefinitely with the use of manual actions and without any impact on the plant’s TS.</w:t>
      </w:r>
    </w:p>
    <w:p w:rsidR="00B24FEC" w:rsidRDefault="00B24FEC" w:rsidP="00950727"/>
    <w:p w:rsidR="003D4F96" w:rsidRPr="00FF6355" w:rsidRDefault="00BE43A2" w:rsidP="00950727">
      <w:proofErr w:type="spellStart"/>
      <w:r>
        <w:t>OpESS</w:t>
      </w:r>
      <w:proofErr w:type="spellEnd"/>
      <w:r>
        <w:t xml:space="preserve"> </w:t>
      </w:r>
      <w:r w:rsidR="00EB61CC" w:rsidRPr="00FF6355">
        <w:t>2</w:t>
      </w:r>
      <w:r>
        <w:t>012</w:t>
      </w:r>
      <w:r w:rsidR="00EB61CC" w:rsidRPr="00FF6355">
        <w:t>/</w:t>
      </w:r>
      <w:r>
        <w:t>0</w:t>
      </w:r>
      <w:r w:rsidR="009C246E">
        <w:t>2</w:t>
      </w:r>
      <w:r w:rsidR="00B06B1B" w:rsidRPr="00FF6355">
        <w:t>-06</w:t>
      </w:r>
      <w:r w:rsidR="00B06B1B" w:rsidRPr="00FF6355">
        <w:tab/>
      </w:r>
      <w:r>
        <w:t>REPORTING RESULTS/TIME CHARGES/ADDITIONAL ISSUES</w:t>
      </w:r>
    </w:p>
    <w:p w:rsidR="00B06B1B" w:rsidRPr="00FF6355" w:rsidRDefault="00B06B1B" w:rsidP="00950727"/>
    <w:p w:rsidR="0098226B" w:rsidRDefault="0098226B" w:rsidP="0098226B">
      <w:pPr>
        <w:pStyle w:val="Default"/>
        <w:rPr>
          <w:sz w:val="22"/>
          <w:szCs w:val="22"/>
        </w:rPr>
      </w:pPr>
      <w:r>
        <w:rPr>
          <w:sz w:val="22"/>
          <w:szCs w:val="22"/>
        </w:rPr>
        <w:t xml:space="preserve">If information from this </w:t>
      </w:r>
      <w:proofErr w:type="spellStart"/>
      <w:r>
        <w:rPr>
          <w:sz w:val="22"/>
          <w:szCs w:val="22"/>
        </w:rPr>
        <w:t>OpESS</w:t>
      </w:r>
      <w:proofErr w:type="spellEnd"/>
      <w:r>
        <w:rPr>
          <w:sz w:val="22"/>
          <w:szCs w:val="22"/>
        </w:rPr>
        <w:t xml:space="preserve"> is used to inform the sample selection for a baseline IP, include the </w:t>
      </w:r>
      <w:proofErr w:type="spellStart"/>
      <w:r>
        <w:rPr>
          <w:sz w:val="22"/>
          <w:szCs w:val="22"/>
        </w:rPr>
        <w:t>OpESS</w:t>
      </w:r>
      <w:proofErr w:type="spellEnd"/>
      <w:r>
        <w:rPr>
          <w:sz w:val="22"/>
          <w:szCs w:val="22"/>
        </w:rPr>
        <w:t xml:space="preserve"> number and title in the ‘List of Documents Reviewed’ section of the relevant inspection report.  </w:t>
      </w:r>
    </w:p>
    <w:p w:rsidR="0098226B" w:rsidRDefault="0098226B" w:rsidP="0098226B">
      <w:pPr>
        <w:pStyle w:val="Default"/>
        <w:rPr>
          <w:sz w:val="22"/>
          <w:szCs w:val="22"/>
        </w:rPr>
      </w:pPr>
    </w:p>
    <w:p w:rsidR="0098226B" w:rsidRDefault="0098226B" w:rsidP="0098226B">
      <w:pPr>
        <w:pStyle w:val="Default"/>
        <w:rPr>
          <w:sz w:val="22"/>
          <w:szCs w:val="22"/>
        </w:rPr>
      </w:pPr>
      <w:r>
        <w:rPr>
          <w:sz w:val="22"/>
          <w:szCs w:val="22"/>
        </w:rPr>
        <w:t xml:space="preserve">In addition, if any findings or violations are identified in conjunction with this </w:t>
      </w:r>
      <w:proofErr w:type="spellStart"/>
      <w:r>
        <w:rPr>
          <w:sz w:val="22"/>
          <w:szCs w:val="22"/>
        </w:rPr>
        <w:t>OpESS</w:t>
      </w:r>
      <w:proofErr w:type="spellEnd"/>
      <w:r>
        <w:rPr>
          <w:sz w:val="22"/>
          <w:szCs w:val="22"/>
        </w:rPr>
        <w:t>, include a statement similar to the following in the description section of the finding write-up:</w:t>
      </w:r>
    </w:p>
    <w:p w:rsidR="0098226B" w:rsidRDefault="0098226B" w:rsidP="0098226B">
      <w:pPr>
        <w:pStyle w:val="Default"/>
        <w:rPr>
          <w:sz w:val="22"/>
          <w:szCs w:val="22"/>
        </w:rPr>
      </w:pPr>
    </w:p>
    <w:p w:rsidR="0098226B" w:rsidRDefault="0098226B" w:rsidP="0098226B">
      <w:pPr>
        <w:pStyle w:val="Default"/>
        <w:ind w:left="810" w:right="720" w:hanging="810"/>
        <w:rPr>
          <w:sz w:val="22"/>
          <w:szCs w:val="22"/>
        </w:rPr>
      </w:pPr>
      <w:r>
        <w:rPr>
          <w:sz w:val="22"/>
          <w:szCs w:val="22"/>
        </w:rPr>
        <w:tab/>
      </w:r>
      <w:r w:rsidRPr="00E10C24">
        <w:rPr>
          <w:i/>
          <w:sz w:val="22"/>
          <w:szCs w:val="22"/>
        </w:rPr>
        <w:t xml:space="preserve">This </w:t>
      </w:r>
      <w:r>
        <w:rPr>
          <w:sz w:val="22"/>
          <w:szCs w:val="22"/>
        </w:rPr>
        <w:t>[finding or violation]</w:t>
      </w:r>
      <w:r w:rsidRPr="00E10C24">
        <w:rPr>
          <w:i/>
          <w:sz w:val="22"/>
          <w:szCs w:val="22"/>
        </w:rPr>
        <w:t xml:space="preserve"> was identified </w:t>
      </w:r>
      <w:r>
        <w:rPr>
          <w:i/>
          <w:sz w:val="22"/>
          <w:szCs w:val="22"/>
        </w:rPr>
        <w:t xml:space="preserve">in connection with </w:t>
      </w:r>
      <w:r w:rsidRPr="00E10C24">
        <w:rPr>
          <w:i/>
          <w:sz w:val="22"/>
          <w:szCs w:val="22"/>
        </w:rPr>
        <w:t xml:space="preserve">a review of Operating Experience Smart Sample </w:t>
      </w:r>
      <w:r>
        <w:rPr>
          <w:sz w:val="22"/>
          <w:szCs w:val="22"/>
        </w:rPr>
        <w:t>[number and title].</w:t>
      </w:r>
    </w:p>
    <w:p w:rsidR="0098226B" w:rsidRPr="008C2F33" w:rsidRDefault="0098226B" w:rsidP="0098226B">
      <w:pPr>
        <w:pStyle w:val="Default"/>
        <w:rPr>
          <w:strike/>
          <w:sz w:val="22"/>
          <w:szCs w:val="22"/>
        </w:rPr>
      </w:pPr>
    </w:p>
    <w:p w:rsidR="00B06B1B" w:rsidRPr="00FF6355" w:rsidRDefault="0098226B" w:rsidP="0098226B">
      <w:r w:rsidRPr="00697B0E">
        <w:rPr>
          <w:szCs w:val="22"/>
        </w:rPr>
        <w:t xml:space="preserve">Inspection time for this </w:t>
      </w:r>
      <w:proofErr w:type="spellStart"/>
      <w:r w:rsidRPr="00697B0E">
        <w:rPr>
          <w:szCs w:val="22"/>
        </w:rPr>
        <w:t>OpESS</w:t>
      </w:r>
      <w:proofErr w:type="spellEnd"/>
      <w:r w:rsidRPr="00697B0E">
        <w:rPr>
          <w:szCs w:val="22"/>
        </w:rPr>
        <w:t xml:space="preserve"> is to be charged to the normal baseline procedure under which it is being documented.</w:t>
      </w:r>
    </w:p>
    <w:p w:rsidR="00BF330C" w:rsidRPr="00FF6355" w:rsidRDefault="00BF330C" w:rsidP="00950727"/>
    <w:p w:rsidR="003D4F96" w:rsidRDefault="003D4F96" w:rsidP="00950727"/>
    <w:p w:rsidR="00BF330C" w:rsidRPr="00FF6355" w:rsidRDefault="00BE43A2" w:rsidP="00950727">
      <w:proofErr w:type="spellStart"/>
      <w:r>
        <w:t>OpESS</w:t>
      </w:r>
      <w:proofErr w:type="spellEnd"/>
      <w:r>
        <w:t xml:space="preserve"> </w:t>
      </w:r>
      <w:r w:rsidR="00EB61CC" w:rsidRPr="00FF6355">
        <w:t>2</w:t>
      </w:r>
      <w:r>
        <w:t>012</w:t>
      </w:r>
      <w:r w:rsidR="00EB61CC" w:rsidRPr="00FF6355">
        <w:t>/</w:t>
      </w:r>
      <w:r>
        <w:t>0</w:t>
      </w:r>
      <w:r w:rsidR="009C246E">
        <w:t>2</w:t>
      </w:r>
      <w:r w:rsidR="00BF330C" w:rsidRPr="00FF6355">
        <w:t>-07</w:t>
      </w:r>
      <w:r w:rsidR="00BF330C" w:rsidRPr="00FF6355">
        <w:tab/>
      </w:r>
      <w:r>
        <w:t>CONTACTS</w:t>
      </w:r>
    </w:p>
    <w:p w:rsidR="00BF330C" w:rsidRPr="00FF6355" w:rsidRDefault="00BF330C" w:rsidP="00950727"/>
    <w:p w:rsidR="00EF1242" w:rsidRPr="00547740" w:rsidRDefault="00EF1242" w:rsidP="00547740">
      <w:pPr>
        <w:pStyle w:val="Default"/>
        <w:rPr>
          <w:sz w:val="22"/>
          <w:szCs w:val="22"/>
        </w:rPr>
      </w:pPr>
      <w:r w:rsidRPr="00547740">
        <w:rPr>
          <w:sz w:val="22"/>
          <w:szCs w:val="22"/>
        </w:rPr>
        <w:t xml:space="preserve">For technical support regarding the performance of this </w:t>
      </w:r>
      <w:proofErr w:type="spellStart"/>
      <w:r w:rsidR="00942FC1">
        <w:rPr>
          <w:sz w:val="22"/>
          <w:szCs w:val="22"/>
        </w:rPr>
        <w:t>OpESS</w:t>
      </w:r>
      <w:proofErr w:type="spellEnd"/>
      <w:r w:rsidRPr="00547740">
        <w:rPr>
          <w:sz w:val="22"/>
          <w:szCs w:val="22"/>
        </w:rPr>
        <w:t xml:space="preserve"> and emergent issues, contact </w:t>
      </w:r>
      <w:r w:rsidR="00547740" w:rsidRPr="00547740">
        <w:rPr>
          <w:sz w:val="22"/>
          <w:szCs w:val="22"/>
        </w:rPr>
        <w:t xml:space="preserve">Gerald </w:t>
      </w:r>
      <w:proofErr w:type="spellStart"/>
      <w:r w:rsidR="00547740" w:rsidRPr="00547740">
        <w:rPr>
          <w:sz w:val="22"/>
          <w:szCs w:val="22"/>
        </w:rPr>
        <w:t>Waig</w:t>
      </w:r>
      <w:proofErr w:type="spellEnd"/>
      <w:r w:rsidR="00547740" w:rsidRPr="00547740">
        <w:rPr>
          <w:sz w:val="22"/>
          <w:szCs w:val="22"/>
        </w:rPr>
        <w:t xml:space="preserve"> (NRR/ADRO/DSS/</w:t>
      </w:r>
      <w:r w:rsidR="005B0C28">
        <w:rPr>
          <w:sz w:val="22"/>
          <w:szCs w:val="22"/>
        </w:rPr>
        <w:t>S</w:t>
      </w:r>
      <w:r w:rsidR="00547740" w:rsidRPr="00547740">
        <w:rPr>
          <w:sz w:val="22"/>
          <w:szCs w:val="22"/>
        </w:rPr>
        <w:t xml:space="preserve">TSB) at 301-415-2260 or </w:t>
      </w:r>
      <w:hyperlink r:id="rId23" w:history="1">
        <w:r w:rsidR="00547740" w:rsidRPr="00547740">
          <w:rPr>
            <w:rStyle w:val="Hyperlink"/>
            <w:sz w:val="22"/>
            <w:szCs w:val="22"/>
          </w:rPr>
          <w:t>Gerald.Waig@nrc.gov</w:t>
        </w:r>
      </w:hyperlink>
      <w:r w:rsidR="00547740">
        <w:rPr>
          <w:sz w:val="22"/>
          <w:szCs w:val="22"/>
        </w:rPr>
        <w:t xml:space="preserve">, or </w:t>
      </w:r>
      <w:r w:rsidR="005B0C28">
        <w:rPr>
          <w:sz w:val="22"/>
          <w:szCs w:val="22"/>
        </w:rPr>
        <w:t>Shaun Anderson (NRR/ADRO/DSS/S</w:t>
      </w:r>
      <w:r w:rsidR="00547740" w:rsidRPr="00547740">
        <w:rPr>
          <w:sz w:val="22"/>
          <w:szCs w:val="22"/>
        </w:rPr>
        <w:t>TSB)</w:t>
      </w:r>
      <w:r w:rsidR="00547740">
        <w:rPr>
          <w:sz w:val="22"/>
          <w:szCs w:val="22"/>
        </w:rPr>
        <w:t xml:space="preserve"> at</w:t>
      </w:r>
      <w:r w:rsidR="00547740" w:rsidRPr="00547740">
        <w:rPr>
          <w:sz w:val="22"/>
          <w:szCs w:val="22"/>
        </w:rPr>
        <w:t xml:space="preserve"> 301</w:t>
      </w:r>
      <w:r w:rsidR="00547740">
        <w:rPr>
          <w:sz w:val="22"/>
          <w:szCs w:val="22"/>
        </w:rPr>
        <w:t>-</w:t>
      </w:r>
      <w:r w:rsidR="00547740" w:rsidRPr="00547740">
        <w:rPr>
          <w:sz w:val="22"/>
          <w:szCs w:val="22"/>
        </w:rPr>
        <w:t xml:space="preserve">415-2039 or </w:t>
      </w:r>
      <w:hyperlink r:id="rId24" w:history="1">
        <w:r w:rsidR="00547740" w:rsidRPr="00547740">
          <w:rPr>
            <w:rStyle w:val="Hyperlink"/>
            <w:sz w:val="22"/>
            <w:szCs w:val="22"/>
          </w:rPr>
          <w:t>Shaun.Anderson@nrc.gov</w:t>
        </w:r>
      </w:hyperlink>
      <w:r w:rsidRPr="00547740">
        <w:rPr>
          <w:sz w:val="22"/>
          <w:szCs w:val="22"/>
        </w:rPr>
        <w:t>,</w:t>
      </w:r>
      <w:r w:rsidR="00547740">
        <w:rPr>
          <w:sz w:val="22"/>
          <w:szCs w:val="22"/>
        </w:rPr>
        <w:t xml:space="preserve"> </w:t>
      </w:r>
      <w:r w:rsidRPr="00547740">
        <w:rPr>
          <w:sz w:val="22"/>
          <w:szCs w:val="22"/>
        </w:rPr>
        <w:t xml:space="preserve">or John Thompson (NRR/ DIRS/IOEB) at 301-415-1011 or </w:t>
      </w:r>
      <w:hyperlink r:id="rId25" w:history="1">
        <w:r w:rsidRPr="00547740">
          <w:rPr>
            <w:rStyle w:val="Hyperlink"/>
            <w:sz w:val="22"/>
            <w:szCs w:val="22"/>
          </w:rPr>
          <w:t>John.Thompson@nrc.gov</w:t>
        </w:r>
      </w:hyperlink>
      <w:r w:rsidRPr="00547740">
        <w:rPr>
          <w:sz w:val="22"/>
          <w:szCs w:val="22"/>
        </w:rPr>
        <w:t xml:space="preserve">.  </w:t>
      </w:r>
    </w:p>
    <w:p w:rsidR="00EF1242" w:rsidRPr="00547740" w:rsidRDefault="00EF1242" w:rsidP="00EF1242">
      <w:pPr>
        <w:pStyle w:val="Default"/>
        <w:rPr>
          <w:sz w:val="22"/>
          <w:szCs w:val="22"/>
        </w:rPr>
      </w:pPr>
    </w:p>
    <w:p w:rsidR="00BF330C" w:rsidRPr="00EF1242" w:rsidRDefault="00EF1242" w:rsidP="00EF1242">
      <w:pPr>
        <w:pStyle w:val="Default"/>
        <w:rPr>
          <w:strike/>
          <w:color w:val="0000FF"/>
          <w:sz w:val="22"/>
          <w:szCs w:val="22"/>
        </w:rPr>
      </w:pPr>
      <w:r w:rsidRPr="00EF1242">
        <w:rPr>
          <w:sz w:val="22"/>
          <w:szCs w:val="22"/>
        </w:rPr>
        <w:t xml:space="preserve">For administrative, reporting, or documentation questions, contact Jeremy Bowen at 301-415-3471 or </w:t>
      </w:r>
      <w:hyperlink r:id="rId26" w:history="1">
        <w:r w:rsidRPr="00EF1242">
          <w:rPr>
            <w:rStyle w:val="Hyperlink"/>
            <w:sz w:val="22"/>
            <w:szCs w:val="22"/>
          </w:rPr>
          <w:t>Jeremy.Bowen@nrc.gov</w:t>
        </w:r>
      </w:hyperlink>
      <w:r w:rsidRPr="00EF1242">
        <w:rPr>
          <w:sz w:val="22"/>
          <w:szCs w:val="22"/>
        </w:rPr>
        <w:t>.</w:t>
      </w:r>
    </w:p>
    <w:p w:rsidR="00CD2F1E" w:rsidRPr="00CD2F1E" w:rsidRDefault="00CD2F1E" w:rsidP="009C26CA">
      <w:pPr>
        <w:rPr>
          <w:rFonts w:cs="Arial"/>
          <w:szCs w:val="22"/>
        </w:rPr>
      </w:pPr>
    </w:p>
    <w:p w:rsidR="00EB7769" w:rsidRPr="00FF6355" w:rsidRDefault="00EB7769" w:rsidP="00950727">
      <w:pPr>
        <w:sectPr w:rsidR="00EB7769" w:rsidRPr="00FF6355" w:rsidSect="005218E5">
          <w:footerReference w:type="even" r:id="rId27"/>
          <w:footerReference w:type="default" r:id="rId28"/>
          <w:pgSz w:w="12240" w:h="15840" w:code="1"/>
          <w:pgMar w:top="1440" w:right="1440" w:bottom="1440" w:left="1440" w:header="720" w:footer="720" w:gutter="0"/>
          <w:pgNumType w:start="1"/>
          <w:cols w:space="720"/>
          <w:docGrid w:linePitch="360"/>
        </w:sectPr>
      </w:pPr>
    </w:p>
    <w:p w:rsidR="00093F2E" w:rsidRPr="00FF6355" w:rsidRDefault="001368B0" w:rsidP="00363DDD">
      <w:pPr>
        <w:jc w:val="center"/>
      </w:pPr>
      <w:r w:rsidRPr="00FF6355">
        <w:lastRenderedPageBreak/>
        <w:t xml:space="preserve">Revision History for </w:t>
      </w:r>
      <w:proofErr w:type="spellStart"/>
      <w:r w:rsidR="00BE43A2">
        <w:t>OpESS</w:t>
      </w:r>
      <w:proofErr w:type="spellEnd"/>
      <w:r w:rsidRPr="00FF6355">
        <w:t xml:space="preserve"> 2</w:t>
      </w:r>
      <w:r w:rsidR="00BE43A2">
        <w:t>012</w:t>
      </w:r>
      <w:r w:rsidRPr="00FF6355">
        <w:t>/</w:t>
      </w:r>
      <w:r w:rsidR="00BE43A2">
        <w:t>0</w:t>
      </w:r>
      <w:r w:rsidR="00547740">
        <w:t>2</w:t>
      </w:r>
    </w:p>
    <w:p w:rsidR="00093F2E" w:rsidRPr="00FF6355" w:rsidRDefault="00093F2E" w:rsidP="00950727"/>
    <w:tbl>
      <w:tblPr>
        <w:tblStyle w:val="TableGrid"/>
        <w:tblW w:w="0" w:type="auto"/>
        <w:tblLook w:val="01E0"/>
      </w:tblPr>
      <w:tblGrid>
        <w:gridCol w:w="2062"/>
        <w:gridCol w:w="1648"/>
        <w:gridCol w:w="3504"/>
        <w:gridCol w:w="1250"/>
        <w:gridCol w:w="2125"/>
        <w:gridCol w:w="2587"/>
      </w:tblGrid>
      <w:tr w:rsidR="00093F2E" w:rsidTr="001B3484">
        <w:tc>
          <w:tcPr>
            <w:tcW w:w="2062" w:type="dxa"/>
          </w:tcPr>
          <w:p w:rsidR="00093F2E" w:rsidRPr="00FF6355" w:rsidRDefault="00093F2E" w:rsidP="00950727">
            <w:r w:rsidRPr="00FF6355">
              <w:t>Commitment Tracking Number</w:t>
            </w:r>
          </w:p>
        </w:tc>
        <w:tc>
          <w:tcPr>
            <w:tcW w:w="1648" w:type="dxa"/>
          </w:tcPr>
          <w:p w:rsidR="00093F2E" w:rsidRPr="00FF6355" w:rsidRDefault="00093F2E" w:rsidP="00950727">
            <w:r w:rsidRPr="00FF6355">
              <w:t>Issue Date</w:t>
            </w:r>
          </w:p>
        </w:tc>
        <w:tc>
          <w:tcPr>
            <w:tcW w:w="3504" w:type="dxa"/>
          </w:tcPr>
          <w:p w:rsidR="00093F2E" w:rsidRPr="00FF6355" w:rsidRDefault="00093F2E" w:rsidP="00950727">
            <w:r w:rsidRPr="00FF6355">
              <w:t>Description of Change</w:t>
            </w:r>
          </w:p>
        </w:tc>
        <w:tc>
          <w:tcPr>
            <w:tcW w:w="1250" w:type="dxa"/>
          </w:tcPr>
          <w:p w:rsidR="00093F2E" w:rsidRPr="00FF6355" w:rsidRDefault="00093F2E" w:rsidP="00950727">
            <w:r w:rsidRPr="00FF6355">
              <w:t>Training Needed</w:t>
            </w:r>
          </w:p>
        </w:tc>
        <w:tc>
          <w:tcPr>
            <w:tcW w:w="2125" w:type="dxa"/>
          </w:tcPr>
          <w:p w:rsidR="00093F2E" w:rsidRPr="00FF6355" w:rsidRDefault="00093F2E" w:rsidP="00950727">
            <w:r w:rsidRPr="00FF6355">
              <w:t>Training Completion Date</w:t>
            </w:r>
          </w:p>
        </w:tc>
        <w:tc>
          <w:tcPr>
            <w:tcW w:w="2587" w:type="dxa"/>
          </w:tcPr>
          <w:p w:rsidR="00093F2E" w:rsidRPr="00FF6355" w:rsidRDefault="00093F2E" w:rsidP="00950727">
            <w:r w:rsidRPr="00FF6355">
              <w:t>Comment Resolution Accession Number</w:t>
            </w:r>
          </w:p>
        </w:tc>
      </w:tr>
      <w:tr w:rsidR="00093F2E" w:rsidTr="001B3484">
        <w:tc>
          <w:tcPr>
            <w:tcW w:w="2062" w:type="dxa"/>
          </w:tcPr>
          <w:p w:rsidR="00093F2E" w:rsidRPr="00FF6355" w:rsidRDefault="00093F2E" w:rsidP="00950727">
            <w:r w:rsidRPr="00FF6355">
              <w:t>N/A</w:t>
            </w:r>
          </w:p>
        </w:tc>
        <w:tc>
          <w:tcPr>
            <w:tcW w:w="1648" w:type="dxa"/>
          </w:tcPr>
          <w:p w:rsidR="00AE07A5" w:rsidRDefault="00AE07A5" w:rsidP="00950727">
            <w:r w:rsidRPr="00AE07A5">
              <w:t>ML11321A229</w:t>
            </w:r>
          </w:p>
          <w:p w:rsidR="00056BD3" w:rsidRPr="0008160B" w:rsidRDefault="0013094D" w:rsidP="0013094D">
            <w:r>
              <w:t>01</w:t>
            </w:r>
            <w:r w:rsidR="001368B0" w:rsidRPr="00FF6355">
              <w:t>/</w:t>
            </w:r>
            <w:r>
              <w:t>06</w:t>
            </w:r>
            <w:r w:rsidR="001368B0" w:rsidRPr="00FF6355">
              <w:t>/</w:t>
            </w:r>
            <w:r>
              <w:t>12</w:t>
            </w:r>
          </w:p>
        </w:tc>
        <w:tc>
          <w:tcPr>
            <w:tcW w:w="3504" w:type="dxa"/>
          </w:tcPr>
          <w:p w:rsidR="00093F2E" w:rsidRPr="00FF6355" w:rsidRDefault="00D34C69" w:rsidP="00123175">
            <w:r w:rsidRPr="00FF6355">
              <w:t>Initial issuance.</w:t>
            </w:r>
          </w:p>
        </w:tc>
        <w:tc>
          <w:tcPr>
            <w:tcW w:w="1250" w:type="dxa"/>
          </w:tcPr>
          <w:p w:rsidR="00093F2E" w:rsidRPr="00FF6355" w:rsidRDefault="00093F2E" w:rsidP="00950727">
            <w:r w:rsidRPr="00FF6355">
              <w:t>N/A</w:t>
            </w:r>
          </w:p>
        </w:tc>
        <w:tc>
          <w:tcPr>
            <w:tcW w:w="2125" w:type="dxa"/>
          </w:tcPr>
          <w:p w:rsidR="00093F2E" w:rsidRPr="00FF6355" w:rsidRDefault="00093F2E" w:rsidP="00950727">
            <w:r w:rsidRPr="00FF6355">
              <w:t>N/A</w:t>
            </w:r>
          </w:p>
        </w:tc>
        <w:tc>
          <w:tcPr>
            <w:tcW w:w="2587" w:type="dxa"/>
          </w:tcPr>
          <w:p w:rsidR="00093F2E" w:rsidRPr="00093F2E" w:rsidRDefault="00E30473" w:rsidP="003F23EC">
            <w:hyperlink r:id="rId29" w:history="1">
              <w:r w:rsidR="0008160B" w:rsidRPr="008E7CFB">
                <w:rPr>
                  <w:rStyle w:val="Hyperlink"/>
                </w:rPr>
                <w:t>ML12003A074</w:t>
              </w:r>
            </w:hyperlink>
          </w:p>
        </w:tc>
      </w:tr>
      <w:tr w:rsidR="001B3484" w:rsidTr="001B3484">
        <w:tc>
          <w:tcPr>
            <w:tcW w:w="2062" w:type="dxa"/>
          </w:tcPr>
          <w:p w:rsidR="001B3484" w:rsidRPr="00FF6355" w:rsidRDefault="001B3484" w:rsidP="00950727">
            <w:r>
              <w:t>N/A</w:t>
            </w:r>
          </w:p>
        </w:tc>
        <w:tc>
          <w:tcPr>
            <w:tcW w:w="1648" w:type="dxa"/>
          </w:tcPr>
          <w:p w:rsidR="001B3484" w:rsidRDefault="00E247C6" w:rsidP="00950727">
            <w:r>
              <w:t>ML12139A242</w:t>
            </w:r>
          </w:p>
          <w:p w:rsidR="001B3484" w:rsidRPr="00AE07A5" w:rsidRDefault="001B3484" w:rsidP="00950727">
            <w:r>
              <w:t>05/17/12</w:t>
            </w:r>
          </w:p>
        </w:tc>
        <w:tc>
          <w:tcPr>
            <w:tcW w:w="3504" w:type="dxa"/>
          </w:tcPr>
          <w:p w:rsidR="001B3484" w:rsidRPr="00FF6355" w:rsidRDefault="001B3484" w:rsidP="00123175">
            <w:r>
              <w:t>Provided additional clarity and references.</w:t>
            </w:r>
          </w:p>
        </w:tc>
        <w:tc>
          <w:tcPr>
            <w:tcW w:w="1250" w:type="dxa"/>
          </w:tcPr>
          <w:p w:rsidR="001B3484" w:rsidRPr="00FF6355" w:rsidRDefault="001B3484" w:rsidP="00543E7A">
            <w:r w:rsidRPr="00FF6355">
              <w:t>N/A</w:t>
            </w:r>
          </w:p>
        </w:tc>
        <w:tc>
          <w:tcPr>
            <w:tcW w:w="2125" w:type="dxa"/>
          </w:tcPr>
          <w:p w:rsidR="001B3484" w:rsidRPr="00FF6355" w:rsidRDefault="001B3484" w:rsidP="00543E7A">
            <w:r w:rsidRPr="00FF6355">
              <w:t>N/A</w:t>
            </w:r>
          </w:p>
        </w:tc>
        <w:tc>
          <w:tcPr>
            <w:tcW w:w="2587" w:type="dxa"/>
          </w:tcPr>
          <w:p w:rsidR="001B3484" w:rsidRDefault="001B3484" w:rsidP="003F23EC">
            <w:r>
              <w:t>N/A</w:t>
            </w:r>
          </w:p>
        </w:tc>
      </w:tr>
    </w:tbl>
    <w:p w:rsidR="00093F2E" w:rsidRPr="00FF6355" w:rsidRDefault="00093F2E" w:rsidP="00950727"/>
    <w:sectPr w:rsidR="00093F2E" w:rsidRPr="00FF6355" w:rsidSect="00792F3B">
      <w:footerReference w:type="default" r:id="rId30"/>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6A0" w:rsidRDefault="000246A0">
      <w:r>
        <w:separator/>
      </w:r>
    </w:p>
  </w:endnote>
  <w:endnote w:type="continuationSeparator" w:id="0">
    <w:p w:rsidR="000246A0" w:rsidRDefault="00024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A6" w:rsidRDefault="00E30473" w:rsidP="005218E5">
    <w:pPr>
      <w:pStyle w:val="Footer"/>
      <w:framePr w:wrap="around" w:vAnchor="text" w:hAnchor="margin" w:xAlign="center" w:y="1"/>
      <w:rPr>
        <w:rStyle w:val="PageNumber"/>
      </w:rPr>
    </w:pPr>
    <w:r>
      <w:rPr>
        <w:rStyle w:val="PageNumber"/>
      </w:rPr>
      <w:fldChar w:fldCharType="begin"/>
    </w:r>
    <w:r w:rsidR="00402FA6">
      <w:rPr>
        <w:rStyle w:val="PageNumber"/>
      </w:rPr>
      <w:instrText xml:space="preserve">PAGE  </w:instrText>
    </w:r>
    <w:r>
      <w:rPr>
        <w:rStyle w:val="PageNumber"/>
      </w:rPr>
      <w:fldChar w:fldCharType="end"/>
    </w:r>
  </w:p>
  <w:p w:rsidR="00402FA6" w:rsidRDefault="00402F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A6" w:rsidRDefault="00402FA6" w:rsidP="00170ECA">
    <w:pPr>
      <w:pStyle w:val="Footer"/>
      <w:tabs>
        <w:tab w:val="clear" w:pos="8640"/>
        <w:tab w:val="right" w:pos="9360"/>
      </w:tabs>
      <w:rPr>
        <w:rFonts w:cs="Arial"/>
      </w:rPr>
    </w:pPr>
  </w:p>
  <w:p w:rsidR="00402FA6" w:rsidRDefault="00402FA6" w:rsidP="00170ECA">
    <w:pPr>
      <w:pStyle w:val="Footer"/>
      <w:tabs>
        <w:tab w:val="clear" w:pos="4320"/>
        <w:tab w:val="clear" w:pos="8640"/>
        <w:tab w:val="center" w:pos="4680"/>
        <w:tab w:val="right" w:pos="9360"/>
      </w:tabs>
      <w:rPr>
        <w:rFonts w:cs="Arial"/>
      </w:rPr>
    </w:pPr>
    <w:r w:rsidRPr="0076226A">
      <w:rPr>
        <w:rFonts w:cs="Arial"/>
      </w:rPr>
      <w:t>Issue Date</w:t>
    </w:r>
    <w:r w:rsidRPr="00FE6D29">
      <w:rPr>
        <w:rFonts w:cs="Arial"/>
      </w:rPr>
      <w:t>:</w:t>
    </w:r>
    <w:r w:rsidR="00185F45">
      <w:rPr>
        <w:rFonts w:cs="Arial"/>
      </w:rPr>
      <w:t xml:space="preserve"> </w:t>
    </w:r>
    <w:r w:rsidRPr="00FE6D29">
      <w:rPr>
        <w:rFonts w:cs="Arial"/>
      </w:rPr>
      <w:t xml:space="preserve"> </w:t>
    </w:r>
    <w:r>
      <w:rPr>
        <w:rFonts w:cs="Arial"/>
      </w:rPr>
      <w:t>0</w:t>
    </w:r>
    <w:r w:rsidR="001B3484">
      <w:rPr>
        <w:rFonts w:cs="Arial"/>
      </w:rPr>
      <w:t>5</w:t>
    </w:r>
    <w:r>
      <w:rPr>
        <w:rFonts w:cs="Arial"/>
      </w:rPr>
      <w:t>/</w:t>
    </w:r>
    <w:r w:rsidR="001B3484">
      <w:rPr>
        <w:rFonts w:cs="Arial"/>
      </w:rPr>
      <w:t>17</w:t>
    </w:r>
    <w:r>
      <w:rPr>
        <w:rFonts w:cs="Arial"/>
      </w:rPr>
      <w:t>/12</w:t>
    </w:r>
    <w:r w:rsidRPr="0076226A">
      <w:rPr>
        <w:rFonts w:cs="Arial"/>
      </w:rPr>
      <w:tab/>
    </w:r>
    <w:sdt>
      <w:sdtPr>
        <w:id w:val="80479487"/>
        <w:docPartObj>
          <w:docPartGallery w:val="Page Numbers (Bottom of Page)"/>
          <w:docPartUnique/>
        </w:docPartObj>
      </w:sdtPr>
      <w:sdtContent>
        <w:fldSimple w:instr=" PAGE   \* MERGEFORMAT ">
          <w:r w:rsidR="00E247C6">
            <w:rPr>
              <w:noProof/>
            </w:rPr>
            <w:t>6</w:t>
          </w:r>
        </w:fldSimple>
      </w:sdtContent>
    </w:sdt>
    <w:r w:rsidRPr="0076226A">
      <w:rPr>
        <w:rFonts w:cs="Arial"/>
      </w:rPr>
      <w:tab/>
    </w:r>
    <w:proofErr w:type="spellStart"/>
    <w:r>
      <w:rPr>
        <w:rFonts w:cs="Arial"/>
      </w:rPr>
      <w:t>OpESS</w:t>
    </w:r>
    <w:proofErr w:type="spellEnd"/>
    <w:r>
      <w:rPr>
        <w:rFonts w:cs="Arial"/>
      </w:rPr>
      <w:t xml:space="preserve"> 2012/02</w:t>
    </w:r>
    <w:r w:rsidR="001B3484">
      <w:rPr>
        <w:rFonts w:cs="Arial"/>
      </w:rPr>
      <w:t xml:space="preserve"> </w:t>
    </w:r>
    <w:r w:rsidR="001B3484">
      <w:t>Rev.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A6" w:rsidRPr="00A67D70" w:rsidRDefault="00402FA6" w:rsidP="000333A5">
    <w:pPr>
      <w:tabs>
        <w:tab w:val="center" w:pos="6480"/>
        <w:tab w:val="right" w:pos="12960"/>
      </w:tabs>
      <w:jc w:val="both"/>
      <w:rPr>
        <w:rFonts w:cs="Arial"/>
      </w:rPr>
    </w:pPr>
    <w:r w:rsidRPr="0076226A">
      <w:rPr>
        <w:rFonts w:cs="Arial"/>
      </w:rPr>
      <w:t xml:space="preserve">Issue Date: </w:t>
    </w:r>
    <w:r w:rsidR="00185F45">
      <w:rPr>
        <w:rFonts w:cs="Arial"/>
      </w:rPr>
      <w:t xml:space="preserve"> </w:t>
    </w:r>
    <w:r>
      <w:rPr>
        <w:rFonts w:cs="Arial"/>
      </w:rPr>
      <w:t>0</w:t>
    </w:r>
    <w:r w:rsidR="001B3484">
      <w:rPr>
        <w:rFonts w:cs="Arial"/>
      </w:rPr>
      <w:t>5</w:t>
    </w:r>
    <w:r>
      <w:rPr>
        <w:rFonts w:cs="Arial"/>
      </w:rPr>
      <w:t>/</w:t>
    </w:r>
    <w:r w:rsidR="001B3484">
      <w:rPr>
        <w:rFonts w:cs="Arial"/>
      </w:rPr>
      <w:t>17</w:t>
    </w:r>
    <w:r>
      <w:rPr>
        <w:rFonts w:cs="Arial"/>
      </w:rPr>
      <w:t>/12</w:t>
    </w:r>
    <w:r>
      <w:rPr>
        <w:rFonts w:cs="Arial"/>
      </w:rPr>
      <w:tab/>
    </w:r>
    <w:proofErr w:type="spellStart"/>
    <w:r>
      <w:rPr>
        <w:rFonts w:cs="Arial"/>
      </w:rPr>
      <w:t>Att</w:t>
    </w:r>
    <w:proofErr w:type="spellEnd"/>
    <w:r>
      <w:rPr>
        <w:rFonts w:cs="Arial"/>
      </w:rPr>
      <w:t xml:space="preserve"> 1 - </w:t>
    </w:r>
    <w:sdt>
      <w:sdtPr>
        <w:id w:val="80479497"/>
        <w:docPartObj>
          <w:docPartGallery w:val="Page Numbers (Bottom of Page)"/>
          <w:docPartUnique/>
        </w:docPartObj>
      </w:sdtPr>
      <w:sdtContent>
        <w:fldSimple w:instr=" PAGE   \* MERGEFORMAT ">
          <w:r w:rsidR="00E247C6">
            <w:rPr>
              <w:noProof/>
            </w:rPr>
            <w:t>1</w:t>
          </w:r>
        </w:fldSimple>
      </w:sdtContent>
    </w:sdt>
    <w:r>
      <w:rPr>
        <w:rFonts w:cs="Arial"/>
      </w:rPr>
      <w:tab/>
    </w:r>
    <w:proofErr w:type="spellStart"/>
    <w:r>
      <w:rPr>
        <w:rFonts w:cs="Arial"/>
      </w:rPr>
      <w:t>OpESS</w:t>
    </w:r>
    <w:proofErr w:type="spellEnd"/>
    <w:r>
      <w:rPr>
        <w:rFonts w:cs="Arial"/>
      </w:rPr>
      <w:t xml:space="preserve"> 2012/02</w:t>
    </w:r>
    <w:r w:rsidR="001B3484">
      <w:rPr>
        <w:rFonts w:cs="Arial"/>
      </w:rPr>
      <w:t xml:space="preserve"> Rev.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6A0" w:rsidRDefault="000246A0">
      <w:r>
        <w:separator/>
      </w:r>
    </w:p>
  </w:footnote>
  <w:footnote w:type="continuationSeparator" w:id="0">
    <w:p w:rsidR="000246A0" w:rsidRDefault="00024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0"/>
    <w:name w:val="AutoList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1EC2BA8"/>
    <w:multiLevelType w:val="hybridMultilevel"/>
    <w:tmpl w:val="FCC8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53619"/>
    <w:multiLevelType w:val="hybridMultilevel"/>
    <w:tmpl w:val="E624A47C"/>
    <w:lvl w:ilvl="0" w:tplc="74A674F2">
      <w:start w:val="1"/>
      <w:numFmt w:val="lowerLetter"/>
      <w:lvlText w:val="%1."/>
      <w:lvlJc w:val="left"/>
      <w:pPr>
        <w:tabs>
          <w:tab w:val="num" w:pos="5764"/>
        </w:tabs>
        <w:ind w:left="5764" w:hanging="360"/>
      </w:pPr>
      <w:rPr>
        <w:rFonts w:hint="default"/>
      </w:rPr>
    </w:lvl>
    <w:lvl w:ilvl="1" w:tplc="04090019" w:tentative="1">
      <w:start w:val="1"/>
      <w:numFmt w:val="lowerLetter"/>
      <w:lvlText w:val="%2."/>
      <w:lvlJc w:val="left"/>
      <w:pPr>
        <w:tabs>
          <w:tab w:val="num" w:pos="6484"/>
        </w:tabs>
        <w:ind w:left="6484" w:hanging="360"/>
      </w:pPr>
    </w:lvl>
    <w:lvl w:ilvl="2" w:tplc="0409001B" w:tentative="1">
      <w:start w:val="1"/>
      <w:numFmt w:val="lowerRoman"/>
      <w:lvlText w:val="%3."/>
      <w:lvlJc w:val="right"/>
      <w:pPr>
        <w:tabs>
          <w:tab w:val="num" w:pos="7204"/>
        </w:tabs>
        <w:ind w:left="7204" w:hanging="180"/>
      </w:pPr>
    </w:lvl>
    <w:lvl w:ilvl="3" w:tplc="0409000F" w:tentative="1">
      <w:start w:val="1"/>
      <w:numFmt w:val="decimal"/>
      <w:lvlText w:val="%4."/>
      <w:lvlJc w:val="left"/>
      <w:pPr>
        <w:tabs>
          <w:tab w:val="num" w:pos="7924"/>
        </w:tabs>
        <w:ind w:left="7924" w:hanging="360"/>
      </w:pPr>
    </w:lvl>
    <w:lvl w:ilvl="4" w:tplc="04090019" w:tentative="1">
      <w:start w:val="1"/>
      <w:numFmt w:val="lowerLetter"/>
      <w:lvlText w:val="%5."/>
      <w:lvlJc w:val="left"/>
      <w:pPr>
        <w:tabs>
          <w:tab w:val="num" w:pos="8644"/>
        </w:tabs>
        <w:ind w:left="8644" w:hanging="360"/>
      </w:pPr>
    </w:lvl>
    <w:lvl w:ilvl="5" w:tplc="0409001B" w:tentative="1">
      <w:start w:val="1"/>
      <w:numFmt w:val="lowerRoman"/>
      <w:lvlText w:val="%6."/>
      <w:lvlJc w:val="right"/>
      <w:pPr>
        <w:tabs>
          <w:tab w:val="num" w:pos="9364"/>
        </w:tabs>
        <w:ind w:left="9364" w:hanging="180"/>
      </w:pPr>
    </w:lvl>
    <w:lvl w:ilvl="6" w:tplc="0409000F" w:tentative="1">
      <w:start w:val="1"/>
      <w:numFmt w:val="decimal"/>
      <w:lvlText w:val="%7."/>
      <w:lvlJc w:val="left"/>
      <w:pPr>
        <w:tabs>
          <w:tab w:val="num" w:pos="10084"/>
        </w:tabs>
        <w:ind w:left="10084" w:hanging="360"/>
      </w:pPr>
    </w:lvl>
    <w:lvl w:ilvl="7" w:tplc="04090019" w:tentative="1">
      <w:start w:val="1"/>
      <w:numFmt w:val="lowerLetter"/>
      <w:lvlText w:val="%8."/>
      <w:lvlJc w:val="left"/>
      <w:pPr>
        <w:tabs>
          <w:tab w:val="num" w:pos="10804"/>
        </w:tabs>
        <w:ind w:left="10804" w:hanging="360"/>
      </w:pPr>
    </w:lvl>
    <w:lvl w:ilvl="8" w:tplc="0409001B" w:tentative="1">
      <w:start w:val="1"/>
      <w:numFmt w:val="lowerRoman"/>
      <w:lvlText w:val="%9."/>
      <w:lvlJc w:val="right"/>
      <w:pPr>
        <w:tabs>
          <w:tab w:val="num" w:pos="11524"/>
        </w:tabs>
        <w:ind w:left="11524" w:hanging="180"/>
      </w:pPr>
    </w:lvl>
  </w:abstractNum>
  <w:abstractNum w:abstractNumId="3">
    <w:nsid w:val="23F9464C"/>
    <w:multiLevelType w:val="hybridMultilevel"/>
    <w:tmpl w:val="4712D6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6C3E4D"/>
    <w:multiLevelType w:val="hybridMultilevel"/>
    <w:tmpl w:val="B05EA3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5302A64"/>
    <w:multiLevelType w:val="multilevel"/>
    <w:tmpl w:val="E624A47C"/>
    <w:lvl w:ilvl="0">
      <w:start w:val="1"/>
      <w:numFmt w:val="lowerLetter"/>
      <w:lvlText w:val="%1."/>
      <w:lvlJc w:val="left"/>
      <w:pPr>
        <w:tabs>
          <w:tab w:val="num" w:pos="994"/>
        </w:tabs>
        <w:ind w:left="994" w:hanging="360"/>
      </w:pPr>
      <w:rPr>
        <w:rFonts w:hint="default"/>
      </w:rPr>
    </w:lvl>
    <w:lvl w:ilvl="1">
      <w:start w:val="1"/>
      <w:numFmt w:val="lowerLetter"/>
      <w:lvlText w:val="%2."/>
      <w:lvlJc w:val="left"/>
      <w:pPr>
        <w:tabs>
          <w:tab w:val="num" w:pos="1714"/>
        </w:tabs>
        <w:ind w:left="1714" w:hanging="360"/>
      </w:pPr>
    </w:lvl>
    <w:lvl w:ilvl="2">
      <w:start w:val="1"/>
      <w:numFmt w:val="lowerRoman"/>
      <w:lvlText w:val="%3."/>
      <w:lvlJc w:val="right"/>
      <w:pPr>
        <w:tabs>
          <w:tab w:val="num" w:pos="2434"/>
        </w:tabs>
        <w:ind w:left="2434" w:hanging="180"/>
      </w:pPr>
    </w:lvl>
    <w:lvl w:ilvl="3">
      <w:start w:val="1"/>
      <w:numFmt w:val="decimal"/>
      <w:lvlText w:val="%4."/>
      <w:lvlJc w:val="left"/>
      <w:pPr>
        <w:tabs>
          <w:tab w:val="num" w:pos="3154"/>
        </w:tabs>
        <w:ind w:left="3154" w:hanging="360"/>
      </w:pPr>
    </w:lvl>
    <w:lvl w:ilvl="4">
      <w:start w:val="1"/>
      <w:numFmt w:val="lowerLetter"/>
      <w:lvlText w:val="%5."/>
      <w:lvlJc w:val="left"/>
      <w:pPr>
        <w:tabs>
          <w:tab w:val="num" w:pos="3874"/>
        </w:tabs>
        <w:ind w:left="3874" w:hanging="360"/>
      </w:pPr>
    </w:lvl>
    <w:lvl w:ilvl="5">
      <w:start w:val="1"/>
      <w:numFmt w:val="lowerRoman"/>
      <w:lvlText w:val="%6."/>
      <w:lvlJc w:val="right"/>
      <w:pPr>
        <w:tabs>
          <w:tab w:val="num" w:pos="4594"/>
        </w:tabs>
        <w:ind w:left="4594" w:hanging="180"/>
      </w:pPr>
    </w:lvl>
    <w:lvl w:ilvl="6">
      <w:start w:val="1"/>
      <w:numFmt w:val="decimal"/>
      <w:lvlText w:val="%7."/>
      <w:lvlJc w:val="left"/>
      <w:pPr>
        <w:tabs>
          <w:tab w:val="num" w:pos="5314"/>
        </w:tabs>
        <w:ind w:left="5314" w:hanging="360"/>
      </w:pPr>
    </w:lvl>
    <w:lvl w:ilvl="7">
      <w:start w:val="1"/>
      <w:numFmt w:val="lowerLetter"/>
      <w:lvlText w:val="%8."/>
      <w:lvlJc w:val="left"/>
      <w:pPr>
        <w:tabs>
          <w:tab w:val="num" w:pos="6034"/>
        </w:tabs>
        <w:ind w:left="6034" w:hanging="360"/>
      </w:pPr>
    </w:lvl>
    <w:lvl w:ilvl="8">
      <w:start w:val="1"/>
      <w:numFmt w:val="lowerRoman"/>
      <w:lvlText w:val="%9."/>
      <w:lvlJc w:val="right"/>
      <w:pPr>
        <w:tabs>
          <w:tab w:val="num" w:pos="6754"/>
        </w:tabs>
        <w:ind w:left="6754" w:hanging="180"/>
      </w:pPr>
    </w:lvl>
  </w:abstractNum>
  <w:abstractNum w:abstractNumId="6">
    <w:nsid w:val="3B0030A9"/>
    <w:multiLevelType w:val="hybridMultilevel"/>
    <w:tmpl w:val="FF1A2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2D6215"/>
    <w:multiLevelType w:val="hybridMultilevel"/>
    <w:tmpl w:val="3AAEB6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84F4870"/>
    <w:multiLevelType w:val="multilevel"/>
    <w:tmpl w:val="55AE89A0"/>
    <w:lvl w:ilvl="0">
      <w:start w:val="4"/>
      <w:numFmt w:val="decimalZero"/>
      <w:pStyle w:val="Level1"/>
      <w:lvlText w:val="%1"/>
      <w:lvlJc w:val="left"/>
      <w:pPr>
        <w:tabs>
          <w:tab w:val="num" w:pos="930"/>
        </w:tabs>
        <w:ind w:left="930" w:hanging="930"/>
      </w:pPr>
      <w:rPr>
        <w:rFonts w:hint="default"/>
      </w:rPr>
    </w:lvl>
    <w:lvl w:ilvl="1">
      <w:start w:val="2"/>
      <w:numFmt w:val="decimalZero"/>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EF97773"/>
    <w:multiLevelType w:val="hybridMultilevel"/>
    <w:tmpl w:val="B35688C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73399B"/>
    <w:multiLevelType w:val="hybridMultilevel"/>
    <w:tmpl w:val="41A234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1082EB1"/>
    <w:multiLevelType w:val="hybridMultilevel"/>
    <w:tmpl w:val="6EBA43E4"/>
    <w:lvl w:ilvl="0" w:tplc="22DCAE26">
      <w:start w:val="1"/>
      <w:numFmt w:val="lowerLetter"/>
      <w:lvlText w:val="%1."/>
      <w:lvlJc w:val="left"/>
      <w:pPr>
        <w:tabs>
          <w:tab w:val="num" w:pos="965"/>
        </w:tabs>
        <w:ind w:left="1166" w:hanging="536"/>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62B1BE7"/>
    <w:multiLevelType w:val="hybridMultilevel"/>
    <w:tmpl w:val="4418C5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B64077A"/>
    <w:multiLevelType w:val="hybridMultilevel"/>
    <w:tmpl w:val="81E6F552"/>
    <w:lvl w:ilvl="0" w:tplc="04090019">
      <w:start w:val="1"/>
      <w:numFmt w:val="lowerLetter"/>
      <w:lvlText w:val="%1."/>
      <w:lvlJc w:val="left"/>
      <w:pPr>
        <w:tabs>
          <w:tab w:val="num" w:pos="1170"/>
        </w:tabs>
        <w:ind w:left="1170" w:hanging="360"/>
      </w:pPr>
      <w:rPr>
        <w:rFonts w:hint="default"/>
      </w:rPr>
    </w:lvl>
    <w:lvl w:ilvl="1" w:tplc="70A6F6AA">
      <w:start w:val="1"/>
      <w:numFmt w:val="decimal"/>
      <w:lvlText w:val="(%2)"/>
      <w:lvlJc w:val="left"/>
      <w:pPr>
        <w:tabs>
          <w:tab w:val="num" w:pos="2160"/>
        </w:tabs>
        <w:ind w:left="2160" w:hanging="63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7F3C74FB"/>
    <w:multiLevelType w:val="hybridMultilevel"/>
    <w:tmpl w:val="C116E862"/>
    <w:lvl w:ilvl="0" w:tplc="D62AB5F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2"/>
  </w:num>
  <w:num w:numId="4">
    <w:abstractNumId w:val="5"/>
  </w:num>
  <w:num w:numId="5">
    <w:abstractNumId w:val="11"/>
  </w:num>
  <w:num w:numId="6">
    <w:abstractNumId w:val="9"/>
  </w:num>
  <w:num w:numId="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3"/>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1F08"/>
  <w:defaultTabStop w:val="605"/>
  <w:characterSpacingControl w:val="doNotCompress"/>
  <w:footnotePr>
    <w:footnote w:id="-1"/>
    <w:footnote w:id="0"/>
  </w:footnotePr>
  <w:endnotePr>
    <w:endnote w:id="-1"/>
    <w:endnote w:id="0"/>
  </w:endnotePr>
  <w:compat/>
  <w:rsids>
    <w:rsidRoot w:val="004F1838"/>
    <w:rsid w:val="00003B21"/>
    <w:rsid w:val="00005BB4"/>
    <w:rsid w:val="00006755"/>
    <w:rsid w:val="00007C0B"/>
    <w:rsid w:val="000118AC"/>
    <w:rsid w:val="00012D69"/>
    <w:rsid w:val="0001461B"/>
    <w:rsid w:val="00016070"/>
    <w:rsid w:val="00016A75"/>
    <w:rsid w:val="000246A0"/>
    <w:rsid w:val="00026BB4"/>
    <w:rsid w:val="000333A5"/>
    <w:rsid w:val="000347A9"/>
    <w:rsid w:val="00053202"/>
    <w:rsid w:val="00055212"/>
    <w:rsid w:val="00056BD3"/>
    <w:rsid w:val="00060EB0"/>
    <w:rsid w:val="000610D5"/>
    <w:rsid w:val="00061DC6"/>
    <w:rsid w:val="00064926"/>
    <w:rsid w:val="000775DE"/>
    <w:rsid w:val="00077786"/>
    <w:rsid w:val="0008160B"/>
    <w:rsid w:val="000826F6"/>
    <w:rsid w:val="00083A67"/>
    <w:rsid w:val="00083E30"/>
    <w:rsid w:val="00085215"/>
    <w:rsid w:val="00090B8B"/>
    <w:rsid w:val="00093F2E"/>
    <w:rsid w:val="000967D0"/>
    <w:rsid w:val="000A0102"/>
    <w:rsid w:val="000A0998"/>
    <w:rsid w:val="000A1BAC"/>
    <w:rsid w:val="000A47C9"/>
    <w:rsid w:val="000A685B"/>
    <w:rsid w:val="000A6946"/>
    <w:rsid w:val="000A6DC9"/>
    <w:rsid w:val="000B01AC"/>
    <w:rsid w:val="000B1AC2"/>
    <w:rsid w:val="000B20A7"/>
    <w:rsid w:val="000B4EB0"/>
    <w:rsid w:val="000B734D"/>
    <w:rsid w:val="000C2796"/>
    <w:rsid w:val="000C33B8"/>
    <w:rsid w:val="000C5F2E"/>
    <w:rsid w:val="000C62D5"/>
    <w:rsid w:val="000D2B4C"/>
    <w:rsid w:val="000D466C"/>
    <w:rsid w:val="000D7303"/>
    <w:rsid w:val="000E141A"/>
    <w:rsid w:val="000E2101"/>
    <w:rsid w:val="000E2CA6"/>
    <w:rsid w:val="000E2F46"/>
    <w:rsid w:val="000E5BFE"/>
    <w:rsid w:val="000E602D"/>
    <w:rsid w:val="00100DFA"/>
    <w:rsid w:val="00102807"/>
    <w:rsid w:val="00102AD9"/>
    <w:rsid w:val="001111E3"/>
    <w:rsid w:val="00116180"/>
    <w:rsid w:val="00117B9A"/>
    <w:rsid w:val="00121EDD"/>
    <w:rsid w:val="0012289D"/>
    <w:rsid w:val="00122A1A"/>
    <w:rsid w:val="00123175"/>
    <w:rsid w:val="00123E6D"/>
    <w:rsid w:val="0013094D"/>
    <w:rsid w:val="001319C9"/>
    <w:rsid w:val="00134E87"/>
    <w:rsid w:val="001368B0"/>
    <w:rsid w:val="00137F11"/>
    <w:rsid w:val="00146D27"/>
    <w:rsid w:val="0015355A"/>
    <w:rsid w:val="001604EF"/>
    <w:rsid w:val="00161844"/>
    <w:rsid w:val="00161C23"/>
    <w:rsid w:val="00162838"/>
    <w:rsid w:val="00170ECA"/>
    <w:rsid w:val="00171C8C"/>
    <w:rsid w:val="001736DE"/>
    <w:rsid w:val="00173E19"/>
    <w:rsid w:val="00175831"/>
    <w:rsid w:val="001807B8"/>
    <w:rsid w:val="001808BE"/>
    <w:rsid w:val="00180B44"/>
    <w:rsid w:val="00180F93"/>
    <w:rsid w:val="001841EF"/>
    <w:rsid w:val="00185F45"/>
    <w:rsid w:val="001871B4"/>
    <w:rsid w:val="00193869"/>
    <w:rsid w:val="00193FD3"/>
    <w:rsid w:val="00195F28"/>
    <w:rsid w:val="00197997"/>
    <w:rsid w:val="001A123C"/>
    <w:rsid w:val="001A3A6C"/>
    <w:rsid w:val="001A3ED8"/>
    <w:rsid w:val="001B0789"/>
    <w:rsid w:val="001B3484"/>
    <w:rsid w:val="001B5459"/>
    <w:rsid w:val="001B7186"/>
    <w:rsid w:val="001C3620"/>
    <w:rsid w:val="001C52EB"/>
    <w:rsid w:val="001C5833"/>
    <w:rsid w:val="001D09F2"/>
    <w:rsid w:val="001D6B24"/>
    <w:rsid w:val="001E52B2"/>
    <w:rsid w:val="001E7D23"/>
    <w:rsid w:val="001F0799"/>
    <w:rsid w:val="001F2D53"/>
    <w:rsid w:val="001F4988"/>
    <w:rsid w:val="00201F75"/>
    <w:rsid w:val="00202C4C"/>
    <w:rsid w:val="00203CA6"/>
    <w:rsid w:val="00205E34"/>
    <w:rsid w:val="00207FD2"/>
    <w:rsid w:val="00215D7A"/>
    <w:rsid w:val="00216E2B"/>
    <w:rsid w:val="00217367"/>
    <w:rsid w:val="00217DBF"/>
    <w:rsid w:val="00220D6F"/>
    <w:rsid w:val="00221613"/>
    <w:rsid w:val="00221A76"/>
    <w:rsid w:val="00221B4B"/>
    <w:rsid w:val="00222153"/>
    <w:rsid w:val="00223F31"/>
    <w:rsid w:val="00224E69"/>
    <w:rsid w:val="00226548"/>
    <w:rsid w:val="00226ACB"/>
    <w:rsid w:val="002276F7"/>
    <w:rsid w:val="0022771B"/>
    <w:rsid w:val="0023304B"/>
    <w:rsid w:val="00235B10"/>
    <w:rsid w:val="00237D98"/>
    <w:rsid w:val="00250932"/>
    <w:rsid w:val="00260D0C"/>
    <w:rsid w:val="00262495"/>
    <w:rsid w:val="0026460E"/>
    <w:rsid w:val="00264670"/>
    <w:rsid w:val="00265148"/>
    <w:rsid w:val="00265B7A"/>
    <w:rsid w:val="00270DC0"/>
    <w:rsid w:val="00272808"/>
    <w:rsid w:val="00273DF8"/>
    <w:rsid w:val="00275A18"/>
    <w:rsid w:val="002802A0"/>
    <w:rsid w:val="00280C40"/>
    <w:rsid w:val="00284761"/>
    <w:rsid w:val="0029107C"/>
    <w:rsid w:val="00294F43"/>
    <w:rsid w:val="002A0D55"/>
    <w:rsid w:val="002A5CB8"/>
    <w:rsid w:val="002A714D"/>
    <w:rsid w:val="002A73DA"/>
    <w:rsid w:val="002A7886"/>
    <w:rsid w:val="002A7A55"/>
    <w:rsid w:val="002B0C63"/>
    <w:rsid w:val="002B2CF5"/>
    <w:rsid w:val="002B2D7D"/>
    <w:rsid w:val="002B3111"/>
    <w:rsid w:val="002B4ED9"/>
    <w:rsid w:val="002B58B6"/>
    <w:rsid w:val="002C1326"/>
    <w:rsid w:val="002C36ED"/>
    <w:rsid w:val="002C5E01"/>
    <w:rsid w:val="002C6AC4"/>
    <w:rsid w:val="002D380F"/>
    <w:rsid w:val="002D39E8"/>
    <w:rsid w:val="002D5B7C"/>
    <w:rsid w:val="002E13D3"/>
    <w:rsid w:val="002E16F3"/>
    <w:rsid w:val="002E37D5"/>
    <w:rsid w:val="002F283B"/>
    <w:rsid w:val="002F3CC8"/>
    <w:rsid w:val="002F473B"/>
    <w:rsid w:val="002F4874"/>
    <w:rsid w:val="002F4E72"/>
    <w:rsid w:val="002F4FBA"/>
    <w:rsid w:val="002F4FE7"/>
    <w:rsid w:val="002F5F44"/>
    <w:rsid w:val="002F714A"/>
    <w:rsid w:val="00303420"/>
    <w:rsid w:val="0030498E"/>
    <w:rsid w:val="00307E9E"/>
    <w:rsid w:val="0031214B"/>
    <w:rsid w:val="00313838"/>
    <w:rsid w:val="00313925"/>
    <w:rsid w:val="00314241"/>
    <w:rsid w:val="003156DF"/>
    <w:rsid w:val="00321DFD"/>
    <w:rsid w:val="0032208F"/>
    <w:rsid w:val="0032412A"/>
    <w:rsid w:val="00324489"/>
    <w:rsid w:val="00327050"/>
    <w:rsid w:val="00327D1C"/>
    <w:rsid w:val="00331502"/>
    <w:rsid w:val="003410C0"/>
    <w:rsid w:val="0034492F"/>
    <w:rsid w:val="0034696B"/>
    <w:rsid w:val="00354FE8"/>
    <w:rsid w:val="003550B3"/>
    <w:rsid w:val="0036025B"/>
    <w:rsid w:val="003633DA"/>
    <w:rsid w:val="00363DDD"/>
    <w:rsid w:val="00365451"/>
    <w:rsid w:val="00365C6C"/>
    <w:rsid w:val="00371EDE"/>
    <w:rsid w:val="00372C4D"/>
    <w:rsid w:val="003752C7"/>
    <w:rsid w:val="003757DB"/>
    <w:rsid w:val="003765B4"/>
    <w:rsid w:val="003800C8"/>
    <w:rsid w:val="00380CE2"/>
    <w:rsid w:val="00384E51"/>
    <w:rsid w:val="003874C3"/>
    <w:rsid w:val="00395A5B"/>
    <w:rsid w:val="003A36A6"/>
    <w:rsid w:val="003A5C30"/>
    <w:rsid w:val="003A5E5A"/>
    <w:rsid w:val="003A6806"/>
    <w:rsid w:val="003B0E3D"/>
    <w:rsid w:val="003C1FAF"/>
    <w:rsid w:val="003C2079"/>
    <w:rsid w:val="003C40D6"/>
    <w:rsid w:val="003C6698"/>
    <w:rsid w:val="003D11AB"/>
    <w:rsid w:val="003D1A7C"/>
    <w:rsid w:val="003D20EF"/>
    <w:rsid w:val="003D38C2"/>
    <w:rsid w:val="003D4F96"/>
    <w:rsid w:val="003D786D"/>
    <w:rsid w:val="003E09BB"/>
    <w:rsid w:val="003E1321"/>
    <w:rsid w:val="003E5C15"/>
    <w:rsid w:val="003F16DC"/>
    <w:rsid w:val="003F18F3"/>
    <w:rsid w:val="003F23EC"/>
    <w:rsid w:val="003F52C6"/>
    <w:rsid w:val="003F5B2A"/>
    <w:rsid w:val="003F7FF3"/>
    <w:rsid w:val="00402FA6"/>
    <w:rsid w:val="004065E9"/>
    <w:rsid w:val="004068B0"/>
    <w:rsid w:val="0040699F"/>
    <w:rsid w:val="00407EEB"/>
    <w:rsid w:val="00411AB7"/>
    <w:rsid w:val="00411C26"/>
    <w:rsid w:val="0041291D"/>
    <w:rsid w:val="00414223"/>
    <w:rsid w:val="00414307"/>
    <w:rsid w:val="00414CC5"/>
    <w:rsid w:val="00420374"/>
    <w:rsid w:val="00424B0E"/>
    <w:rsid w:val="004256A0"/>
    <w:rsid w:val="00425C78"/>
    <w:rsid w:val="00433FEF"/>
    <w:rsid w:val="00434327"/>
    <w:rsid w:val="00435230"/>
    <w:rsid w:val="004362BC"/>
    <w:rsid w:val="00441052"/>
    <w:rsid w:val="004423FA"/>
    <w:rsid w:val="00442D9E"/>
    <w:rsid w:val="004433F0"/>
    <w:rsid w:val="00444176"/>
    <w:rsid w:val="00456A78"/>
    <w:rsid w:val="00457EE1"/>
    <w:rsid w:val="00476E79"/>
    <w:rsid w:val="00480CC7"/>
    <w:rsid w:val="004831A1"/>
    <w:rsid w:val="004841ED"/>
    <w:rsid w:val="00494237"/>
    <w:rsid w:val="00494E81"/>
    <w:rsid w:val="00495B8C"/>
    <w:rsid w:val="00496436"/>
    <w:rsid w:val="004971F4"/>
    <w:rsid w:val="004A29D7"/>
    <w:rsid w:val="004A2BAF"/>
    <w:rsid w:val="004B0897"/>
    <w:rsid w:val="004B2959"/>
    <w:rsid w:val="004B2D32"/>
    <w:rsid w:val="004B42F4"/>
    <w:rsid w:val="004C0E79"/>
    <w:rsid w:val="004C289A"/>
    <w:rsid w:val="004C60D7"/>
    <w:rsid w:val="004C71B9"/>
    <w:rsid w:val="004C7D5F"/>
    <w:rsid w:val="004D1FAE"/>
    <w:rsid w:val="004D6766"/>
    <w:rsid w:val="004E0324"/>
    <w:rsid w:val="004E062E"/>
    <w:rsid w:val="004E0F61"/>
    <w:rsid w:val="004E216F"/>
    <w:rsid w:val="004E3E1E"/>
    <w:rsid w:val="004E53DE"/>
    <w:rsid w:val="004E6C0A"/>
    <w:rsid w:val="004E7605"/>
    <w:rsid w:val="004F1838"/>
    <w:rsid w:val="004F4833"/>
    <w:rsid w:val="004F4FBA"/>
    <w:rsid w:val="00506EE0"/>
    <w:rsid w:val="0050791C"/>
    <w:rsid w:val="005103E7"/>
    <w:rsid w:val="005122BC"/>
    <w:rsid w:val="005126C4"/>
    <w:rsid w:val="00514C6B"/>
    <w:rsid w:val="0052033F"/>
    <w:rsid w:val="00520920"/>
    <w:rsid w:val="0052181D"/>
    <w:rsid w:val="005218E5"/>
    <w:rsid w:val="005245D9"/>
    <w:rsid w:val="00527C32"/>
    <w:rsid w:val="00534C57"/>
    <w:rsid w:val="00535403"/>
    <w:rsid w:val="005410E2"/>
    <w:rsid w:val="005432C5"/>
    <w:rsid w:val="00543314"/>
    <w:rsid w:val="005460DC"/>
    <w:rsid w:val="00547740"/>
    <w:rsid w:val="00552857"/>
    <w:rsid w:val="005601EE"/>
    <w:rsid w:val="00561740"/>
    <w:rsid w:val="00563736"/>
    <w:rsid w:val="00566F3F"/>
    <w:rsid w:val="00576153"/>
    <w:rsid w:val="005813BC"/>
    <w:rsid w:val="00581964"/>
    <w:rsid w:val="00584A7C"/>
    <w:rsid w:val="00586BD5"/>
    <w:rsid w:val="00587F47"/>
    <w:rsid w:val="00593923"/>
    <w:rsid w:val="00593FD5"/>
    <w:rsid w:val="00595AED"/>
    <w:rsid w:val="005968C3"/>
    <w:rsid w:val="005A07FF"/>
    <w:rsid w:val="005A3D38"/>
    <w:rsid w:val="005B013B"/>
    <w:rsid w:val="005B0C08"/>
    <w:rsid w:val="005B0C28"/>
    <w:rsid w:val="005B32B9"/>
    <w:rsid w:val="005B5783"/>
    <w:rsid w:val="005C1472"/>
    <w:rsid w:val="005C2C5B"/>
    <w:rsid w:val="005C5344"/>
    <w:rsid w:val="005C76F0"/>
    <w:rsid w:val="005D4CE8"/>
    <w:rsid w:val="005E347F"/>
    <w:rsid w:val="005E380C"/>
    <w:rsid w:val="005E4B6D"/>
    <w:rsid w:val="005E5D1D"/>
    <w:rsid w:val="005E7D10"/>
    <w:rsid w:val="005F2D5A"/>
    <w:rsid w:val="005F31ED"/>
    <w:rsid w:val="005F4927"/>
    <w:rsid w:val="005F6D5E"/>
    <w:rsid w:val="005F7D49"/>
    <w:rsid w:val="00601E7D"/>
    <w:rsid w:val="0060408C"/>
    <w:rsid w:val="006127AD"/>
    <w:rsid w:val="00614FA8"/>
    <w:rsid w:val="00634596"/>
    <w:rsid w:val="006345C4"/>
    <w:rsid w:val="00635901"/>
    <w:rsid w:val="00637F6D"/>
    <w:rsid w:val="00640612"/>
    <w:rsid w:val="0064797E"/>
    <w:rsid w:val="006515E3"/>
    <w:rsid w:val="00653029"/>
    <w:rsid w:val="0065303E"/>
    <w:rsid w:val="0066105B"/>
    <w:rsid w:val="00663CF0"/>
    <w:rsid w:val="006661AD"/>
    <w:rsid w:val="00667F66"/>
    <w:rsid w:val="00670817"/>
    <w:rsid w:val="00671B02"/>
    <w:rsid w:val="00671C9B"/>
    <w:rsid w:val="00672F0E"/>
    <w:rsid w:val="00673383"/>
    <w:rsid w:val="00673D1A"/>
    <w:rsid w:val="006756A6"/>
    <w:rsid w:val="00677F24"/>
    <w:rsid w:val="00683AA1"/>
    <w:rsid w:val="00685511"/>
    <w:rsid w:val="00687253"/>
    <w:rsid w:val="00687F0F"/>
    <w:rsid w:val="0069229C"/>
    <w:rsid w:val="00695A8F"/>
    <w:rsid w:val="006968EE"/>
    <w:rsid w:val="006A350A"/>
    <w:rsid w:val="006B04DD"/>
    <w:rsid w:val="006B1FAE"/>
    <w:rsid w:val="006B46C1"/>
    <w:rsid w:val="006C1CEE"/>
    <w:rsid w:val="006C61AA"/>
    <w:rsid w:val="006C638B"/>
    <w:rsid w:val="006C638C"/>
    <w:rsid w:val="006C6E7C"/>
    <w:rsid w:val="006C7B2F"/>
    <w:rsid w:val="006C7FC0"/>
    <w:rsid w:val="006D02A7"/>
    <w:rsid w:val="006D192E"/>
    <w:rsid w:val="006D2640"/>
    <w:rsid w:val="006D6E0F"/>
    <w:rsid w:val="006D7453"/>
    <w:rsid w:val="006E04A1"/>
    <w:rsid w:val="006E08F0"/>
    <w:rsid w:val="006E38D9"/>
    <w:rsid w:val="006E5350"/>
    <w:rsid w:val="006F0441"/>
    <w:rsid w:val="006F1D89"/>
    <w:rsid w:val="00700EC3"/>
    <w:rsid w:val="0070198F"/>
    <w:rsid w:val="00702DF6"/>
    <w:rsid w:val="00702E97"/>
    <w:rsid w:val="00705AFB"/>
    <w:rsid w:val="0070723B"/>
    <w:rsid w:val="00713645"/>
    <w:rsid w:val="00714851"/>
    <w:rsid w:val="00715803"/>
    <w:rsid w:val="0071674E"/>
    <w:rsid w:val="00716A1F"/>
    <w:rsid w:val="00722A5B"/>
    <w:rsid w:val="007231E4"/>
    <w:rsid w:val="007243A3"/>
    <w:rsid w:val="00725D5D"/>
    <w:rsid w:val="0073234D"/>
    <w:rsid w:val="00733CD5"/>
    <w:rsid w:val="007372BC"/>
    <w:rsid w:val="007377F7"/>
    <w:rsid w:val="00741A2F"/>
    <w:rsid w:val="007468E4"/>
    <w:rsid w:val="007561D3"/>
    <w:rsid w:val="00757143"/>
    <w:rsid w:val="00763BA6"/>
    <w:rsid w:val="00766A72"/>
    <w:rsid w:val="0078097C"/>
    <w:rsid w:val="007824D6"/>
    <w:rsid w:val="007828F1"/>
    <w:rsid w:val="00783A3B"/>
    <w:rsid w:val="00785CD6"/>
    <w:rsid w:val="00786A56"/>
    <w:rsid w:val="00786C19"/>
    <w:rsid w:val="00787139"/>
    <w:rsid w:val="007912E7"/>
    <w:rsid w:val="00792F3B"/>
    <w:rsid w:val="0079433C"/>
    <w:rsid w:val="00796869"/>
    <w:rsid w:val="007A1628"/>
    <w:rsid w:val="007A3306"/>
    <w:rsid w:val="007A48F7"/>
    <w:rsid w:val="007A672A"/>
    <w:rsid w:val="007B2573"/>
    <w:rsid w:val="007B4971"/>
    <w:rsid w:val="007B55D9"/>
    <w:rsid w:val="007C3DCD"/>
    <w:rsid w:val="007C4317"/>
    <w:rsid w:val="007C461C"/>
    <w:rsid w:val="007C66A0"/>
    <w:rsid w:val="007D0191"/>
    <w:rsid w:val="007D4940"/>
    <w:rsid w:val="007D638C"/>
    <w:rsid w:val="007E0894"/>
    <w:rsid w:val="007E1114"/>
    <w:rsid w:val="007E3169"/>
    <w:rsid w:val="007E3AAB"/>
    <w:rsid w:val="007E5C4E"/>
    <w:rsid w:val="007E69B0"/>
    <w:rsid w:val="007F1074"/>
    <w:rsid w:val="007F14A2"/>
    <w:rsid w:val="007F3A2E"/>
    <w:rsid w:val="0080246A"/>
    <w:rsid w:val="00803DE7"/>
    <w:rsid w:val="0080444C"/>
    <w:rsid w:val="00807D75"/>
    <w:rsid w:val="00807E3F"/>
    <w:rsid w:val="0082109C"/>
    <w:rsid w:val="00821530"/>
    <w:rsid w:val="00821BB6"/>
    <w:rsid w:val="0082248E"/>
    <w:rsid w:val="00822D30"/>
    <w:rsid w:val="0083554A"/>
    <w:rsid w:val="00835608"/>
    <w:rsid w:val="008366BA"/>
    <w:rsid w:val="00840ED5"/>
    <w:rsid w:val="00841A33"/>
    <w:rsid w:val="0084216D"/>
    <w:rsid w:val="008423B3"/>
    <w:rsid w:val="00844A8A"/>
    <w:rsid w:val="008452D7"/>
    <w:rsid w:val="00845975"/>
    <w:rsid w:val="008521D9"/>
    <w:rsid w:val="00855CD6"/>
    <w:rsid w:val="008568BA"/>
    <w:rsid w:val="00860D07"/>
    <w:rsid w:val="00861B48"/>
    <w:rsid w:val="00865153"/>
    <w:rsid w:val="0087283C"/>
    <w:rsid w:val="008835DD"/>
    <w:rsid w:val="008850DE"/>
    <w:rsid w:val="00887DBE"/>
    <w:rsid w:val="00897A22"/>
    <w:rsid w:val="008A09B7"/>
    <w:rsid w:val="008A16C9"/>
    <w:rsid w:val="008A46D6"/>
    <w:rsid w:val="008A698E"/>
    <w:rsid w:val="008A6A29"/>
    <w:rsid w:val="008B112C"/>
    <w:rsid w:val="008B1B6B"/>
    <w:rsid w:val="008B3C07"/>
    <w:rsid w:val="008B776F"/>
    <w:rsid w:val="008D167C"/>
    <w:rsid w:val="008D2191"/>
    <w:rsid w:val="008D670D"/>
    <w:rsid w:val="008D75AD"/>
    <w:rsid w:val="008E0421"/>
    <w:rsid w:val="008E056F"/>
    <w:rsid w:val="008E3A3F"/>
    <w:rsid w:val="008E3B66"/>
    <w:rsid w:val="008E5FD1"/>
    <w:rsid w:val="008E7CFB"/>
    <w:rsid w:val="008F44DB"/>
    <w:rsid w:val="00901272"/>
    <w:rsid w:val="00902548"/>
    <w:rsid w:val="0090398C"/>
    <w:rsid w:val="00904817"/>
    <w:rsid w:val="00912137"/>
    <w:rsid w:val="0091583F"/>
    <w:rsid w:val="00922A24"/>
    <w:rsid w:val="009276B6"/>
    <w:rsid w:val="00930055"/>
    <w:rsid w:val="00933DE5"/>
    <w:rsid w:val="0093478A"/>
    <w:rsid w:val="0093495F"/>
    <w:rsid w:val="0093748F"/>
    <w:rsid w:val="009376F2"/>
    <w:rsid w:val="0093771C"/>
    <w:rsid w:val="00941178"/>
    <w:rsid w:val="009411C7"/>
    <w:rsid w:val="00942FC1"/>
    <w:rsid w:val="00947FB4"/>
    <w:rsid w:val="00950727"/>
    <w:rsid w:val="0095183B"/>
    <w:rsid w:val="00954615"/>
    <w:rsid w:val="009612FA"/>
    <w:rsid w:val="00961FB7"/>
    <w:rsid w:val="00962DD9"/>
    <w:rsid w:val="0096589F"/>
    <w:rsid w:val="00967278"/>
    <w:rsid w:val="00967C35"/>
    <w:rsid w:val="00967F85"/>
    <w:rsid w:val="0097281B"/>
    <w:rsid w:val="00975765"/>
    <w:rsid w:val="00976AF8"/>
    <w:rsid w:val="0098226B"/>
    <w:rsid w:val="00990CEA"/>
    <w:rsid w:val="00991F6A"/>
    <w:rsid w:val="0099509F"/>
    <w:rsid w:val="00995E55"/>
    <w:rsid w:val="009A2532"/>
    <w:rsid w:val="009A3A78"/>
    <w:rsid w:val="009A6608"/>
    <w:rsid w:val="009A67BF"/>
    <w:rsid w:val="009B113E"/>
    <w:rsid w:val="009B1BC2"/>
    <w:rsid w:val="009B4C7B"/>
    <w:rsid w:val="009B6E3F"/>
    <w:rsid w:val="009C246E"/>
    <w:rsid w:val="009C26CA"/>
    <w:rsid w:val="009C380C"/>
    <w:rsid w:val="009C4603"/>
    <w:rsid w:val="009D07AB"/>
    <w:rsid w:val="009D243A"/>
    <w:rsid w:val="009D7582"/>
    <w:rsid w:val="009E0273"/>
    <w:rsid w:val="009E39C5"/>
    <w:rsid w:val="009F1FE9"/>
    <w:rsid w:val="009F2243"/>
    <w:rsid w:val="009F27C8"/>
    <w:rsid w:val="009F671F"/>
    <w:rsid w:val="009F6738"/>
    <w:rsid w:val="009F7A83"/>
    <w:rsid w:val="00A013C6"/>
    <w:rsid w:val="00A01789"/>
    <w:rsid w:val="00A07E47"/>
    <w:rsid w:val="00A12B0A"/>
    <w:rsid w:val="00A16516"/>
    <w:rsid w:val="00A168B8"/>
    <w:rsid w:val="00A25CCB"/>
    <w:rsid w:val="00A25E41"/>
    <w:rsid w:val="00A409DA"/>
    <w:rsid w:val="00A44933"/>
    <w:rsid w:val="00A52841"/>
    <w:rsid w:val="00A53E93"/>
    <w:rsid w:val="00A541F1"/>
    <w:rsid w:val="00A57CEA"/>
    <w:rsid w:val="00A57EA8"/>
    <w:rsid w:val="00A62573"/>
    <w:rsid w:val="00A62A37"/>
    <w:rsid w:val="00A64994"/>
    <w:rsid w:val="00A656E3"/>
    <w:rsid w:val="00A67195"/>
    <w:rsid w:val="00A67D70"/>
    <w:rsid w:val="00A7055F"/>
    <w:rsid w:val="00A70881"/>
    <w:rsid w:val="00A72842"/>
    <w:rsid w:val="00A7359E"/>
    <w:rsid w:val="00A812D3"/>
    <w:rsid w:val="00A81D91"/>
    <w:rsid w:val="00A851C9"/>
    <w:rsid w:val="00A8790C"/>
    <w:rsid w:val="00A96715"/>
    <w:rsid w:val="00A96751"/>
    <w:rsid w:val="00A96BA1"/>
    <w:rsid w:val="00AA5C7C"/>
    <w:rsid w:val="00AA6B66"/>
    <w:rsid w:val="00AA73A3"/>
    <w:rsid w:val="00AB0057"/>
    <w:rsid w:val="00AB0EA1"/>
    <w:rsid w:val="00AB5B37"/>
    <w:rsid w:val="00AB77B7"/>
    <w:rsid w:val="00AC0BC8"/>
    <w:rsid w:val="00AC12FD"/>
    <w:rsid w:val="00AC34BD"/>
    <w:rsid w:val="00AC4188"/>
    <w:rsid w:val="00AC453D"/>
    <w:rsid w:val="00AC747B"/>
    <w:rsid w:val="00AD30C4"/>
    <w:rsid w:val="00AD3C44"/>
    <w:rsid w:val="00AD5F19"/>
    <w:rsid w:val="00AE07A5"/>
    <w:rsid w:val="00AE1D22"/>
    <w:rsid w:val="00AE620E"/>
    <w:rsid w:val="00AE73DB"/>
    <w:rsid w:val="00AF6126"/>
    <w:rsid w:val="00B05630"/>
    <w:rsid w:val="00B066F4"/>
    <w:rsid w:val="00B06B1B"/>
    <w:rsid w:val="00B11E25"/>
    <w:rsid w:val="00B123C0"/>
    <w:rsid w:val="00B123F5"/>
    <w:rsid w:val="00B12DEB"/>
    <w:rsid w:val="00B24FEC"/>
    <w:rsid w:val="00B257DC"/>
    <w:rsid w:val="00B25E36"/>
    <w:rsid w:val="00B324B6"/>
    <w:rsid w:val="00B367BB"/>
    <w:rsid w:val="00B371F4"/>
    <w:rsid w:val="00B37284"/>
    <w:rsid w:val="00B40ED0"/>
    <w:rsid w:val="00B46678"/>
    <w:rsid w:val="00B47326"/>
    <w:rsid w:val="00B477CE"/>
    <w:rsid w:val="00B479A1"/>
    <w:rsid w:val="00B50364"/>
    <w:rsid w:val="00B5056F"/>
    <w:rsid w:val="00B524C9"/>
    <w:rsid w:val="00B52817"/>
    <w:rsid w:val="00B570D9"/>
    <w:rsid w:val="00B575E7"/>
    <w:rsid w:val="00B610ED"/>
    <w:rsid w:val="00B61DCC"/>
    <w:rsid w:val="00B639F4"/>
    <w:rsid w:val="00B6452B"/>
    <w:rsid w:val="00B67EBC"/>
    <w:rsid w:val="00B72AE1"/>
    <w:rsid w:val="00B74434"/>
    <w:rsid w:val="00B75583"/>
    <w:rsid w:val="00B80C01"/>
    <w:rsid w:val="00B817BD"/>
    <w:rsid w:val="00B8683F"/>
    <w:rsid w:val="00B87054"/>
    <w:rsid w:val="00B91C8E"/>
    <w:rsid w:val="00B93BB6"/>
    <w:rsid w:val="00B93F78"/>
    <w:rsid w:val="00B95018"/>
    <w:rsid w:val="00B976E1"/>
    <w:rsid w:val="00BA3569"/>
    <w:rsid w:val="00BA5855"/>
    <w:rsid w:val="00BA5BAE"/>
    <w:rsid w:val="00BB2724"/>
    <w:rsid w:val="00BB757B"/>
    <w:rsid w:val="00BC1819"/>
    <w:rsid w:val="00BC7797"/>
    <w:rsid w:val="00BD19CE"/>
    <w:rsid w:val="00BD1E75"/>
    <w:rsid w:val="00BD362B"/>
    <w:rsid w:val="00BD586F"/>
    <w:rsid w:val="00BE0610"/>
    <w:rsid w:val="00BE43A2"/>
    <w:rsid w:val="00BE5689"/>
    <w:rsid w:val="00BE68E4"/>
    <w:rsid w:val="00BE7097"/>
    <w:rsid w:val="00BE7874"/>
    <w:rsid w:val="00BF1AA9"/>
    <w:rsid w:val="00BF2CAF"/>
    <w:rsid w:val="00BF330C"/>
    <w:rsid w:val="00C011D9"/>
    <w:rsid w:val="00C05B70"/>
    <w:rsid w:val="00C1054F"/>
    <w:rsid w:val="00C10B9E"/>
    <w:rsid w:val="00C12E3A"/>
    <w:rsid w:val="00C1453F"/>
    <w:rsid w:val="00C14C76"/>
    <w:rsid w:val="00C1650C"/>
    <w:rsid w:val="00C30BC4"/>
    <w:rsid w:val="00C310AF"/>
    <w:rsid w:val="00C332F9"/>
    <w:rsid w:val="00C34666"/>
    <w:rsid w:val="00C34B36"/>
    <w:rsid w:val="00C36988"/>
    <w:rsid w:val="00C445AE"/>
    <w:rsid w:val="00C465BB"/>
    <w:rsid w:val="00C47B86"/>
    <w:rsid w:val="00C47B87"/>
    <w:rsid w:val="00C47F3F"/>
    <w:rsid w:val="00C5094E"/>
    <w:rsid w:val="00C56219"/>
    <w:rsid w:val="00C7049C"/>
    <w:rsid w:val="00C706FA"/>
    <w:rsid w:val="00C7077E"/>
    <w:rsid w:val="00C70C82"/>
    <w:rsid w:val="00C72FC0"/>
    <w:rsid w:val="00C7364A"/>
    <w:rsid w:val="00C74E37"/>
    <w:rsid w:val="00C76952"/>
    <w:rsid w:val="00C76ADD"/>
    <w:rsid w:val="00C81BBF"/>
    <w:rsid w:val="00C84F5E"/>
    <w:rsid w:val="00C86AA0"/>
    <w:rsid w:val="00C92D30"/>
    <w:rsid w:val="00C934AE"/>
    <w:rsid w:val="00C95D26"/>
    <w:rsid w:val="00C9723B"/>
    <w:rsid w:val="00CA17A6"/>
    <w:rsid w:val="00CA22F4"/>
    <w:rsid w:val="00CB079B"/>
    <w:rsid w:val="00CB1C03"/>
    <w:rsid w:val="00CB2929"/>
    <w:rsid w:val="00CB34A6"/>
    <w:rsid w:val="00CB402F"/>
    <w:rsid w:val="00CD229A"/>
    <w:rsid w:val="00CD2F1E"/>
    <w:rsid w:val="00CD460F"/>
    <w:rsid w:val="00CD70BB"/>
    <w:rsid w:val="00CD789F"/>
    <w:rsid w:val="00CE04FA"/>
    <w:rsid w:val="00CE261B"/>
    <w:rsid w:val="00CE2933"/>
    <w:rsid w:val="00CE3F84"/>
    <w:rsid w:val="00CE470F"/>
    <w:rsid w:val="00CF0778"/>
    <w:rsid w:val="00CF2056"/>
    <w:rsid w:val="00CF2656"/>
    <w:rsid w:val="00CF3963"/>
    <w:rsid w:val="00CF558E"/>
    <w:rsid w:val="00CF6B1C"/>
    <w:rsid w:val="00D01B06"/>
    <w:rsid w:val="00D020BE"/>
    <w:rsid w:val="00D035A4"/>
    <w:rsid w:val="00D056C0"/>
    <w:rsid w:val="00D07D0C"/>
    <w:rsid w:val="00D10AEF"/>
    <w:rsid w:val="00D1112F"/>
    <w:rsid w:val="00D15767"/>
    <w:rsid w:val="00D2326B"/>
    <w:rsid w:val="00D25BD6"/>
    <w:rsid w:val="00D27F4C"/>
    <w:rsid w:val="00D306AF"/>
    <w:rsid w:val="00D3250A"/>
    <w:rsid w:val="00D3396B"/>
    <w:rsid w:val="00D33AEC"/>
    <w:rsid w:val="00D34A8F"/>
    <w:rsid w:val="00D34C69"/>
    <w:rsid w:val="00D35000"/>
    <w:rsid w:val="00D40C04"/>
    <w:rsid w:val="00D44835"/>
    <w:rsid w:val="00D55D8D"/>
    <w:rsid w:val="00D772EC"/>
    <w:rsid w:val="00D862FF"/>
    <w:rsid w:val="00D86751"/>
    <w:rsid w:val="00D874DD"/>
    <w:rsid w:val="00D90699"/>
    <w:rsid w:val="00D90F56"/>
    <w:rsid w:val="00D97D5A"/>
    <w:rsid w:val="00DA4587"/>
    <w:rsid w:val="00DA6383"/>
    <w:rsid w:val="00DB1C08"/>
    <w:rsid w:val="00DB22CB"/>
    <w:rsid w:val="00DB234D"/>
    <w:rsid w:val="00DB4218"/>
    <w:rsid w:val="00DB7F5C"/>
    <w:rsid w:val="00DC066C"/>
    <w:rsid w:val="00DC22F1"/>
    <w:rsid w:val="00DC2CF8"/>
    <w:rsid w:val="00DD0342"/>
    <w:rsid w:val="00DD2A91"/>
    <w:rsid w:val="00DD5F6A"/>
    <w:rsid w:val="00DE0E23"/>
    <w:rsid w:val="00DE0E77"/>
    <w:rsid w:val="00DE1C4F"/>
    <w:rsid w:val="00DE2622"/>
    <w:rsid w:val="00DE2C37"/>
    <w:rsid w:val="00DE393A"/>
    <w:rsid w:val="00DE56A3"/>
    <w:rsid w:val="00DF0C45"/>
    <w:rsid w:val="00DF2A38"/>
    <w:rsid w:val="00DF3F7F"/>
    <w:rsid w:val="00DF4A7F"/>
    <w:rsid w:val="00DF660D"/>
    <w:rsid w:val="00DF6E7B"/>
    <w:rsid w:val="00E004FC"/>
    <w:rsid w:val="00E01FF7"/>
    <w:rsid w:val="00E05CA9"/>
    <w:rsid w:val="00E07AC2"/>
    <w:rsid w:val="00E102DD"/>
    <w:rsid w:val="00E10331"/>
    <w:rsid w:val="00E10C24"/>
    <w:rsid w:val="00E10D03"/>
    <w:rsid w:val="00E13711"/>
    <w:rsid w:val="00E22D5E"/>
    <w:rsid w:val="00E247C6"/>
    <w:rsid w:val="00E248F3"/>
    <w:rsid w:val="00E24B4B"/>
    <w:rsid w:val="00E2567A"/>
    <w:rsid w:val="00E258D8"/>
    <w:rsid w:val="00E26D2C"/>
    <w:rsid w:val="00E27DF7"/>
    <w:rsid w:val="00E301CC"/>
    <w:rsid w:val="00E30461"/>
    <w:rsid w:val="00E30473"/>
    <w:rsid w:val="00E33838"/>
    <w:rsid w:val="00E33D09"/>
    <w:rsid w:val="00E36163"/>
    <w:rsid w:val="00E418D4"/>
    <w:rsid w:val="00E5032D"/>
    <w:rsid w:val="00E51846"/>
    <w:rsid w:val="00E54DAE"/>
    <w:rsid w:val="00E61A5E"/>
    <w:rsid w:val="00E628DD"/>
    <w:rsid w:val="00E64727"/>
    <w:rsid w:val="00E6685D"/>
    <w:rsid w:val="00E67B26"/>
    <w:rsid w:val="00E70E7A"/>
    <w:rsid w:val="00E76A55"/>
    <w:rsid w:val="00E80234"/>
    <w:rsid w:val="00E8109F"/>
    <w:rsid w:val="00E811A0"/>
    <w:rsid w:val="00E836B4"/>
    <w:rsid w:val="00E854BB"/>
    <w:rsid w:val="00E86734"/>
    <w:rsid w:val="00E943CC"/>
    <w:rsid w:val="00E94E71"/>
    <w:rsid w:val="00E94F44"/>
    <w:rsid w:val="00EA1C84"/>
    <w:rsid w:val="00EA2FBD"/>
    <w:rsid w:val="00EA3551"/>
    <w:rsid w:val="00EA3A0D"/>
    <w:rsid w:val="00EA468B"/>
    <w:rsid w:val="00EA6FD2"/>
    <w:rsid w:val="00EB55AD"/>
    <w:rsid w:val="00EB5762"/>
    <w:rsid w:val="00EB61CC"/>
    <w:rsid w:val="00EB6F48"/>
    <w:rsid w:val="00EB7769"/>
    <w:rsid w:val="00EC10C5"/>
    <w:rsid w:val="00EC54C1"/>
    <w:rsid w:val="00EC57BA"/>
    <w:rsid w:val="00EC66E1"/>
    <w:rsid w:val="00EC69C7"/>
    <w:rsid w:val="00ED31A4"/>
    <w:rsid w:val="00EE0AC6"/>
    <w:rsid w:val="00EE6C78"/>
    <w:rsid w:val="00EF0CD7"/>
    <w:rsid w:val="00EF1242"/>
    <w:rsid w:val="00EF5E2C"/>
    <w:rsid w:val="00EF6060"/>
    <w:rsid w:val="00EF796D"/>
    <w:rsid w:val="00F00430"/>
    <w:rsid w:val="00F014E5"/>
    <w:rsid w:val="00F07986"/>
    <w:rsid w:val="00F07DD4"/>
    <w:rsid w:val="00F14D26"/>
    <w:rsid w:val="00F16CFC"/>
    <w:rsid w:val="00F2069C"/>
    <w:rsid w:val="00F2423E"/>
    <w:rsid w:val="00F26522"/>
    <w:rsid w:val="00F31123"/>
    <w:rsid w:val="00F33957"/>
    <w:rsid w:val="00F355B9"/>
    <w:rsid w:val="00F36A21"/>
    <w:rsid w:val="00F465CF"/>
    <w:rsid w:val="00F47723"/>
    <w:rsid w:val="00F527BB"/>
    <w:rsid w:val="00F5308D"/>
    <w:rsid w:val="00F57355"/>
    <w:rsid w:val="00F6031D"/>
    <w:rsid w:val="00F617AD"/>
    <w:rsid w:val="00F63381"/>
    <w:rsid w:val="00F65D73"/>
    <w:rsid w:val="00F71811"/>
    <w:rsid w:val="00F71D7A"/>
    <w:rsid w:val="00F75981"/>
    <w:rsid w:val="00F81227"/>
    <w:rsid w:val="00F813DB"/>
    <w:rsid w:val="00F85F41"/>
    <w:rsid w:val="00F8799E"/>
    <w:rsid w:val="00F879EF"/>
    <w:rsid w:val="00F90A8D"/>
    <w:rsid w:val="00F938A7"/>
    <w:rsid w:val="00F9501F"/>
    <w:rsid w:val="00FA2D7F"/>
    <w:rsid w:val="00FA40A9"/>
    <w:rsid w:val="00FA5177"/>
    <w:rsid w:val="00FA6080"/>
    <w:rsid w:val="00FA67C0"/>
    <w:rsid w:val="00FA6F4F"/>
    <w:rsid w:val="00FA716E"/>
    <w:rsid w:val="00FB03CD"/>
    <w:rsid w:val="00FB38B9"/>
    <w:rsid w:val="00FC34A2"/>
    <w:rsid w:val="00FC35B7"/>
    <w:rsid w:val="00FC7FED"/>
    <w:rsid w:val="00FD4CCA"/>
    <w:rsid w:val="00FD50DA"/>
    <w:rsid w:val="00FE12EC"/>
    <w:rsid w:val="00FE6D29"/>
    <w:rsid w:val="00FE7164"/>
    <w:rsid w:val="00FF4099"/>
    <w:rsid w:val="00FF4260"/>
    <w:rsid w:val="00FF42A7"/>
    <w:rsid w:val="00FF6355"/>
    <w:rsid w:val="00FF6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89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1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33D09"/>
    <w:rPr>
      <w:color w:val="0000FF"/>
      <w:u w:val="single"/>
    </w:rPr>
  </w:style>
  <w:style w:type="paragraph" w:styleId="Header">
    <w:name w:val="header"/>
    <w:basedOn w:val="Normal"/>
    <w:rsid w:val="003E1321"/>
    <w:pPr>
      <w:tabs>
        <w:tab w:val="center" w:pos="4320"/>
        <w:tab w:val="right" w:pos="8640"/>
      </w:tabs>
    </w:pPr>
  </w:style>
  <w:style w:type="paragraph" w:styleId="Footer">
    <w:name w:val="footer"/>
    <w:basedOn w:val="Normal"/>
    <w:link w:val="FooterChar"/>
    <w:uiPriority w:val="99"/>
    <w:rsid w:val="003E1321"/>
    <w:pPr>
      <w:tabs>
        <w:tab w:val="center" w:pos="4320"/>
        <w:tab w:val="right" w:pos="8640"/>
      </w:tabs>
    </w:pPr>
  </w:style>
  <w:style w:type="character" w:styleId="CommentReference">
    <w:name w:val="annotation reference"/>
    <w:basedOn w:val="DefaultParagraphFont"/>
    <w:semiHidden/>
    <w:rsid w:val="00B324B6"/>
    <w:rPr>
      <w:sz w:val="16"/>
      <w:szCs w:val="16"/>
    </w:rPr>
  </w:style>
  <w:style w:type="paragraph" w:styleId="CommentText">
    <w:name w:val="annotation text"/>
    <w:basedOn w:val="Normal"/>
    <w:semiHidden/>
    <w:rsid w:val="00B324B6"/>
    <w:rPr>
      <w:sz w:val="20"/>
      <w:szCs w:val="20"/>
    </w:rPr>
  </w:style>
  <w:style w:type="paragraph" w:styleId="CommentSubject">
    <w:name w:val="annotation subject"/>
    <w:basedOn w:val="CommentText"/>
    <w:next w:val="CommentText"/>
    <w:link w:val="CommentSubjectChar"/>
    <w:uiPriority w:val="99"/>
    <w:semiHidden/>
    <w:rsid w:val="00B324B6"/>
    <w:rPr>
      <w:b/>
      <w:bCs/>
    </w:rPr>
  </w:style>
  <w:style w:type="paragraph" w:styleId="BalloonText">
    <w:name w:val="Balloon Text"/>
    <w:basedOn w:val="Normal"/>
    <w:semiHidden/>
    <w:rsid w:val="00B324B6"/>
    <w:rPr>
      <w:rFonts w:ascii="Tahoma" w:hAnsi="Tahoma" w:cs="Tahoma"/>
      <w:sz w:val="16"/>
      <w:szCs w:val="16"/>
    </w:rPr>
  </w:style>
  <w:style w:type="character" w:styleId="FollowedHyperlink">
    <w:name w:val="FollowedHyperlink"/>
    <w:basedOn w:val="DefaultParagraphFont"/>
    <w:rsid w:val="004423FA"/>
    <w:rPr>
      <w:color w:val="800080"/>
      <w:u w:val="single"/>
    </w:rPr>
  </w:style>
  <w:style w:type="character" w:styleId="PageNumber">
    <w:name w:val="page number"/>
    <w:basedOn w:val="DefaultParagraphFont"/>
    <w:rsid w:val="00AC0BC8"/>
  </w:style>
  <w:style w:type="paragraph" w:customStyle="1" w:styleId="Default">
    <w:name w:val="Default"/>
    <w:rsid w:val="00FA67C0"/>
    <w:pPr>
      <w:autoSpaceDE w:val="0"/>
      <w:autoSpaceDN w:val="0"/>
      <w:adjustRightInd w:val="0"/>
    </w:pPr>
    <w:rPr>
      <w:rFonts w:ascii="Arial" w:eastAsiaTheme="minorHAnsi" w:hAnsi="Arial" w:cs="Arial"/>
      <w:color w:val="000000"/>
      <w:sz w:val="24"/>
      <w:szCs w:val="24"/>
    </w:rPr>
  </w:style>
  <w:style w:type="paragraph" w:customStyle="1" w:styleId="Style2">
    <w:name w:val="Style2"/>
    <w:basedOn w:val="Normal"/>
    <w:autoRedefine/>
    <w:rsid w:val="008568BA"/>
    <w:pPr>
      <w:jc w:val="center"/>
    </w:pPr>
    <w:rPr>
      <w:szCs w:val="22"/>
    </w:rPr>
  </w:style>
  <w:style w:type="character" w:customStyle="1" w:styleId="CommentSubjectChar">
    <w:name w:val="Comment Subject Char"/>
    <w:basedOn w:val="DefaultParagraphFont"/>
    <w:link w:val="CommentSubject"/>
    <w:uiPriority w:val="99"/>
    <w:semiHidden/>
    <w:rsid w:val="00547740"/>
    <w:rPr>
      <w:rFonts w:ascii="Arial" w:hAnsi="Arial"/>
      <w:b/>
      <w:bCs/>
    </w:rPr>
  </w:style>
  <w:style w:type="table" w:styleId="TableElegant">
    <w:name w:val="Table Elegant"/>
    <w:basedOn w:val="TableNormal"/>
    <w:rsid w:val="002F4874"/>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basedOn w:val="Normal"/>
    <w:semiHidden/>
    <w:rsid w:val="00A67195"/>
    <w:rPr>
      <w:sz w:val="20"/>
      <w:szCs w:val="20"/>
    </w:rPr>
  </w:style>
  <w:style w:type="character" w:styleId="FootnoteReference">
    <w:name w:val="footnote reference"/>
    <w:basedOn w:val="DefaultParagraphFont"/>
    <w:semiHidden/>
    <w:rsid w:val="00A67195"/>
    <w:rPr>
      <w:vertAlign w:val="superscript"/>
    </w:rPr>
  </w:style>
  <w:style w:type="paragraph" w:customStyle="1" w:styleId="Level1">
    <w:name w:val="Level 1"/>
    <w:basedOn w:val="Normal"/>
    <w:rsid w:val="007A672A"/>
    <w:pPr>
      <w:widowControl w:val="0"/>
      <w:numPr>
        <w:numId w:val="2"/>
      </w:numPr>
      <w:autoSpaceDE w:val="0"/>
      <w:autoSpaceDN w:val="0"/>
      <w:adjustRightInd w:val="0"/>
      <w:ind w:left="835" w:hanging="591"/>
      <w:outlineLvl w:val="0"/>
    </w:pPr>
    <w:rPr>
      <w:rFonts w:ascii="Times New Roman" w:hAnsi="Times New Roman"/>
    </w:rPr>
  </w:style>
  <w:style w:type="paragraph" w:styleId="ListParagraph">
    <w:name w:val="List Paragraph"/>
    <w:basedOn w:val="Normal"/>
    <w:uiPriority w:val="34"/>
    <w:qFormat/>
    <w:rsid w:val="00C7364A"/>
    <w:pPr>
      <w:ind w:left="720"/>
      <w:contextualSpacing/>
    </w:pPr>
  </w:style>
  <w:style w:type="character" w:customStyle="1" w:styleId="outputtext">
    <w:name w:val="outputtext"/>
    <w:basedOn w:val="DefaultParagraphFont"/>
    <w:rsid w:val="0008160B"/>
  </w:style>
  <w:style w:type="character" w:customStyle="1" w:styleId="FooterChar">
    <w:name w:val="Footer Char"/>
    <w:basedOn w:val="DefaultParagraphFont"/>
    <w:link w:val="Footer"/>
    <w:uiPriority w:val="99"/>
    <w:rsid w:val="00170EC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59137328">
      <w:bodyDiv w:val="1"/>
      <w:marLeft w:val="0"/>
      <w:marRight w:val="0"/>
      <w:marTop w:val="0"/>
      <w:marBottom w:val="0"/>
      <w:divBdr>
        <w:top w:val="none" w:sz="0" w:space="0" w:color="auto"/>
        <w:left w:val="none" w:sz="0" w:space="0" w:color="auto"/>
        <w:bottom w:val="none" w:sz="0" w:space="0" w:color="auto"/>
        <w:right w:val="none" w:sz="0" w:space="0" w:color="auto"/>
      </w:divBdr>
    </w:div>
    <w:div w:id="1215119829">
      <w:bodyDiv w:val="1"/>
      <w:marLeft w:val="0"/>
      <w:marRight w:val="0"/>
      <w:marTop w:val="0"/>
      <w:marBottom w:val="0"/>
      <w:divBdr>
        <w:top w:val="none" w:sz="0" w:space="0" w:color="auto"/>
        <w:left w:val="none" w:sz="0" w:space="0" w:color="auto"/>
        <w:bottom w:val="none" w:sz="0" w:space="0" w:color="auto"/>
        <w:right w:val="none" w:sz="0" w:space="0" w:color="auto"/>
      </w:divBdr>
    </w:div>
    <w:div w:id="1453590312">
      <w:bodyDiv w:val="1"/>
      <w:marLeft w:val="0"/>
      <w:marRight w:val="0"/>
      <w:marTop w:val="0"/>
      <w:marBottom w:val="0"/>
      <w:divBdr>
        <w:top w:val="none" w:sz="0" w:space="0" w:color="auto"/>
        <w:left w:val="none" w:sz="0" w:space="0" w:color="auto"/>
        <w:bottom w:val="none" w:sz="0" w:space="0" w:color="auto"/>
        <w:right w:val="none" w:sz="0" w:space="0" w:color="auto"/>
      </w:divBdr>
    </w:div>
    <w:div w:id="14990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adupws.nrc.gov/docs/ML0813/ML081360529.pdf" TargetMode="External"/><Relationship Id="rId18" Type="http://schemas.openxmlformats.org/officeDocument/2006/relationships/hyperlink" Target="http://pbadupws.nrc.gov/docs/ML1121/ML112170246.pdf" TargetMode="External"/><Relationship Id="rId26" Type="http://schemas.openxmlformats.org/officeDocument/2006/relationships/hyperlink" Target="mailto:Jeremy.Bowen@nrc.gov" TargetMode="External"/><Relationship Id="rId3" Type="http://schemas.openxmlformats.org/officeDocument/2006/relationships/styles" Target="styles.xml"/><Relationship Id="rId21" Type="http://schemas.openxmlformats.org/officeDocument/2006/relationships/hyperlink" Target="http://pbadupws.nrc.gov/docs/ML1112/ML111250473.pdf"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nrc.gov/reading-rm/doc-collections/insp-manual/inspection-procedure/index.html" TargetMode="External"/><Relationship Id="rId17" Type="http://schemas.openxmlformats.org/officeDocument/2006/relationships/hyperlink" Target="http://pbadupws.nrc.gov/docs/ML1120/ML11209B290.pdf" TargetMode="External"/><Relationship Id="rId25" Type="http://schemas.openxmlformats.org/officeDocument/2006/relationships/hyperlink" Target="mailto:John.Thompson@nrc.gov"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nrc.gov/NRR/OVERSIGHT/ASSESS/REPORTS/rbs_2005005.pdf" TargetMode="External"/><Relationship Id="rId20" Type="http://schemas.openxmlformats.org/officeDocument/2006/relationships/hyperlink" Target="http://pbadupws.nrc.gov/docs/ML0912/ML091270824.pdf" TargetMode="External"/><Relationship Id="rId29" Type="http://schemas.openxmlformats.org/officeDocument/2006/relationships/hyperlink" Target="https://nrodrp.nrc.gov/idmws/ViewDocByAccession.asp?AccessionNumber=ML12003A0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adupws.nrc.gov/docs/ML0813/ML081360529.pdf" TargetMode="External"/><Relationship Id="rId24" Type="http://schemas.openxmlformats.org/officeDocument/2006/relationships/hyperlink" Target="mailto:Shaun.Anderson@nrc.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c.gov/reading-rm/doc-collections/gen-comm/info-notices/1997/in97078.html" TargetMode="External"/><Relationship Id="rId23" Type="http://schemas.openxmlformats.org/officeDocument/2006/relationships/hyperlink" Target="mailto:Gerald.Waig@nrc.gov" TargetMode="External"/><Relationship Id="rId28" Type="http://schemas.openxmlformats.org/officeDocument/2006/relationships/footer" Target="footer2.xml"/><Relationship Id="rId10" Type="http://schemas.openxmlformats.org/officeDocument/2006/relationships/hyperlink" Target="http://pbadupws.nrc.gov/docs/ML0813/ML081360529.pdf" TargetMode="External"/><Relationship Id="rId19" Type="http://schemas.openxmlformats.org/officeDocument/2006/relationships/hyperlink" Target="http://pbadupws.nrc.gov/docs/ML1120/ML112092393.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badupws.nrc.gov/docs/ML0813/ML081360529.pdf" TargetMode="External"/><Relationship Id="rId14" Type="http://schemas.openxmlformats.org/officeDocument/2006/relationships/hyperlink" Target="http://pbadupws.nrc.gov/docs/ML0734/ML073440103.pdf" TargetMode="External"/><Relationship Id="rId22" Type="http://schemas.openxmlformats.org/officeDocument/2006/relationships/hyperlink" Target="http://pbadupws.nrc.gov/docs/ML1112/ML112092630.pdf"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pbadupws.nrc.gov/docs/ML0813/ML0813605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3969A-5703-4211-A9BE-A84F25271F5A}">
  <ds:schemaRefs>
    <ds:schemaRef ds:uri="http://schemas.openxmlformats.org/officeDocument/2006/bibliography"/>
  </ds:schemaRefs>
</ds:datastoreItem>
</file>

<file path=customXml/itemProps2.xml><?xml version="1.0" encoding="utf-8"?>
<ds:datastoreItem xmlns:ds="http://schemas.openxmlformats.org/officeDocument/2006/customXml" ds:itemID="{CAB53BA3-C8F9-4084-BA3D-8526015C123B}"/>
</file>

<file path=customXml/itemProps3.xml><?xml version="1.0" encoding="utf-8"?>
<ds:datastoreItem xmlns:ds="http://schemas.openxmlformats.org/officeDocument/2006/customXml" ds:itemID="{F82E84FD-8939-491F-8D46-9A3071FF803F}"/>
</file>

<file path=docProps/app.xml><?xml version="1.0" encoding="utf-8"?>
<Properties xmlns="http://schemas.openxmlformats.org/officeDocument/2006/extended-properties" xmlns:vt="http://schemas.openxmlformats.org/officeDocument/2006/docPropsVTypes">
  <Template>Normal.dotm</Template>
  <TotalTime>9</TotalTime>
  <Pages>7</Pages>
  <Words>2309</Words>
  <Characters>15198</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Question 1: Does the continuous rating of the emergency diesel generators (EDGs) bound the design post accident load profiles for the EDGs</vt:lpstr>
    </vt:vector>
  </TitlesOfParts>
  <Company>USNRC</Company>
  <LinksUpToDate>false</LinksUpToDate>
  <CharactersWithSpaces>17473</CharactersWithSpaces>
  <SharedDoc>false</SharedDoc>
  <HLinks>
    <vt:vector size="48" baseType="variant">
      <vt:variant>
        <vt:i4>4456573</vt:i4>
      </vt:variant>
      <vt:variant>
        <vt:i4>21</vt:i4>
      </vt:variant>
      <vt:variant>
        <vt:i4>0</vt:i4>
      </vt:variant>
      <vt:variant>
        <vt:i4>5</vt:i4>
      </vt:variant>
      <vt:variant>
        <vt:lpwstr>http://adamswebsearch2.nrc.gov/idmws/doccontent.dll?library=PU_ADAMS%5ePBNTAD01&amp;ID=091420087</vt:lpwstr>
      </vt:variant>
      <vt:variant>
        <vt:lpwstr/>
      </vt:variant>
      <vt:variant>
        <vt:i4>4391024</vt:i4>
      </vt:variant>
      <vt:variant>
        <vt:i4>18</vt:i4>
      </vt:variant>
      <vt:variant>
        <vt:i4>0</vt:i4>
      </vt:variant>
      <vt:variant>
        <vt:i4>5</vt:i4>
      </vt:variant>
      <vt:variant>
        <vt:lpwstr>http://adamswebsearch2.nrc.gov/idmws/doccontent.dll?library=PU_ADAMS%5ePBNTAD01&amp;ID=071840076</vt:lpwstr>
      </vt:variant>
      <vt:variant>
        <vt:lpwstr/>
      </vt:variant>
      <vt:variant>
        <vt:i4>5111935</vt:i4>
      </vt:variant>
      <vt:variant>
        <vt:i4>15</vt:i4>
      </vt:variant>
      <vt:variant>
        <vt:i4>0</vt:i4>
      </vt:variant>
      <vt:variant>
        <vt:i4>5</vt:i4>
      </vt:variant>
      <vt:variant>
        <vt:lpwstr>http://adamswebsearch2.nrc.gov/idmws/doccontent.dll?library=PU_ADAMS%5ePBNTAD01&amp;ID=091770199</vt:lpwstr>
      </vt:variant>
      <vt:variant>
        <vt:lpwstr/>
      </vt:variant>
      <vt:variant>
        <vt:i4>6029386</vt:i4>
      </vt:variant>
      <vt:variant>
        <vt:i4>12</vt:i4>
      </vt:variant>
      <vt:variant>
        <vt:i4>0</vt:i4>
      </vt:variant>
      <vt:variant>
        <vt:i4>5</vt:i4>
      </vt:variant>
      <vt:variant>
        <vt:lpwstr>http://www.nrc.gov/reading-rm/doc-collections/nuregs/staff/sr1852/sr1852.pdf</vt:lpwstr>
      </vt:variant>
      <vt:variant>
        <vt:lpwstr/>
      </vt:variant>
      <vt:variant>
        <vt:i4>4653177</vt:i4>
      </vt:variant>
      <vt:variant>
        <vt:i4>9</vt:i4>
      </vt:variant>
      <vt:variant>
        <vt:i4>0</vt:i4>
      </vt:variant>
      <vt:variant>
        <vt:i4>5</vt:i4>
      </vt:variant>
      <vt:variant>
        <vt:lpwstr>http://adamswebsearch2.nrc.gov/idmws/doccontent.dll?library=PU_ADAMS%5ePBNTAD01&amp;ID=093000185</vt:lpwstr>
      </vt:variant>
      <vt:variant>
        <vt:lpwstr/>
      </vt:variant>
      <vt:variant>
        <vt:i4>4194338</vt:i4>
      </vt:variant>
      <vt:variant>
        <vt:i4>6</vt:i4>
      </vt:variant>
      <vt:variant>
        <vt:i4>0</vt:i4>
      </vt:variant>
      <vt:variant>
        <vt:i4>5</vt:i4>
      </vt:variant>
      <vt:variant>
        <vt:lpwstr>mailto:Jeremy.Bowen@nrc.gov</vt:lpwstr>
      </vt:variant>
      <vt:variant>
        <vt:lpwstr/>
      </vt:variant>
      <vt:variant>
        <vt:i4>2490450</vt:i4>
      </vt:variant>
      <vt:variant>
        <vt:i4>3</vt:i4>
      </vt:variant>
      <vt:variant>
        <vt:i4>0</vt:i4>
      </vt:variant>
      <vt:variant>
        <vt:i4>5</vt:i4>
      </vt:variant>
      <vt:variant>
        <vt:lpwstr>mailto:Daniel.Frumkin@nrc.gov</vt:lpwstr>
      </vt:variant>
      <vt:variant>
        <vt:lpwstr/>
      </vt:variant>
      <vt:variant>
        <vt:i4>2490450</vt:i4>
      </vt:variant>
      <vt:variant>
        <vt:i4>0</vt:i4>
      </vt:variant>
      <vt:variant>
        <vt:i4>0</vt:i4>
      </vt:variant>
      <vt:variant>
        <vt:i4>5</vt:i4>
      </vt:variant>
      <vt:variant>
        <vt:lpwstr>mailto:Daniel.Frumkin@nrc.gov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 Does the continuous rating of the emergency diesel generators (EDGs) bound the design post accident load profiles for the EDGs</dc:title>
  <dc:subject/>
  <dc:creator>alk1</dc:creator>
  <cp:keywords/>
  <dc:description/>
  <cp:lastModifiedBy>CJW4</cp:lastModifiedBy>
  <cp:revision>5</cp:revision>
  <cp:lastPrinted>2012-03-08T20:50:00Z</cp:lastPrinted>
  <dcterms:created xsi:type="dcterms:W3CDTF">2012-05-21T14:02:00Z</dcterms:created>
  <dcterms:modified xsi:type="dcterms:W3CDTF">2012-05-21T14:04:00Z</dcterms:modified>
</cp:coreProperties>
</file>