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0C4" w:rsidRPr="00FF6355" w:rsidRDefault="00DB4218" w:rsidP="00950727">
      <w:r w:rsidRPr="00FF6355">
        <w:tab/>
      </w:r>
      <w:r w:rsidR="003C6698" w:rsidRPr="00FF6355">
        <w:tab/>
      </w:r>
      <w:r w:rsidR="003C6698" w:rsidRPr="00FF6355">
        <w:tab/>
      </w:r>
      <w:r w:rsidR="003C6698" w:rsidRPr="0096589F">
        <w:rPr>
          <w:b/>
          <w:bCs/>
          <w:sz w:val="38"/>
        </w:rPr>
        <w:t xml:space="preserve">   </w:t>
      </w:r>
      <w:r w:rsidR="00FA716E" w:rsidRPr="0096589F">
        <w:rPr>
          <w:b/>
          <w:sz w:val="38"/>
          <w:szCs w:val="38"/>
        </w:rPr>
        <w:t>NRC INSPECTION MANUAL</w:t>
      </w:r>
      <w:r w:rsidRPr="00FF6355">
        <w:t xml:space="preserve"> </w:t>
      </w:r>
      <w:r w:rsidR="00FA716E" w:rsidRPr="00FF6355">
        <w:tab/>
      </w:r>
      <w:r w:rsidR="003C6698" w:rsidRPr="00FF6355">
        <w:t xml:space="preserve">                        </w:t>
      </w:r>
      <w:r w:rsidR="00380CE2">
        <w:t>IOEB</w:t>
      </w:r>
    </w:p>
    <w:tbl>
      <w:tblPr>
        <w:tblStyle w:val="TableGrid"/>
        <w:tblW w:w="9360" w:type="dxa"/>
        <w:tblInd w:w="10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1E0"/>
      </w:tblPr>
      <w:tblGrid>
        <w:gridCol w:w="9360"/>
      </w:tblGrid>
      <w:tr w:rsidR="00AD30C4" w:rsidRPr="00AD30C4" w:rsidTr="004256A0">
        <w:trPr>
          <w:trHeight w:val="234"/>
        </w:trPr>
        <w:tc>
          <w:tcPr>
            <w:tcW w:w="9360" w:type="dxa"/>
            <w:tcBorders>
              <w:top w:val="single" w:sz="18" w:space="0" w:color="auto"/>
              <w:bottom w:val="single" w:sz="18" w:space="0" w:color="auto"/>
            </w:tcBorders>
            <w:vAlign w:val="center"/>
          </w:tcPr>
          <w:p w:rsidR="00AD30C4" w:rsidRPr="00FF6355" w:rsidRDefault="00380CE2" w:rsidP="00BE43A2">
            <w:pPr>
              <w:jc w:val="center"/>
            </w:pPr>
            <w:r>
              <w:t>O</w:t>
            </w:r>
            <w:r w:rsidR="00BE43A2">
              <w:t>PERATING EXPERIENCE SMART SAMPLE (</w:t>
            </w:r>
            <w:proofErr w:type="spellStart"/>
            <w:r w:rsidR="00BE43A2">
              <w:t>OpESS</w:t>
            </w:r>
            <w:proofErr w:type="spellEnd"/>
            <w:r w:rsidR="00BE43A2">
              <w:t>)</w:t>
            </w:r>
            <w:r>
              <w:t xml:space="preserve"> 201</w:t>
            </w:r>
            <w:r w:rsidR="00BE43A2">
              <w:t>2/01</w:t>
            </w:r>
          </w:p>
        </w:tc>
      </w:tr>
    </w:tbl>
    <w:p w:rsidR="00AD30C4" w:rsidRPr="00FF6355" w:rsidRDefault="00AD30C4" w:rsidP="00950727"/>
    <w:p w:rsidR="00AD30C4" w:rsidRPr="00FF6355" w:rsidRDefault="00AD30C4" w:rsidP="00950727"/>
    <w:p w:rsidR="0064797E" w:rsidRDefault="008C115E" w:rsidP="0096589F">
      <w:pPr>
        <w:jc w:val="center"/>
      </w:pPr>
      <w:r>
        <w:t xml:space="preserve">HIGH WIND GENERATED </w:t>
      </w:r>
      <w:r w:rsidR="00380CE2">
        <w:t>MISS</w:t>
      </w:r>
      <w:r w:rsidR="00B531D9">
        <w:t>I</w:t>
      </w:r>
      <w:r w:rsidR="00380CE2">
        <w:t>LE HAZARDS</w:t>
      </w:r>
    </w:p>
    <w:p w:rsidR="00B342AD" w:rsidRPr="00FF6355" w:rsidRDefault="00B342AD" w:rsidP="0096589F">
      <w:pPr>
        <w:jc w:val="center"/>
      </w:pPr>
      <w:r>
        <w:t>(REDACTED VERSION)</w:t>
      </w:r>
    </w:p>
    <w:p w:rsidR="008568BA" w:rsidRPr="00FF6355" w:rsidRDefault="008568BA" w:rsidP="00950727"/>
    <w:p w:rsidR="004256A0" w:rsidRPr="00FF6355" w:rsidRDefault="004256A0" w:rsidP="00950727"/>
    <w:p w:rsidR="00BE43A2" w:rsidRDefault="00CD789F" w:rsidP="00950727">
      <w:r w:rsidRPr="00FF6355">
        <w:t>CORNERSTONE:</w:t>
      </w:r>
      <w:r w:rsidRPr="00FF6355">
        <w:tab/>
      </w:r>
      <w:r w:rsidR="00BE43A2">
        <w:tab/>
        <w:t>INITIATING EVENTS</w:t>
      </w:r>
    </w:p>
    <w:p w:rsidR="00372C4D" w:rsidRPr="00FF6355" w:rsidRDefault="00BE43A2" w:rsidP="00950727">
      <w:r>
        <w:tab/>
      </w:r>
      <w:r>
        <w:tab/>
      </w:r>
      <w:r>
        <w:tab/>
      </w:r>
      <w:r>
        <w:tab/>
      </w:r>
      <w:r w:rsidR="00CD789F" w:rsidRPr="00FF6355">
        <w:t>MITIGATING SYSTEMS</w:t>
      </w:r>
    </w:p>
    <w:p w:rsidR="00566F3F" w:rsidRPr="00FF6355" w:rsidRDefault="00566F3F" w:rsidP="00950727"/>
    <w:p w:rsidR="009E39C5" w:rsidRPr="00FF6355" w:rsidRDefault="009E39C5" w:rsidP="00950727"/>
    <w:p w:rsidR="00BE43A2" w:rsidRDefault="00BE43A2" w:rsidP="00950727">
      <w:proofErr w:type="spellStart"/>
      <w:r>
        <w:t>OpESS</w:t>
      </w:r>
      <w:proofErr w:type="spellEnd"/>
      <w:r>
        <w:t xml:space="preserve"> 2012</w:t>
      </w:r>
      <w:r w:rsidRPr="00FF6355">
        <w:t>/</w:t>
      </w:r>
      <w:r>
        <w:t>0</w:t>
      </w:r>
      <w:r w:rsidRPr="00FF6355">
        <w:t>1-0</w:t>
      </w:r>
      <w:r>
        <w:t>1</w:t>
      </w:r>
      <w:r w:rsidRPr="00FF6355">
        <w:tab/>
        <w:t>APPLICABILITY</w:t>
      </w:r>
      <w:r>
        <w:t xml:space="preserve"> </w:t>
      </w:r>
    </w:p>
    <w:p w:rsidR="00BE43A2" w:rsidRDefault="00BE43A2" w:rsidP="00950727"/>
    <w:p w:rsidR="0028237B" w:rsidRDefault="0028237B" w:rsidP="0028237B">
      <w:pPr>
        <w:tabs>
          <w:tab w:val="left" w:pos="810"/>
        </w:tabs>
      </w:pPr>
      <w:r>
        <w:rPr>
          <w:rFonts w:cs="Arial"/>
          <w:szCs w:val="22"/>
        </w:rPr>
        <w:t>01.01</w:t>
      </w:r>
      <w:r>
        <w:rPr>
          <w:rFonts w:cs="Arial"/>
          <w:szCs w:val="22"/>
        </w:rPr>
        <w:tab/>
        <w:t xml:space="preserve">This </w:t>
      </w:r>
      <w:proofErr w:type="spellStart"/>
      <w:r>
        <w:rPr>
          <w:rFonts w:cs="Arial"/>
          <w:szCs w:val="22"/>
        </w:rPr>
        <w:t>OpESS</w:t>
      </w:r>
      <w:proofErr w:type="spellEnd"/>
      <w:r>
        <w:rPr>
          <w:rFonts w:cs="Arial"/>
          <w:szCs w:val="22"/>
        </w:rPr>
        <w:t xml:space="preserve"> applies to a</w:t>
      </w:r>
      <w:r w:rsidR="0050791C" w:rsidRPr="00DF7567">
        <w:rPr>
          <w:rFonts w:cs="Arial"/>
          <w:szCs w:val="22"/>
        </w:rPr>
        <w:t>ll licensed operating commercial nuclear reactors.</w:t>
      </w:r>
    </w:p>
    <w:p w:rsidR="0028237B" w:rsidRDefault="0028237B" w:rsidP="0028237B">
      <w:pPr>
        <w:tabs>
          <w:tab w:val="left" w:pos="810"/>
        </w:tabs>
      </w:pPr>
    </w:p>
    <w:p w:rsidR="0028237B" w:rsidRDefault="0028237B" w:rsidP="0028237B">
      <w:pPr>
        <w:tabs>
          <w:tab w:val="left" w:pos="810"/>
        </w:tabs>
      </w:pPr>
      <w:r>
        <w:t>01.02</w:t>
      </w:r>
      <w:r>
        <w:tab/>
        <w:t>Supports informing sample selection for Inspection Procedure (IP) 71111.01, “Adverse Weather Protection” and IP 71111.21, “Component Design Basis Inspection.”</w:t>
      </w:r>
    </w:p>
    <w:p w:rsidR="0028237B" w:rsidRDefault="0028237B" w:rsidP="0028237B">
      <w:pPr>
        <w:tabs>
          <w:tab w:val="left" w:pos="810"/>
        </w:tabs>
      </w:pPr>
    </w:p>
    <w:p w:rsidR="0028237B" w:rsidRDefault="0028237B" w:rsidP="0028237B">
      <w:pPr>
        <w:tabs>
          <w:tab w:val="left" w:pos="810"/>
        </w:tabs>
      </w:pPr>
      <w:r>
        <w:t>01.03</w:t>
      </w:r>
      <w:r>
        <w:tab/>
        <w:t xml:space="preserve"> Performance of t</w:t>
      </w:r>
      <w:r w:rsidRPr="0050791C">
        <w:t xml:space="preserve">his </w:t>
      </w:r>
      <w:proofErr w:type="spellStart"/>
      <w:r w:rsidRPr="0050791C">
        <w:t>OpESS</w:t>
      </w:r>
      <w:proofErr w:type="spellEnd"/>
      <w:r w:rsidRPr="0050791C">
        <w:t xml:space="preserve"> is voluntary</w:t>
      </w:r>
      <w:r>
        <w:t>.</w:t>
      </w:r>
    </w:p>
    <w:p w:rsidR="0050791C" w:rsidRDefault="0050791C" w:rsidP="00950727"/>
    <w:p w:rsidR="00BE43A2" w:rsidRDefault="00BE43A2" w:rsidP="00950727"/>
    <w:p w:rsidR="00FA6080" w:rsidRPr="00FF6355" w:rsidRDefault="00BE43A2" w:rsidP="00950727">
      <w:proofErr w:type="spellStart"/>
      <w:r>
        <w:t>OpESS</w:t>
      </w:r>
      <w:proofErr w:type="spellEnd"/>
      <w:r>
        <w:t xml:space="preserve"> 2012/01</w:t>
      </w:r>
      <w:r w:rsidR="00CD789F" w:rsidRPr="00FF6355">
        <w:t>-0</w:t>
      </w:r>
      <w:r>
        <w:t>2</w:t>
      </w:r>
      <w:r w:rsidR="00CD789F" w:rsidRPr="00FF6355">
        <w:tab/>
      </w:r>
      <w:r w:rsidR="00FA6080" w:rsidRPr="00FF6355">
        <w:t>OBJECTIVE</w:t>
      </w:r>
      <w:r w:rsidR="00365451" w:rsidRPr="00FF6355">
        <w:t>S</w:t>
      </w:r>
      <w:r>
        <w:t xml:space="preserve"> </w:t>
      </w:r>
    </w:p>
    <w:p w:rsidR="00E64727" w:rsidRDefault="00E64727" w:rsidP="00950727"/>
    <w:p w:rsidR="0028237B" w:rsidRDefault="0028237B" w:rsidP="0028237B">
      <w:pPr>
        <w:tabs>
          <w:tab w:val="left" w:pos="810"/>
        </w:tabs>
      </w:pPr>
      <w:r>
        <w:t>02.01</w:t>
      </w:r>
      <w:r>
        <w:tab/>
        <w:t>P</w:t>
      </w:r>
      <w:r w:rsidR="0050791C" w:rsidRPr="0050791C">
        <w:t xml:space="preserve">rovide support and focus for NRC inspector efforts during the conduct of baseline inspections </w:t>
      </w:r>
      <w:r>
        <w:t>associated with high wind generated miss</w:t>
      </w:r>
      <w:r w:rsidR="00B531D9">
        <w:t>i</w:t>
      </w:r>
      <w:r>
        <w:t>le hazards.</w:t>
      </w:r>
    </w:p>
    <w:p w:rsidR="0028237B" w:rsidRDefault="0028237B" w:rsidP="0028237B">
      <w:pPr>
        <w:tabs>
          <w:tab w:val="left" w:pos="810"/>
        </w:tabs>
      </w:pPr>
    </w:p>
    <w:p w:rsidR="0050791C" w:rsidRPr="0050791C" w:rsidRDefault="0028237B" w:rsidP="0028237B">
      <w:pPr>
        <w:tabs>
          <w:tab w:val="left" w:pos="810"/>
        </w:tabs>
      </w:pPr>
      <w:r>
        <w:t>02.02</w:t>
      </w:r>
      <w:r>
        <w:tab/>
        <w:t>P</w:t>
      </w:r>
      <w:r w:rsidR="0050791C" w:rsidRPr="0050791C">
        <w:t>rovide guidance and examples of inspection findings related to missile hazards or the failure to protect safety-related structures, systems and components (SSCs) from potential missile hazards.</w:t>
      </w:r>
    </w:p>
    <w:p w:rsidR="00E64727" w:rsidRDefault="00E64727" w:rsidP="00950727"/>
    <w:p w:rsidR="00DF2A38" w:rsidRPr="00FF6355" w:rsidRDefault="00DF2A38" w:rsidP="00950727"/>
    <w:p w:rsidR="00741A2F" w:rsidRPr="00FF6355" w:rsidRDefault="00BE43A2" w:rsidP="00950727">
      <w:proofErr w:type="spellStart"/>
      <w:r>
        <w:t>OpESS</w:t>
      </w:r>
      <w:proofErr w:type="spellEnd"/>
      <w:r>
        <w:t xml:space="preserve"> </w:t>
      </w:r>
      <w:r w:rsidR="00EB61CC" w:rsidRPr="00FF6355">
        <w:t>2</w:t>
      </w:r>
      <w:r>
        <w:t>012</w:t>
      </w:r>
      <w:r w:rsidR="00EB61CC" w:rsidRPr="00FF6355">
        <w:t>/</w:t>
      </w:r>
      <w:r>
        <w:t>01</w:t>
      </w:r>
      <w:r w:rsidR="003D4F96" w:rsidRPr="00FF6355">
        <w:t>-0</w:t>
      </w:r>
      <w:r w:rsidR="00365451" w:rsidRPr="00FF6355">
        <w:t>3</w:t>
      </w:r>
      <w:r w:rsidR="003D4F96" w:rsidRPr="00FF6355">
        <w:tab/>
      </w:r>
      <w:r w:rsidR="00FA6080" w:rsidRPr="00FF6355">
        <w:t>BACKGROUND</w:t>
      </w:r>
    </w:p>
    <w:p w:rsidR="00741A2F" w:rsidRPr="00FF6355" w:rsidRDefault="00741A2F" w:rsidP="00950727"/>
    <w:p w:rsidR="00B639F4" w:rsidRDefault="001D6B24" w:rsidP="00DD5F6A">
      <w:r>
        <w:rPr>
          <w:rFonts w:cs="Arial"/>
          <w:szCs w:val="22"/>
        </w:rPr>
        <w:t>During</w:t>
      </w:r>
      <w:r w:rsidRPr="0050791C">
        <w:rPr>
          <w:rFonts w:cs="Arial"/>
          <w:szCs w:val="22"/>
        </w:rPr>
        <w:t xml:space="preserve"> the past </w:t>
      </w:r>
      <w:r w:rsidR="00CE0E2E">
        <w:rPr>
          <w:rFonts w:cs="Arial"/>
          <w:szCs w:val="22"/>
        </w:rPr>
        <w:t>3</w:t>
      </w:r>
      <w:r w:rsidRPr="0050791C">
        <w:rPr>
          <w:rFonts w:cs="Arial"/>
          <w:szCs w:val="22"/>
        </w:rPr>
        <w:t xml:space="preserve"> years (2008-2011)</w:t>
      </w:r>
      <w:r>
        <w:rPr>
          <w:rFonts w:cs="Arial"/>
          <w:szCs w:val="22"/>
        </w:rPr>
        <w:t xml:space="preserve">, NRC inspections have identified </w:t>
      </w:r>
      <w:r w:rsidR="0050791C" w:rsidRPr="0050791C">
        <w:rPr>
          <w:rFonts w:cs="Arial"/>
          <w:szCs w:val="22"/>
        </w:rPr>
        <w:t xml:space="preserve">approximately 30 findings </w:t>
      </w:r>
      <w:r>
        <w:rPr>
          <w:rFonts w:cs="Arial"/>
          <w:szCs w:val="22"/>
        </w:rPr>
        <w:t>and</w:t>
      </w:r>
      <w:r w:rsidR="0050791C" w:rsidRPr="0050791C">
        <w:rPr>
          <w:rFonts w:cs="Arial"/>
          <w:szCs w:val="22"/>
        </w:rPr>
        <w:t xml:space="preserve"> violations</w:t>
      </w:r>
      <w:r>
        <w:rPr>
          <w:rFonts w:cs="Arial"/>
          <w:szCs w:val="22"/>
        </w:rPr>
        <w:t xml:space="preserve"> o</w:t>
      </w:r>
      <w:r w:rsidR="00B531D9">
        <w:rPr>
          <w:rFonts w:cs="Arial"/>
          <w:szCs w:val="22"/>
        </w:rPr>
        <w:t>f</w:t>
      </w:r>
      <w:r>
        <w:rPr>
          <w:rFonts w:cs="Arial"/>
          <w:szCs w:val="22"/>
        </w:rPr>
        <w:t xml:space="preserve"> NRC requirements</w:t>
      </w:r>
      <w:r w:rsidR="0050791C" w:rsidRPr="0050791C">
        <w:rPr>
          <w:rFonts w:cs="Arial"/>
          <w:szCs w:val="22"/>
        </w:rPr>
        <w:t xml:space="preserve"> (including 1 greater than green ins</w:t>
      </w:r>
      <w:r>
        <w:rPr>
          <w:rFonts w:cs="Arial"/>
          <w:szCs w:val="22"/>
        </w:rPr>
        <w:t>pection finding) related</w:t>
      </w:r>
      <w:r w:rsidR="001817DB">
        <w:rPr>
          <w:rFonts w:cs="Arial"/>
          <w:szCs w:val="22"/>
        </w:rPr>
        <w:t xml:space="preserve"> to </w:t>
      </w:r>
      <w:r>
        <w:rPr>
          <w:rFonts w:cs="Arial"/>
          <w:szCs w:val="22"/>
        </w:rPr>
        <w:t>in</w:t>
      </w:r>
      <w:r w:rsidR="0050791C" w:rsidRPr="0050791C">
        <w:rPr>
          <w:rFonts w:cs="Arial"/>
          <w:szCs w:val="22"/>
        </w:rPr>
        <w:t>adequate protect</w:t>
      </w:r>
      <w:r>
        <w:rPr>
          <w:rFonts w:cs="Arial"/>
          <w:szCs w:val="22"/>
        </w:rPr>
        <w:t>ion</w:t>
      </w:r>
      <w:r w:rsidR="0050791C" w:rsidRPr="0050791C">
        <w:rPr>
          <w:rFonts w:cs="Arial"/>
          <w:szCs w:val="22"/>
        </w:rPr>
        <w:t xml:space="preserve"> from potential missile hazards.  Some of these issues involved failure to ensure that SSCs </w:t>
      </w:r>
      <w:r>
        <w:rPr>
          <w:rFonts w:cs="Arial"/>
          <w:szCs w:val="22"/>
        </w:rPr>
        <w:t>identified in the</w:t>
      </w:r>
      <w:r w:rsidR="0050791C" w:rsidRPr="0050791C">
        <w:rPr>
          <w:rFonts w:cs="Arial"/>
          <w:szCs w:val="22"/>
        </w:rPr>
        <w:t xml:space="preserve"> </w:t>
      </w:r>
      <w:r w:rsidR="00E3200F">
        <w:rPr>
          <w:rFonts w:cs="Arial"/>
          <w:szCs w:val="22"/>
        </w:rPr>
        <w:t xml:space="preserve">updated </w:t>
      </w:r>
      <w:r w:rsidR="0050791C" w:rsidRPr="0050791C">
        <w:rPr>
          <w:rFonts w:cs="Arial"/>
          <w:szCs w:val="22"/>
        </w:rPr>
        <w:t xml:space="preserve">final safety analysis report </w:t>
      </w:r>
      <w:r w:rsidR="004068B0">
        <w:rPr>
          <w:rFonts w:cs="Arial"/>
          <w:szCs w:val="22"/>
        </w:rPr>
        <w:t>(</w:t>
      </w:r>
      <w:r w:rsidR="00E3200F">
        <w:rPr>
          <w:rFonts w:cs="Arial"/>
          <w:szCs w:val="22"/>
        </w:rPr>
        <w:t>U</w:t>
      </w:r>
      <w:r w:rsidR="004068B0">
        <w:rPr>
          <w:rFonts w:cs="Arial"/>
          <w:szCs w:val="22"/>
        </w:rPr>
        <w:t xml:space="preserve">FSAR) </w:t>
      </w:r>
      <w:r>
        <w:rPr>
          <w:rFonts w:cs="Arial"/>
          <w:szCs w:val="22"/>
        </w:rPr>
        <w:t>as</w:t>
      </w:r>
      <w:r w:rsidR="0050791C" w:rsidRPr="0050791C">
        <w:rPr>
          <w:rFonts w:cs="Arial"/>
          <w:szCs w:val="22"/>
        </w:rPr>
        <w:t xml:space="preserve"> functioning</w:t>
      </w:r>
      <w:r w:rsidR="00D10465">
        <w:rPr>
          <w:rFonts w:cs="Arial"/>
          <w:szCs w:val="22"/>
        </w:rPr>
        <w:t>,</w:t>
      </w:r>
      <w:r w:rsidR="0050791C" w:rsidRPr="0050791C">
        <w:rPr>
          <w:rFonts w:cs="Arial"/>
          <w:szCs w:val="22"/>
        </w:rPr>
        <w:t xml:space="preserve"> following a tornado</w:t>
      </w:r>
      <w:r w:rsidR="00D10465">
        <w:rPr>
          <w:rFonts w:cs="Arial"/>
          <w:szCs w:val="22"/>
        </w:rPr>
        <w:t>,</w:t>
      </w:r>
      <w:r w:rsidR="0050791C" w:rsidRPr="0050791C">
        <w:rPr>
          <w:rFonts w:cs="Arial"/>
          <w:szCs w:val="22"/>
        </w:rPr>
        <w:t xml:space="preserve"> </w:t>
      </w:r>
      <w:r w:rsidR="00D10465">
        <w:rPr>
          <w:rFonts w:cs="Arial"/>
          <w:szCs w:val="22"/>
        </w:rPr>
        <w:t xml:space="preserve">or </w:t>
      </w:r>
      <w:r w:rsidR="0050791C" w:rsidRPr="0050791C">
        <w:rPr>
          <w:rFonts w:cs="Arial"/>
          <w:szCs w:val="22"/>
        </w:rPr>
        <w:t>were protected from tornado-induced missiles.  Other issues involved failure to ensure that potential missile hazards were accounted for and appropriately secured.</w:t>
      </w:r>
      <w:r w:rsidR="00DD5F6A" w:rsidRPr="00DD5F6A">
        <w:rPr>
          <w:rFonts w:cs="Arial"/>
          <w:szCs w:val="22"/>
        </w:rPr>
        <w:t xml:space="preserve"> </w:t>
      </w:r>
      <w:r w:rsidR="00D25BD6">
        <w:t xml:space="preserve">  </w:t>
      </w:r>
    </w:p>
    <w:p w:rsidR="00B639F4" w:rsidRDefault="00B639F4" w:rsidP="003F23EC"/>
    <w:p w:rsidR="001D6B24" w:rsidRDefault="001D6B24" w:rsidP="003F23EC">
      <w:r>
        <w:t xml:space="preserve">During the </w:t>
      </w:r>
      <w:r w:rsidR="00CE0E2E">
        <w:t>12</w:t>
      </w:r>
      <w:r>
        <w:t xml:space="preserve"> month period from</w:t>
      </w:r>
      <w:r w:rsidRPr="0050791C">
        <w:t xml:space="preserve"> June 2010 to June 2011</w:t>
      </w:r>
      <w:r>
        <w:t>, tornado events</w:t>
      </w:r>
      <w:r w:rsidRPr="0050791C">
        <w:t xml:space="preserve"> resulted in three emergency declarations and automatic reactor trips of six units (Fermi – </w:t>
      </w:r>
      <w:hyperlink r:id="rId7" w:anchor="en45979" w:history="1">
        <w:r w:rsidRPr="0050791C">
          <w:rPr>
            <w:rStyle w:val="Hyperlink"/>
          </w:rPr>
          <w:t>EN 45979</w:t>
        </w:r>
      </w:hyperlink>
      <w:r w:rsidRPr="0050791C">
        <w:t xml:space="preserve">, Surry 1 &amp; 2 – </w:t>
      </w:r>
      <w:hyperlink r:id="rId8" w:anchor="en46761" w:history="1">
        <w:r w:rsidRPr="0050791C">
          <w:rPr>
            <w:rStyle w:val="Hyperlink"/>
          </w:rPr>
          <w:t>EN 46761</w:t>
        </w:r>
      </w:hyperlink>
      <w:r w:rsidRPr="0050791C">
        <w:t xml:space="preserve">, and Browns Ferry 1, 2, &amp; 3 – </w:t>
      </w:r>
      <w:hyperlink r:id="rId9" w:anchor="en46793" w:history="1">
        <w:r w:rsidRPr="0050791C">
          <w:rPr>
            <w:rStyle w:val="Hyperlink"/>
          </w:rPr>
          <w:t>EN 46793</w:t>
        </w:r>
      </w:hyperlink>
      <w:r w:rsidRPr="0050791C">
        <w:t>).  In all three cases, the tornados affected the switchyard and offsite electrical power supplies</w:t>
      </w:r>
      <w:r>
        <w:t>.</w:t>
      </w:r>
      <w:r w:rsidRPr="0050791C">
        <w:t xml:space="preserve"> </w:t>
      </w:r>
    </w:p>
    <w:p w:rsidR="00D10465" w:rsidRDefault="00D10465" w:rsidP="003F23EC"/>
    <w:p w:rsidR="001C0716" w:rsidRDefault="001C0716" w:rsidP="003F23EC"/>
    <w:p w:rsidR="001C0716" w:rsidRDefault="001C0716" w:rsidP="003F23EC"/>
    <w:p w:rsidR="001C0716" w:rsidRDefault="001C0716" w:rsidP="003F23EC"/>
    <w:p w:rsidR="00FA6080" w:rsidRPr="00FF6355" w:rsidRDefault="00BE43A2" w:rsidP="00950727">
      <w:proofErr w:type="spellStart"/>
      <w:r>
        <w:lastRenderedPageBreak/>
        <w:t>OpESS</w:t>
      </w:r>
      <w:proofErr w:type="spellEnd"/>
      <w:r>
        <w:t xml:space="preserve"> </w:t>
      </w:r>
      <w:r w:rsidR="00EB61CC" w:rsidRPr="00FF6355">
        <w:t>2</w:t>
      </w:r>
      <w:r>
        <w:t>012</w:t>
      </w:r>
      <w:r w:rsidR="00EB61CC" w:rsidRPr="00FF6355">
        <w:t>/</w:t>
      </w:r>
      <w:r>
        <w:t>0</w:t>
      </w:r>
      <w:r w:rsidR="00962DD9" w:rsidRPr="00FF6355">
        <w:t>1</w:t>
      </w:r>
      <w:r w:rsidR="003D4F96" w:rsidRPr="00FF6355">
        <w:t>-0</w:t>
      </w:r>
      <w:r w:rsidR="00365451" w:rsidRPr="00FF6355">
        <w:t>4</w:t>
      </w:r>
      <w:r w:rsidR="003D4F96" w:rsidRPr="00FF6355">
        <w:tab/>
        <w:t>INSPECTION</w:t>
      </w:r>
      <w:r w:rsidR="00FA6080" w:rsidRPr="00FF6355">
        <w:t xml:space="preserve"> </w:t>
      </w:r>
      <w:r w:rsidR="005245D9" w:rsidRPr="00FF6355">
        <w:t>GUIDANCE</w:t>
      </w:r>
    </w:p>
    <w:p w:rsidR="00FA6080" w:rsidRDefault="00FA6080" w:rsidP="00950727"/>
    <w:p w:rsidR="002E13D3" w:rsidRPr="002E13D3" w:rsidRDefault="002E13D3" w:rsidP="00950727">
      <w:r w:rsidRPr="002E13D3">
        <w:t>The following inspection guidance may be applied as appropriate to support baseline inspection activities.</w:t>
      </w:r>
      <w:r w:rsidR="001B0789">
        <w:t xml:space="preserve">  Inspector judgment should be used when determining the extent to which this </w:t>
      </w:r>
      <w:proofErr w:type="spellStart"/>
      <w:r w:rsidR="001B0789">
        <w:t>OpESS</w:t>
      </w:r>
      <w:proofErr w:type="spellEnd"/>
      <w:r w:rsidR="001B0789">
        <w:t xml:space="preserve"> should be used to inform inspection activities under the applicable baseline IPs.</w:t>
      </w:r>
      <w:r w:rsidRPr="002E13D3">
        <w:t xml:space="preserve">  </w:t>
      </w:r>
    </w:p>
    <w:p w:rsidR="002E13D3" w:rsidRPr="00FF6355" w:rsidRDefault="002E13D3" w:rsidP="00950727"/>
    <w:p w:rsidR="00265148" w:rsidRPr="00265148" w:rsidRDefault="00A57EA8" w:rsidP="00A57EA8">
      <w:pPr>
        <w:tabs>
          <w:tab w:val="left" w:pos="274"/>
          <w:tab w:val="left" w:pos="806"/>
          <w:tab w:val="left" w:pos="1440"/>
          <w:tab w:val="left" w:pos="2074"/>
        </w:tabs>
      </w:pPr>
      <w:r>
        <w:t>04.01</w:t>
      </w:r>
      <w:r>
        <w:tab/>
      </w:r>
      <w:proofErr w:type="spellStart"/>
      <w:r w:rsidR="00A64994" w:rsidRPr="00A64994">
        <w:rPr>
          <w:u w:val="single"/>
        </w:rPr>
        <w:t>Walkdowns</w:t>
      </w:r>
      <w:proofErr w:type="spellEnd"/>
      <w:r w:rsidR="00A64994">
        <w:t>.</w:t>
      </w:r>
      <w:r w:rsidR="001B0789">
        <w:t xml:space="preserve">  </w:t>
      </w:r>
      <w:r w:rsidR="008C115E">
        <w:rPr>
          <w:rFonts w:cs="Arial"/>
          <w:szCs w:val="22"/>
        </w:rPr>
        <w:t xml:space="preserve">The recommended inspection activities described below support IP 71111.01, </w:t>
      </w:r>
      <w:r w:rsidR="008C115E">
        <w:t>“</w:t>
      </w:r>
      <w:r w:rsidR="008C115E" w:rsidRPr="00A64994">
        <w:t>Adverse Weather Protection</w:t>
      </w:r>
      <w:r w:rsidR="008C115E">
        <w:t>.”</w:t>
      </w:r>
    </w:p>
    <w:p w:rsidR="00A57EA8" w:rsidRDefault="00A57EA8" w:rsidP="00A57EA8">
      <w:pPr>
        <w:tabs>
          <w:tab w:val="left" w:pos="274"/>
          <w:tab w:val="left" w:pos="806"/>
          <w:tab w:val="left" w:pos="1440"/>
          <w:tab w:val="left" w:pos="2074"/>
        </w:tabs>
      </w:pPr>
    </w:p>
    <w:p w:rsidR="0028237B" w:rsidRDefault="00A57EA8" w:rsidP="00265148">
      <w:pPr>
        <w:tabs>
          <w:tab w:val="left" w:pos="274"/>
          <w:tab w:val="left" w:pos="806"/>
          <w:tab w:val="left" w:pos="1440"/>
          <w:tab w:val="left" w:pos="2074"/>
        </w:tabs>
        <w:ind w:left="806" w:hanging="806"/>
        <w:rPr>
          <w:rFonts w:cs="Arial"/>
          <w:szCs w:val="22"/>
        </w:rPr>
      </w:pPr>
      <w:r>
        <w:tab/>
        <w:t>a.</w:t>
      </w:r>
      <w:r>
        <w:tab/>
      </w:r>
      <w:r w:rsidR="001D6B24" w:rsidRPr="008E465E">
        <w:rPr>
          <w:rFonts w:cs="Arial"/>
          <w:szCs w:val="22"/>
        </w:rPr>
        <w:t>Ensure that the licensee has adequate protection of equipment and outside structures from high winds (tornados and/or hurricanes) and high wind generated missiles.</w:t>
      </w:r>
      <w:r w:rsidR="0028237B">
        <w:rPr>
          <w:rFonts w:cs="Arial"/>
          <w:szCs w:val="22"/>
        </w:rPr>
        <w:t xml:space="preserve">  SSCs that may be vulnerable to tornado-induced missile hazards include offsite power, </w:t>
      </w:r>
      <w:r w:rsidR="00E3200F">
        <w:rPr>
          <w:rFonts w:cs="Arial"/>
          <w:szCs w:val="22"/>
        </w:rPr>
        <w:t>emergency diesel generator (</w:t>
      </w:r>
      <w:r w:rsidR="0028237B">
        <w:rPr>
          <w:rFonts w:cs="Arial"/>
          <w:szCs w:val="22"/>
        </w:rPr>
        <w:t>EDG</w:t>
      </w:r>
      <w:r w:rsidR="00E3200F">
        <w:rPr>
          <w:rFonts w:cs="Arial"/>
          <w:szCs w:val="22"/>
        </w:rPr>
        <w:t>)</w:t>
      </w:r>
      <w:r w:rsidR="0028237B">
        <w:rPr>
          <w:rFonts w:cs="Arial"/>
          <w:szCs w:val="22"/>
        </w:rPr>
        <w:t xml:space="preserve"> </w:t>
      </w:r>
      <w:r w:rsidR="00CE0E2E" w:rsidRPr="00CE0E2E">
        <w:rPr>
          <w:rFonts w:cs="Arial"/>
          <w:szCs w:val="22"/>
        </w:rPr>
        <w:t>ventilation, fuel oil storage tank and day-tank vents</w:t>
      </w:r>
      <w:r w:rsidR="0028237B">
        <w:rPr>
          <w:rFonts w:cs="Arial"/>
          <w:szCs w:val="22"/>
        </w:rPr>
        <w:t xml:space="preserve">, the ultimate heat sink </w:t>
      </w:r>
      <w:r w:rsidR="00CE0E2E">
        <w:rPr>
          <w:rFonts w:cs="Arial"/>
          <w:szCs w:val="22"/>
        </w:rPr>
        <w:t>and</w:t>
      </w:r>
      <w:r w:rsidR="0028237B">
        <w:rPr>
          <w:rFonts w:cs="Arial"/>
          <w:szCs w:val="22"/>
        </w:rPr>
        <w:t xml:space="preserve"> service water system, above ground piping for safety-related systems, and any interface between safety-related and non-safety related components.</w:t>
      </w:r>
      <w:r w:rsidR="002F4E72">
        <w:rPr>
          <w:rFonts w:cs="Arial"/>
          <w:szCs w:val="22"/>
        </w:rPr>
        <w:t xml:space="preserve"> </w:t>
      </w:r>
    </w:p>
    <w:p w:rsidR="00BD362B" w:rsidRDefault="0028237B" w:rsidP="00265148">
      <w:pPr>
        <w:tabs>
          <w:tab w:val="left" w:pos="274"/>
          <w:tab w:val="left" w:pos="806"/>
          <w:tab w:val="left" w:pos="1440"/>
          <w:tab w:val="left" w:pos="2074"/>
        </w:tabs>
        <w:ind w:left="806" w:hanging="806"/>
      </w:pPr>
      <w:r>
        <w:rPr>
          <w:rFonts w:cs="Arial"/>
          <w:szCs w:val="22"/>
        </w:rPr>
        <w:tab/>
      </w:r>
      <w:r>
        <w:rPr>
          <w:rFonts w:cs="Arial"/>
          <w:szCs w:val="22"/>
        </w:rPr>
        <w:tab/>
      </w:r>
      <w:r w:rsidR="002F4E72">
        <w:rPr>
          <w:rFonts w:cs="Arial"/>
          <w:szCs w:val="22"/>
        </w:rPr>
        <w:t>[Supports IP 71111.01, Section</w:t>
      </w:r>
      <w:r>
        <w:rPr>
          <w:rFonts w:cs="Arial"/>
          <w:szCs w:val="22"/>
        </w:rPr>
        <w:t>s</w:t>
      </w:r>
      <w:r w:rsidR="002F4E72">
        <w:rPr>
          <w:rFonts w:cs="Arial"/>
          <w:szCs w:val="22"/>
        </w:rPr>
        <w:t xml:space="preserve"> 02.02d</w:t>
      </w:r>
      <w:r w:rsidR="004068B0">
        <w:rPr>
          <w:rFonts w:cs="Arial"/>
          <w:szCs w:val="22"/>
        </w:rPr>
        <w:t>, 02.05</w:t>
      </w:r>
      <w:r w:rsidR="002F4E72">
        <w:rPr>
          <w:rFonts w:cs="Arial"/>
          <w:szCs w:val="22"/>
        </w:rPr>
        <w:t>]</w:t>
      </w:r>
    </w:p>
    <w:p w:rsidR="00BD362B" w:rsidRDefault="00BD362B" w:rsidP="00265148">
      <w:pPr>
        <w:tabs>
          <w:tab w:val="left" w:pos="274"/>
          <w:tab w:val="left" w:pos="806"/>
          <w:tab w:val="left" w:pos="1440"/>
          <w:tab w:val="left" w:pos="2074"/>
        </w:tabs>
        <w:ind w:left="806" w:hanging="806"/>
      </w:pPr>
    </w:p>
    <w:p w:rsidR="00D10465" w:rsidRDefault="00BD362B" w:rsidP="00265148">
      <w:pPr>
        <w:tabs>
          <w:tab w:val="left" w:pos="274"/>
          <w:tab w:val="left" w:pos="806"/>
          <w:tab w:val="left" w:pos="1440"/>
          <w:tab w:val="left" w:pos="2074"/>
        </w:tabs>
        <w:ind w:left="806" w:hanging="806"/>
        <w:rPr>
          <w:rFonts w:cs="Arial"/>
          <w:szCs w:val="22"/>
        </w:rPr>
      </w:pPr>
      <w:r>
        <w:tab/>
        <w:t>b.</w:t>
      </w:r>
      <w:r>
        <w:tab/>
      </w:r>
      <w:r w:rsidR="001D6B24">
        <w:rPr>
          <w:rFonts w:cs="Arial"/>
          <w:szCs w:val="22"/>
        </w:rPr>
        <w:t>During high wind conditions (or when high winds are forecast), does</w:t>
      </w:r>
      <w:r w:rsidR="001D6B24" w:rsidRPr="008E465E">
        <w:rPr>
          <w:rFonts w:cs="Arial"/>
          <w:szCs w:val="22"/>
        </w:rPr>
        <w:t xml:space="preserve"> the licensee </w:t>
      </w:r>
      <w:r w:rsidR="001D6B24">
        <w:rPr>
          <w:rFonts w:cs="Arial"/>
          <w:szCs w:val="22"/>
        </w:rPr>
        <w:t>secure</w:t>
      </w:r>
      <w:r w:rsidR="001D6B24" w:rsidRPr="008E465E">
        <w:rPr>
          <w:rFonts w:cs="Arial"/>
          <w:szCs w:val="22"/>
        </w:rPr>
        <w:t xml:space="preserve"> all portable equipment, shrouds, housings, siding, roofing, and any other miscellaneous loose material, that could be at high risk for damage/missile generation</w:t>
      </w:r>
      <w:r w:rsidR="00E067BF">
        <w:rPr>
          <w:rFonts w:cs="Arial"/>
          <w:szCs w:val="22"/>
        </w:rPr>
        <w:t xml:space="preserve"> </w:t>
      </w:r>
      <w:r w:rsidR="00E067BF" w:rsidRPr="00E067BF">
        <w:rPr>
          <w:rFonts w:cs="Arial"/>
          <w:szCs w:val="22"/>
        </w:rPr>
        <w:t>(particularly when work areas are unattended)</w:t>
      </w:r>
      <w:r w:rsidR="001D6B24" w:rsidRPr="008E465E">
        <w:rPr>
          <w:rFonts w:cs="Arial"/>
          <w:szCs w:val="22"/>
        </w:rPr>
        <w:t>?</w:t>
      </w:r>
    </w:p>
    <w:p w:rsidR="001D6B24" w:rsidRDefault="00D10465" w:rsidP="00265148">
      <w:pPr>
        <w:tabs>
          <w:tab w:val="left" w:pos="274"/>
          <w:tab w:val="left" w:pos="806"/>
          <w:tab w:val="left" w:pos="1440"/>
          <w:tab w:val="left" w:pos="2074"/>
        </w:tabs>
        <w:ind w:left="806" w:hanging="806"/>
        <w:rPr>
          <w:rFonts w:cs="Arial"/>
          <w:szCs w:val="22"/>
        </w:rPr>
      </w:pPr>
      <w:r>
        <w:rPr>
          <w:rFonts w:cs="Arial"/>
          <w:szCs w:val="22"/>
        </w:rPr>
        <w:tab/>
      </w:r>
      <w:r>
        <w:rPr>
          <w:rFonts w:cs="Arial"/>
          <w:szCs w:val="22"/>
        </w:rPr>
        <w:tab/>
        <w:t>[</w:t>
      </w:r>
      <w:r w:rsidR="002F4E72">
        <w:rPr>
          <w:rFonts w:cs="Arial"/>
          <w:szCs w:val="22"/>
        </w:rPr>
        <w:t>Supports IP 71111.01</w:t>
      </w:r>
      <w:r w:rsidR="0028237B">
        <w:rPr>
          <w:rFonts w:cs="Arial"/>
          <w:szCs w:val="22"/>
        </w:rPr>
        <w:t>,</w:t>
      </w:r>
      <w:r w:rsidR="002F4E72" w:rsidRPr="00A64994">
        <w:t xml:space="preserve"> </w:t>
      </w:r>
      <w:r w:rsidR="002F4E72">
        <w:rPr>
          <w:rFonts w:cs="Arial"/>
          <w:szCs w:val="22"/>
        </w:rPr>
        <w:t>Section</w:t>
      </w:r>
      <w:r w:rsidR="0028237B">
        <w:rPr>
          <w:rFonts w:cs="Arial"/>
          <w:szCs w:val="22"/>
        </w:rPr>
        <w:t>s</w:t>
      </w:r>
      <w:r w:rsidR="002F4E72">
        <w:rPr>
          <w:rFonts w:cs="Arial"/>
          <w:szCs w:val="22"/>
        </w:rPr>
        <w:t xml:space="preserve"> </w:t>
      </w:r>
      <w:r w:rsidR="004068B0">
        <w:rPr>
          <w:rFonts w:cs="Arial"/>
          <w:szCs w:val="22"/>
        </w:rPr>
        <w:t xml:space="preserve">02.01b.2, </w:t>
      </w:r>
      <w:r w:rsidR="002F4E72">
        <w:rPr>
          <w:rFonts w:cs="Arial"/>
          <w:szCs w:val="22"/>
        </w:rPr>
        <w:t>02.03a, 02.03b, 02.03d</w:t>
      </w:r>
      <w:r w:rsidR="004068B0">
        <w:rPr>
          <w:rFonts w:cs="Arial"/>
          <w:szCs w:val="22"/>
        </w:rPr>
        <w:t>, 02.05</w:t>
      </w:r>
      <w:r w:rsidR="002F4E72">
        <w:rPr>
          <w:rFonts w:cs="Arial"/>
          <w:szCs w:val="22"/>
        </w:rPr>
        <w:t>]</w:t>
      </w:r>
    </w:p>
    <w:p w:rsidR="001D6B24" w:rsidRDefault="001D6B24" w:rsidP="00265148">
      <w:pPr>
        <w:tabs>
          <w:tab w:val="left" w:pos="274"/>
          <w:tab w:val="left" w:pos="806"/>
          <w:tab w:val="left" w:pos="1440"/>
          <w:tab w:val="left" w:pos="2074"/>
        </w:tabs>
        <w:ind w:left="806" w:hanging="806"/>
        <w:rPr>
          <w:rFonts w:cs="Arial"/>
          <w:szCs w:val="22"/>
        </w:rPr>
      </w:pPr>
    </w:p>
    <w:p w:rsidR="0028237B" w:rsidRDefault="001D6B24" w:rsidP="00265148">
      <w:pPr>
        <w:tabs>
          <w:tab w:val="left" w:pos="274"/>
          <w:tab w:val="left" w:pos="806"/>
          <w:tab w:val="left" w:pos="1440"/>
          <w:tab w:val="left" w:pos="2074"/>
        </w:tabs>
        <w:ind w:left="806" w:hanging="806"/>
        <w:rPr>
          <w:rFonts w:cs="Arial"/>
          <w:szCs w:val="22"/>
        </w:rPr>
      </w:pPr>
      <w:r>
        <w:rPr>
          <w:rFonts w:cs="Arial"/>
          <w:szCs w:val="22"/>
        </w:rPr>
        <w:tab/>
        <w:t>c.</w:t>
      </w:r>
      <w:r>
        <w:rPr>
          <w:rFonts w:cs="Arial"/>
          <w:szCs w:val="22"/>
        </w:rPr>
        <w:tab/>
      </w:r>
      <w:r w:rsidR="00A7055F">
        <w:rPr>
          <w:rFonts w:cs="Arial"/>
          <w:szCs w:val="22"/>
        </w:rPr>
        <w:t>Is the following equipment protected from potential missile hazards:  O</w:t>
      </w:r>
      <w:r w:rsidRPr="008E465E">
        <w:rPr>
          <w:rFonts w:cs="Arial"/>
          <w:szCs w:val="22"/>
        </w:rPr>
        <w:t>utdoor power supplies in the switchyard, fuel/air lines for diesel operated equipment, piping associated with condensate and refueling water storage tanks, essential spray ponds, cooling towers and associated equipment (e.g., tower fans), and any other equipment that, if damaged by high winds or missile generation, could cause further damage, plant transient or scram, or exacerbate the mitigation of any ac</w:t>
      </w:r>
      <w:r w:rsidR="00A7055F">
        <w:rPr>
          <w:rFonts w:cs="Arial"/>
          <w:szCs w:val="22"/>
        </w:rPr>
        <w:t>ci</w:t>
      </w:r>
      <w:r w:rsidR="0028237B">
        <w:rPr>
          <w:rFonts w:cs="Arial"/>
          <w:szCs w:val="22"/>
        </w:rPr>
        <w:t>dent?</w:t>
      </w:r>
    </w:p>
    <w:p w:rsidR="001D6B24" w:rsidRDefault="0028237B" w:rsidP="00265148">
      <w:pPr>
        <w:tabs>
          <w:tab w:val="left" w:pos="274"/>
          <w:tab w:val="left" w:pos="806"/>
          <w:tab w:val="left" w:pos="1440"/>
          <w:tab w:val="left" w:pos="2074"/>
        </w:tabs>
        <w:ind w:left="806" w:hanging="806"/>
        <w:rPr>
          <w:rFonts w:cs="Arial"/>
          <w:szCs w:val="22"/>
        </w:rPr>
      </w:pPr>
      <w:r>
        <w:rPr>
          <w:rFonts w:cs="Arial"/>
          <w:szCs w:val="22"/>
        </w:rPr>
        <w:tab/>
      </w:r>
      <w:r>
        <w:rPr>
          <w:rFonts w:cs="Arial"/>
          <w:szCs w:val="22"/>
        </w:rPr>
        <w:tab/>
      </w:r>
      <w:r w:rsidR="00A7055F">
        <w:rPr>
          <w:rFonts w:cs="Arial"/>
          <w:szCs w:val="22"/>
        </w:rPr>
        <w:t>[Supports IP 71111.01, Section</w:t>
      </w:r>
      <w:r>
        <w:rPr>
          <w:rFonts w:cs="Arial"/>
          <w:szCs w:val="22"/>
        </w:rPr>
        <w:t>s</w:t>
      </w:r>
      <w:r w:rsidR="00A7055F">
        <w:rPr>
          <w:rFonts w:cs="Arial"/>
          <w:szCs w:val="22"/>
        </w:rPr>
        <w:t xml:space="preserve"> </w:t>
      </w:r>
      <w:r w:rsidR="004068B0">
        <w:rPr>
          <w:rFonts w:cs="Arial"/>
          <w:szCs w:val="22"/>
        </w:rPr>
        <w:t xml:space="preserve">02.01b.2, </w:t>
      </w:r>
      <w:r w:rsidR="00A7055F">
        <w:rPr>
          <w:rFonts w:cs="Arial"/>
          <w:szCs w:val="22"/>
        </w:rPr>
        <w:t>02.02a, 02.0</w:t>
      </w:r>
      <w:r w:rsidR="00CF2056">
        <w:rPr>
          <w:rFonts w:cs="Arial"/>
          <w:szCs w:val="22"/>
        </w:rPr>
        <w:t>2c</w:t>
      </w:r>
      <w:r w:rsidR="00A7055F">
        <w:rPr>
          <w:rFonts w:cs="Arial"/>
          <w:szCs w:val="22"/>
        </w:rPr>
        <w:t>, 02.0</w:t>
      </w:r>
      <w:r w:rsidR="00CF2056">
        <w:rPr>
          <w:rFonts w:cs="Arial"/>
          <w:szCs w:val="22"/>
        </w:rPr>
        <w:t>2</w:t>
      </w:r>
      <w:r w:rsidR="00A7055F">
        <w:rPr>
          <w:rFonts w:cs="Arial"/>
          <w:szCs w:val="22"/>
        </w:rPr>
        <w:t>d</w:t>
      </w:r>
      <w:r w:rsidR="004068B0">
        <w:rPr>
          <w:rFonts w:cs="Arial"/>
          <w:szCs w:val="22"/>
        </w:rPr>
        <w:t>, 02.05</w:t>
      </w:r>
      <w:r w:rsidR="00A7055F">
        <w:rPr>
          <w:rFonts w:cs="Arial"/>
          <w:szCs w:val="22"/>
        </w:rPr>
        <w:t>]</w:t>
      </w:r>
    </w:p>
    <w:p w:rsidR="001D6B24" w:rsidRDefault="001D6B24" w:rsidP="00265148">
      <w:pPr>
        <w:tabs>
          <w:tab w:val="left" w:pos="274"/>
          <w:tab w:val="left" w:pos="806"/>
          <w:tab w:val="left" w:pos="1440"/>
          <w:tab w:val="left" w:pos="2074"/>
        </w:tabs>
        <w:ind w:left="806" w:hanging="806"/>
        <w:rPr>
          <w:rFonts w:cs="Arial"/>
          <w:szCs w:val="22"/>
        </w:rPr>
      </w:pPr>
    </w:p>
    <w:p w:rsidR="0028237B" w:rsidRDefault="001D6B24" w:rsidP="00265148">
      <w:pPr>
        <w:tabs>
          <w:tab w:val="left" w:pos="274"/>
          <w:tab w:val="left" w:pos="806"/>
          <w:tab w:val="left" w:pos="1440"/>
          <w:tab w:val="left" w:pos="2074"/>
        </w:tabs>
        <w:ind w:left="806" w:hanging="806"/>
        <w:rPr>
          <w:rFonts w:cs="Arial"/>
          <w:szCs w:val="22"/>
        </w:rPr>
      </w:pPr>
      <w:r>
        <w:rPr>
          <w:rFonts w:cs="Arial"/>
          <w:szCs w:val="22"/>
        </w:rPr>
        <w:tab/>
        <w:t>d.</w:t>
      </w:r>
      <w:r>
        <w:rPr>
          <w:rFonts w:cs="Arial"/>
          <w:szCs w:val="22"/>
        </w:rPr>
        <w:tab/>
      </w:r>
      <w:proofErr w:type="spellStart"/>
      <w:r w:rsidR="004068B0">
        <w:rPr>
          <w:rFonts w:cs="Arial"/>
          <w:szCs w:val="22"/>
        </w:rPr>
        <w:t>W</w:t>
      </w:r>
      <w:r w:rsidRPr="008E465E">
        <w:rPr>
          <w:rFonts w:cs="Arial"/>
          <w:szCs w:val="22"/>
        </w:rPr>
        <w:t>alkdown</w:t>
      </w:r>
      <w:proofErr w:type="spellEnd"/>
      <w:r w:rsidRPr="008E465E">
        <w:rPr>
          <w:rFonts w:cs="Arial"/>
          <w:szCs w:val="22"/>
        </w:rPr>
        <w:t xml:space="preserve"> the refueling floor to look for loose materials stored </w:t>
      </w:r>
      <w:r>
        <w:rPr>
          <w:rFonts w:cs="Arial"/>
          <w:szCs w:val="22"/>
        </w:rPr>
        <w:t xml:space="preserve">there </w:t>
      </w:r>
      <w:r w:rsidRPr="008E465E">
        <w:rPr>
          <w:rFonts w:cs="Arial"/>
          <w:szCs w:val="22"/>
        </w:rPr>
        <w:t>that could become missiles during a tornado strike.</w:t>
      </w:r>
      <w:r w:rsidR="004068B0">
        <w:rPr>
          <w:rFonts w:cs="Arial"/>
          <w:szCs w:val="22"/>
        </w:rPr>
        <w:t xml:space="preserve">  </w:t>
      </w:r>
    </w:p>
    <w:p w:rsidR="001D6B24" w:rsidRDefault="0028237B" w:rsidP="00265148">
      <w:pPr>
        <w:tabs>
          <w:tab w:val="left" w:pos="274"/>
          <w:tab w:val="left" w:pos="806"/>
          <w:tab w:val="left" w:pos="1440"/>
          <w:tab w:val="left" w:pos="2074"/>
        </w:tabs>
        <w:ind w:left="806" w:hanging="806"/>
        <w:rPr>
          <w:rFonts w:cs="Arial"/>
          <w:szCs w:val="22"/>
        </w:rPr>
      </w:pPr>
      <w:r>
        <w:rPr>
          <w:rFonts w:cs="Arial"/>
          <w:szCs w:val="22"/>
        </w:rPr>
        <w:tab/>
      </w:r>
      <w:r>
        <w:rPr>
          <w:rFonts w:cs="Arial"/>
          <w:szCs w:val="22"/>
        </w:rPr>
        <w:tab/>
        <w:t>[</w:t>
      </w:r>
      <w:r w:rsidR="004068B0">
        <w:rPr>
          <w:rFonts w:cs="Arial"/>
          <w:szCs w:val="22"/>
        </w:rPr>
        <w:t>Supports IP 71111.01, Section</w:t>
      </w:r>
      <w:r>
        <w:rPr>
          <w:rFonts w:cs="Arial"/>
          <w:szCs w:val="22"/>
        </w:rPr>
        <w:t>s</w:t>
      </w:r>
      <w:r w:rsidR="004068B0">
        <w:rPr>
          <w:rFonts w:cs="Arial"/>
          <w:szCs w:val="22"/>
        </w:rPr>
        <w:t xml:space="preserve"> 02.02d, 02.05]</w:t>
      </w:r>
    </w:p>
    <w:p w:rsidR="001D6B24" w:rsidRDefault="001D6B24" w:rsidP="00265148">
      <w:pPr>
        <w:tabs>
          <w:tab w:val="left" w:pos="274"/>
          <w:tab w:val="left" w:pos="806"/>
          <w:tab w:val="left" w:pos="1440"/>
          <w:tab w:val="left" w:pos="2074"/>
        </w:tabs>
        <w:ind w:left="806" w:hanging="806"/>
        <w:rPr>
          <w:rFonts w:cs="Arial"/>
          <w:szCs w:val="22"/>
        </w:rPr>
      </w:pPr>
    </w:p>
    <w:p w:rsidR="0028237B" w:rsidRDefault="001D6B24" w:rsidP="00265148">
      <w:pPr>
        <w:tabs>
          <w:tab w:val="left" w:pos="274"/>
          <w:tab w:val="left" w:pos="806"/>
          <w:tab w:val="left" w:pos="1440"/>
          <w:tab w:val="left" w:pos="2074"/>
        </w:tabs>
        <w:ind w:left="806" w:hanging="806"/>
        <w:rPr>
          <w:rFonts w:cs="Arial"/>
          <w:szCs w:val="22"/>
        </w:rPr>
      </w:pPr>
      <w:r>
        <w:rPr>
          <w:rFonts w:cs="Arial"/>
          <w:szCs w:val="22"/>
        </w:rPr>
        <w:tab/>
        <w:t>e.</w:t>
      </w:r>
      <w:r>
        <w:rPr>
          <w:rFonts w:cs="Arial"/>
          <w:szCs w:val="22"/>
        </w:rPr>
        <w:tab/>
      </w:r>
      <w:r w:rsidRPr="008E465E">
        <w:rPr>
          <w:rFonts w:cs="Arial"/>
          <w:szCs w:val="22"/>
        </w:rPr>
        <w:t xml:space="preserve">For equipment required to operate/function after a tornado (check </w:t>
      </w:r>
      <w:r w:rsidR="00A92816">
        <w:rPr>
          <w:rFonts w:cs="Arial"/>
          <w:szCs w:val="22"/>
        </w:rPr>
        <w:t>approved licens</w:t>
      </w:r>
      <w:r w:rsidR="00E067BF">
        <w:rPr>
          <w:rFonts w:cs="Arial"/>
          <w:szCs w:val="22"/>
        </w:rPr>
        <w:t>ing</w:t>
      </w:r>
      <w:r w:rsidR="00A92816" w:rsidRPr="008E465E">
        <w:rPr>
          <w:rFonts w:cs="Arial"/>
          <w:szCs w:val="22"/>
        </w:rPr>
        <w:t xml:space="preserve"> </w:t>
      </w:r>
      <w:r w:rsidRPr="008E465E">
        <w:rPr>
          <w:rFonts w:cs="Arial"/>
          <w:szCs w:val="22"/>
        </w:rPr>
        <w:t>assumptions), ensure that tornado missile protection is adequate.  This includes components as well as structures located in outside environments.</w:t>
      </w:r>
      <w:r w:rsidR="004068B0">
        <w:rPr>
          <w:rFonts w:cs="Arial"/>
          <w:szCs w:val="22"/>
        </w:rPr>
        <w:t xml:space="preserve">  </w:t>
      </w:r>
    </w:p>
    <w:p w:rsidR="001D6B24" w:rsidRDefault="0028237B" w:rsidP="00265148">
      <w:pPr>
        <w:tabs>
          <w:tab w:val="left" w:pos="274"/>
          <w:tab w:val="left" w:pos="806"/>
          <w:tab w:val="left" w:pos="1440"/>
          <w:tab w:val="left" w:pos="2074"/>
        </w:tabs>
        <w:ind w:left="806" w:hanging="806"/>
        <w:rPr>
          <w:rFonts w:cs="Arial"/>
          <w:szCs w:val="22"/>
        </w:rPr>
      </w:pPr>
      <w:r>
        <w:rPr>
          <w:rFonts w:cs="Arial"/>
          <w:szCs w:val="22"/>
        </w:rPr>
        <w:tab/>
      </w:r>
      <w:r>
        <w:rPr>
          <w:rFonts w:cs="Arial"/>
          <w:szCs w:val="22"/>
        </w:rPr>
        <w:tab/>
      </w:r>
      <w:r w:rsidR="004068B0">
        <w:rPr>
          <w:rFonts w:cs="Arial"/>
          <w:szCs w:val="22"/>
        </w:rPr>
        <w:t>[Supports IP 71111.01, Section</w:t>
      </w:r>
      <w:r>
        <w:rPr>
          <w:rFonts w:cs="Arial"/>
          <w:szCs w:val="22"/>
        </w:rPr>
        <w:t>s</w:t>
      </w:r>
      <w:r w:rsidR="004068B0">
        <w:rPr>
          <w:rFonts w:cs="Arial"/>
          <w:szCs w:val="22"/>
        </w:rPr>
        <w:t xml:space="preserve"> 02.02a, 02.05]</w:t>
      </w:r>
    </w:p>
    <w:p w:rsidR="001D6B24" w:rsidRDefault="001D6B24" w:rsidP="00265148">
      <w:pPr>
        <w:tabs>
          <w:tab w:val="left" w:pos="274"/>
          <w:tab w:val="left" w:pos="806"/>
          <w:tab w:val="left" w:pos="1440"/>
          <w:tab w:val="left" w:pos="2074"/>
        </w:tabs>
        <w:ind w:left="806" w:hanging="806"/>
        <w:rPr>
          <w:rFonts w:cs="Arial"/>
          <w:szCs w:val="22"/>
        </w:rPr>
      </w:pPr>
    </w:p>
    <w:p w:rsidR="0028237B" w:rsidRDefault="001D6B24" w:rsidP="00265148">
      <w:pPr>
        <w:tabs>
          <w:tab w:val="left" w:pos="274"/>
          <w:tab w:val="left" w:pos="806"/>
          <w:tab w:val="left" w:pos="1440"/>
          <w:tab w:val="left" w:pos="2074"/>
        </w:tabs>
        <w:ind w:left="806" w:hanging="806"/>
        <w:rPr>
          <w:rFonts w:cs="Arial"/>
          <w:szCs w:val="22"/>
        </w:rPr>
      </w:pPr>
      <w:r>
        <w:rPr>
          <w:rFonts w:cs="Arial"/>
          <w:szCs w:val="22"/>
        </w:rPr>
        <w:tab/>
        <w:t>f.</w:t>
      </w:r>
      <w:r>
        <w:rPr>
          <w:rFonts w:cs="Arial"/>
          <w:szCs w:val="22"/>
        </w:rPr>
        <w:tab/>
      </w:r>
      <w:r w:rsidRPr="008E465E">
        <w:rPr>
          <w:rFonts w:cs="Arial"/>
          <w:szCs w:val="22"/>
        </w:rPr>
        <w:t>Ensure that any hi</w:t>
      </w:r>
      <w:r>
        <w:rPr>
          <w:rFonts w:cs="Arial"/>
          <w:szCs w:val="22"/>
        </w:rPr>
        <w:t>gh pressure cylinders stored on</w:t>
      </w:r>
      <w:r w:rsidRPr="008E465E">
        <w:rPr>
          <w:rFonts w:cs="Arial"/>
          <w:szCs w:val="22"/>
        </w:rPr>
        <w:t>site are not located in proximity to safety-related equipment and piping.  Check in overhead spaces and other off-path locations.</w:t>
      </w:r>
      <w:r w:rsidR="004068B0">
        <w:rPr>
          <w:rFonts w:cs="Arial"/>
          <w:szCs w:val="22"/>
        </w:rPr>
        <w:t xml:space="preserve">  </w:t>
      </w:r>
    </w:p>
    <w:p w:rsidR="00CE470F" w:rsidRDefault="0028237B" w:rsidP="00265148">
      <w:pPr>
        <w:tabs>
          <w:tab w:val="left" w:pos="274"/>
          <w:tab w:val="left" w:pos="806"/>
          <w:tab w:val="left" w:pos="1440"/>
          <w:tab w:val="left" w:pos="2074"/>
        </w:tabs>
        <w:ind w:left="806" w:hanging="806"/>
      </w:pPr>
      <w:r>
        <w:rPr>
          <w:rFonts w:cs="Arial"/>
          <w:szCs w:val="22"/>
        </w:rPr>
        <w:tab/>
      </w:r>
      <w:r>
        <w:rPr>
          <w:rFonts w:cs="Arial"/>
          <w:szCs w:val="22"/>
        </w:rPr>
        <w:tab/>
      </w:r>
      <w:r w:rsidR="004068B0">
        <w:rPr>
          <w:rFonts w:cs="Arial"/>
          <w:szCs w:val="22"/>
        </w:rPr>
        <w:t xml:space="preserve">[Supports IP 71111.01, </w:t>
      </w:r>
      <w:r>
        <w:rPr>
          <w:rFonts w:cs="Arial"/>
          <w:szCs w:val="22"/>
        </w:rPr>
        <w:t xml:space="preserve">Sections </w:t>
      </w:r>
      <w:r w:rsidR="004068B0">
        <w:rPr>
          <w:rFonts w:cs="Arial"/>
          <w:szCs w:val="22"/>
        </w:rPr>
        <w:t>02.02d, 02.05]</w:t>
      </w:r>
      <w:r w:rsidR="00265148">
        <w:t xml:space="preserve">  </w:t>
      </w:r>
    </w:p>
    <w:p w:rsidR="00BA3569" w:rsidRDefault="00BA3569" w:rsidP="00BA3569">
      <w:pPr>
        <w:tabs>
          <w:tab w:val="left" w:pos="274"/>
          <w:tab w:val="left" w:pos="806"/>
          <w:tab w:val="left" w:pos="1440"/>
          <w:tab w:val="left" w:pos="2074"/>
        </w:tabs>
        <w:ind w:left="2074" w:hanging="2074"/>
      </w:pPr>
    </w:p>
    <w:p w:rsidR="001D6B24" w:rsidRDefault="001D6B24" w:rsidP="00BE43A2">
      <w:pPr>
        <w:tabs>
          <w:tab w:val="left" w:pos="274"/>
          <w:tab w:val="left" w:pos="806"/>
          <w:tab w:val="left" w:pos="1440"/>
          <w:tab w:val="left" w:pos="2074"/>
        </w:tabs>
      </w:pPr>
      <w:r>
        <w:t>04.02</w:t>
      </w:r>
      <w:r>
        <w:tab/>
      </w:r>
      <w:r>
        <w:rPr>
          <w:u w:val="single"/>
        </w:rPr>
        <w:t>Procedures</w:t>
      </w:r>
      <w:r>
        <w:t>.</w:t>
      </w:r>
      <w:r w:rsidR="008C115E">
        <w:t xml:space="preserve">  </w:t>
      </w:r>
      <w:r w:rsidR="008C115E">
        <w:rPr>
          <w:rFonts w:cs="Arial"/>
          <w:szCs w:val="22"/>
        </w:rPr>
        <w:t>The recommended inspection activities described below support IP 71111.01, “Adverse Weather Protection and IP 71111.21, “Component Design Basis Inspection.”</w:t>
      </w:r>
    </w:p>
    <w:p w:rsidR="001D6B24" w:rsidRDefault="001D6B24" w:rsidP="00BE43A2">
      <w:pPr>
        <w:tabs>
          <w:tab w:val="left" w:pos="274"/>
          <w:tab w:val="left" w:pos="806"/>
          <w:tab w:val="left" w:pos="1440"/>
          <w:tab w:val="left" w:pos="2074"/>
        </w:tabs>
      </w:pPr>
    </w:p>
    <w:p w:rsidR="0028237B" w:rsidRDefault="001D6B24" w:rsidP="001B0789">
      <w:pPr>
        <w:tabs>
          <w:tab w:val="left" w:pos="274"/>
          <w:tab w:val="left" w:pos="806"/>
          <w:tab w:val="left" w:pos="1440"/>
          <w:tab w:val="left" w:pos="2074"/>
        </w:tabs>
        <w:ind w:left="810" w:hanging="810"/>
      </w:pPr>
      <w:r>
        <w:tab/>
        <w:t>a.</w:t>
      </w:r>
      <w:r>
        <w:tab/>
      </w:r>
      <w:r w:rsidR="001B0789" w:rsidRPr="001B0789">
        <w:t xml:space="preserve">Has the licensee correctly translated the regulatory requirements and design basis information into specifications, drawings, procedures and instructions for consideration </w:t>
      </w:r>
      <w:r w:rsidR="001B0789" w:rsidRPr="001B0789">
        <w:lastRenderedPageBreak/>
        <w:t xml:space="preserve">of tornado and high impact on safety related equipment?  Note that the use of probabilistic codes (e.g., TORMIS) to justify operability of structures, systems, or </w:t>
      </w:r>
      <w:r w:rsidR="004068B0">
        <w:t xml:space="preserve">components may </w:t>
      </w:r>
      <w:r w:rsidR="001B0789" w:rsidRPr="001B0789">
        <w:t xml:space="preserve">not </w:t>
      </w:r>
      <w:r w:rsidR="004068B0">
        <w:t>be adequate</w:t>
      </w:r>
      <w:r w:rsidR="001B0789" w:rsidRPr="001B0789">
        <w:t xml:space="preserve"> </w:t>
      </w:r>
      <w:r w:rsidR="00E067BF" w:rsidRPr="00E067BF">
        <w:t xml:space="preserve">and are not allowed unless specifically approved for that site </w:t>
      </w:r>
      <w:r w:rsidR="001B0789" w:rsidRPr="001B0789">
        <w:t xml:space="preserve">(see </w:t>
      </w:r>
      <w:hyperlink r:id="rId10" w:history="1">
        <w:r w:rsidR="001B0789" w:rsidRPr="001B0789">
          <w:rPr>
            <w:rStyle w:val="Hyperlink"/>
          </w:rPr>
          <w:t>R</w:t>
        </w:r>
        <w:r w:rsidR="00085215">
          <w:rPr>
            <w:rStyle w:val="Hyperlink"/>
          </w:rPr>
          <w:t xml:space="preserve">egulatory </w:t>
        </w:r>
        <w:r w:rsidR="001B0789" w:rsidRPr="001B0789">
          <w:rPr>
            <w:rStyle w:val="Hyperlink"/>
          </w:rPr>
          <w:t>I</w:t>
        </w:r>
        <w:r w:rsidR="00085215">
          <w:rPr>
            <w:rStyle w:val="Hyperlink"/>
          </w:rPr>
          <w:t xml:space="preserve">ssue </w:t>
        </w:r>
        <w:r w:rsidR="001B0789" w:rsidRPr="001B0789">
          <w:rPr>
            <w:rStyle w:val="Hyperlink"/>
          </w:rPr>
          <w:t>S</w:t>
        </w:r>
        <w:r w:rsidR="00085215">
          <w:rPr>
            <w:rStyle w:val="Hyperlink"/>
          </w:rPr>
          <w:t>ummary (RIS)</w:t>
        </w:r>
        <w:r w:rsidR="001B0789" w:rsidRPr="001B0789">
          <w:rPr>
            <w:rStyle w:val="Hyperlink"/>
          </w:rPr>
          <w:t xml:space="preserve"> 2008-014</w:t>
        </w:r>
      </w:hyperlink>
      <w:r w:rsidR="004068B0">
        <w:t>, “Use of TORMIS Computer Code for Assessment of Tornado Missile Protection”</w:t>
      </w:r>
      <w:r w:rsidR="001B0789" w:rsidRPr="001B0789">
        <w:t xml:space="preserve"> for more guidance on acceptable use of TORMIS).</w:t>
      </w:r>
      <w:r w:rsidR="004068B0">
        <w:t xml:space="preserve">  </w:t>
      </w:r>
    </w:p>
    <w:p w:rsidR="001D6B24" w:rsidRDefault="0028237B" w:rsidP="001B0789">
      <w:pPr>
        <w:tabs>
          <w:tab w:val="left" w:pos="274"/>
          <w:tab w:val="left" w:pos="806"/>
          <w:tab w:val="left" w:pos="1440"/>
          <w:tab w:val="left" w:pos="2074"/>
        </w:tabs>
        <w:ind w:left="810" w:hanging="810"/>
      </w:pPr>
      <w:r>
        <w:tab/>
      </w:r>
      <w:r>
        <w:tab/>
      </w:r>
      <w:r w:rsidR="004068B0">
        <w:rPr>
          <w:rFonts w:cs="Arial"/>
          <w:szCs w:val="22"/>
        </w:rPr>
        <w:t>[Supports IP 71111.01, Section 02.02a</w:t>
      </w:r>
      <w:r w:rsidR="008C115E">
        <w:rPr>
          <w:rFonts w:cs="Arial"/>
          <w:szCs w:val="22"/>
        </w:rPr>
        <w:t>; and IP 71111.21, Section</w:t>
      </w:r>
      <w:r>
        <w:rPr>
          <w:rFonts w:cs="Arial"/>
          <w:szCs w:val="22"/>
        </w:rPr>
        <w:t>s</w:t>
      </w:r>
      <w:r w:rsidR="008C115E">
        <w:rPr>
          <w:rFonts w:cs="Arial"/>
          <w:szCs w:val="22"/>
        </w:rPr>
        <w:t xml:space="preserve"> 02.01c, 02.02a</w:t>
      </w:r>
      <w:r w:rsidR="004068B0">
        <w:rPr>
          <w:rFonts w:cs="Arial"/>
          <w:szCs w:val="22"/>
        </w:rPr>
        <w:t>]</w:t>
      </w:r>
    </w:p>
    <w:p w:rsidR="001B0789" w:rsidRDefault="001B0789" w:rsidP="001B0789">
      <w:pPr>
        <w:tabs>
          <w:tab w:val="left" w:pos="274"/>
          <w:tab w:val="left" w:pos="806"/>
          <w:tab w:val="left" w:pos="1440"/>
          <w:tab w:val="left" w:pos="2074"/>
        </w:tabs>
        <w:ind w:left="810" w:hanging="810"/>
      </w:pPr>
    </w:p>
    <w:p w:rsidR="0028237B" w:rsidRDefault="001B0789" w:rsidP="001B0789">
      <w:pPr>
        <w:tabs>
          <w:tab w:val="left" w:pos="274"/>
          <w:tab w:val="left" w:pos="806"/>
          <w:tab w:val="left" w:pos="1440"/>
          <w:tab w:val="left" w:pos="2074"/>
        </w:tabs>
        <w:ind w:left="810" w:hanging="810"/>
        <w:rPr>
          <w:rFonts w:cs="Arial"/>
          <w:szCs w:val="22"/>
        </w:rPr>
      </w:pPr>
      <w:r>
        <w:tab/>
        <w:t>b.</w:t>
      </w:r>
      <w:r>
        <w:tab/>
      </w:r>
      <w:r w:rsidRPr="008E465E">
        <w:rPr>
          <w:rFonts w:cs="Arial"/>
          <w:szCs w:val="22"/>
        </w:rPr>
        <w:t xml:space="preserve">Review use of procedures during adverse weather events to ensure that the licensee adheres to guidance concerning the identification of potential missile hazards (e.g., around transformer yards and </w:t>
      </w:r>
      <w:r>
        <w:rPr>
          <w:rFonts w:cs="Arial"/>
          <w:szCs w:val="22"/>
        </w:rPr>
        <w:t xml:space="preserve">the </w:t>
      </w:r>
      <w:r w:rsidRPr="008E465E">
        <w:rPr>
          <w:rFonts w:cs="Arial"/>
          <w:szCs w:val="22"/>
        </w:rPr>
        <w:t xml:space="preserve">EDG building) and that they enter the correct procedure </w:t>
      </w:r>
      <w:r>
        <w:rPr>
          <w:rFonts w:cs="Arial"/>
          <w:szCs w:val="22"/>
        </w:rPr>
        <w:t>when</w:t>
      </w:r>
      <w:r w:rsidRPr="008E465E">
        <w:rPr>
          <w:rFonts w:cs="Arial"/>
          <w:szCs w:val="22"/>
        </w:rPr>
        <w:t xml:space="preserve"> adverse weather</w:t>
      </w:r>
      <w:r>
        <w:rPr>
          <w:rFonts w:cs="Arial"/>
          <w:szCs w:val="22"/>
        </w:rPr>
        <w:t xml:space="preserve"> is forecast</w:t>
      </w:r>
      <w:r w:rsidRPr="008E465E">
        <w:rPr>
          <w:rFonts w:cs="Arial"/>
          <w:szCs w:val="22"/>
        </w:rPr>
        <w:t>.</w:t>
      </w:r>
      <w:r w:rsidR="004068B0">
        <w:rPr>
          <w:rFonts w:cs="Arial"/>
          <w:szCs w:val="22"/>
        </w:rPr>
        <w:t xml:space="preserve">  </w:t>
      </w:r>
    </w:p>
    <w:p w:rsidR="001B0789" w:rsidRDefault="0028237B" w:rsidP="001B0789">
      <w:pPr>
        <w:tabs>
          <w:tab w:val="left" w:pos="274"/>
          <w:tab w:val="left" w:pos="806"/>
          <w:tab w:val="left" w:pos="1440"/>
          <w:tab w:val="left" w:pos="2074"/>
        </w:tabs>
        <w:ind w:left="810" w:hanging="810"/>
        <w:rPr>
          <w:rFonts w:cs="Arial"/>
          <w:szCs w:val="22"/>
        </w:rPr>
      </w:pPr>
      <w:r>
        <w:rPr>
          <w:rFonts w:cs="Arial"/>
          <w:szCs w:val="22"/>
        </w:rPr>
        <w:tab/>
      </w:r>
      <w:r>
        <w:rPr>
          <w:rFonts w:cs="Arial"/>
          <w:szCs w:val="22"/>
        </w:rPr>
        <w:tab/>
      </w:r>
      <w:r w:rsidR="004068B0">
        <w:rPr>
          <w:rFonts w:cs="Arial"/>
          <w:szCs w:val="22"/>
        </w:rPr>
        <w:t>[Supports IP 71111.01, Section</w:t>
      </w:r>
      <w:r>
        <w:rPr>
          <w:rFonts w:cs="Arial"/>
          <w:szCs w:val="22"/>
        </w:rPr>
        <w:t>s</w:t>
      </w:r>
      <w:r w:rsidR="004068B0">
        <w:rPr>
          <w:rFonts w:cs="Arial"/>
          <w:szCs w:val="22"/>
        </w:rPr>
        <w:t xml:space="preserve"> 02.02a, 02.02c, 02.03a, 02.03b]</w:t>
      </w:r>
    </w:p>
    <w:p w:rsidR="001B0789" w:rsidRDefault="001B0789" w:rsidP="001B0789">
      <w:pPr>
        <w:tabs>
          <w:tab w:val="left" w:pos="274"/>
          <w:tab w:val="left" w:pos="806"/>
          <w:tab w:val="left" w:pos="1440"/>
          <w:tab w:val="left" w:pos="2074"/>
        </w:tabs>
        <w:ind w:left="810" w:hanging="810"/>
        <w:rPr>
          <w:rFonts w:cs="Arial"/>
          <w:szCs w:val="22"/>
        </w:rPr>
      </w:pPr>
    </w:p>
    <w:p w:rsidR="009B537E" w:rsidRDefault="001B0789" w:rsidP="001B0789">
      <w:pPr>
        <w:tabs>
          <w:tab w:val="left" w:pos="274"/>
          <w:tab w:val="left" w:pos="806"/>
          <w:tab w:val="left" w:pos="1440"/>
          <w:tab w:val="left" w:pos="2074"/>
        </w:tabs>
        <w:ind w:left="810" w:hanging="810"/>
        <w:rPr>
          <w:rFonts w:cs="Arial"/>
          <w:szCs w:val="22"/>
        </w:rPr>
      </w:pPr>
      <w:r>
        <w:rPr>
          <w:rFonts w:cs="Arial"/>
          <w:szCs w:val="22"/>
        </w:rPr>
        <w:tab/>
        <w:t>c.</w:t>
      </w:r>
      <w:r>
        <w:rPr>
          <w:rFonts w:cs="Arial"/>
          <w:szCs w:val="22"/>
        </w:rPr>
        <w:tab/>
      </w:r>
      <w:r w:rsidRPr="008E465E">
        <w:rPr>
          <w:rFonts w:cs="Arial"/>
          <w:szCs w:val="22"/>
        </w:rPr>
        <w:t>Ensure that the licensee does not have a narrowly defined definition of a missile.</w:t>
      </w:r>
      <w:r w:rsidR="009B537E">
        <w:rPr>
          <w:rFonts w:cs="Arial"/>
          <w:szCs w:val="22"/>
        </w:rPr>
        <w:t xml:space="preserve">  Some licensee procedures identify specific types of materials that have the potential to become missiles.  An unintended consequence may be that potential missiles aren</w:t>
      </w:r>
      <w:r w:rsidR="00C57C17">
        <w:rPr>
          <w:rFonts w:cs="Arial"/>
          <w:szCs w:val="22"/>
        </w:rPr>
        <w:t>’</w:t>
      </w:r>
      <w:r w:rsidR="009B537E">
        <w:rPr>
          <w:rFonts w:cs="Arial"/>
          <w:szCs w:val="22"/>
        </w:rPr>
        <w:t>t identified because they are</w:t>
      </w:r>
      <w:r w:rsidR="00C57C17">
        <w:rPr>
          <w:rFonts w:cs="Arial"/>
          <w:szCs w:val="22"/>
        </w:rPr>
        <w:t xml:space="preserve"> </w:t>
      </w:r>
      <w:r w:rsidR="009B537E">
        <w:rPr>
          <w:rFonts w:cs="Arial"/>
          <w:szCs w:val="22"/>
        </w:rPr>
        <w:t>n</w:t>
      </w:r>
      <w:r w:rsidR="00C57C17">
        <w:rPr>
          <w:rFonts w:cs="Arial"/>
          <w:szCs w:val="22"/>
        </w:rPr>
        <w:t>o</w:t>
      </w:r>
      <w:r w:rsidR="009B537E">
        <w:rPr>
          <w:rFonts w:cs="Arial"/>
          <w:szCs w:val="22"/>
        </w:rPr>
        <w:t>t sufficiently similar to the examples provided in the licensee’s procedure.</w:t>
      </w:r>
      <w:r w:rsidR="004068B0">
        <w:rPr>
          <w:rFonts w:cs="Arial"/>
          <w:szCs w:val="22"/>
        </w:rPr>
        <w:t xml:space="preserve">  </w:t>
      </w:r>
    </w:p>
    <w:p w:rsidR="001B0789" w:rsidRDefault="009B537E" w:rsidP="001B0789">
      <w:pPr>
        <w:tabs>
          <w:tab w:val="left" w:pos="274"/>
          <w:tab w:val="left" w:pos="806"/>
          <w:tab w:val="left" w:pos="1440"/>
          <w:tab w:val="left" w:pos="2074"/>
        </w:tabs>
        <w:ind w:left="810" w:hanging="810"/>
        <w:rPr>
          <w:rFonts w:cs="Arial"/>
          <w:szCs w:val="22"/>
        </w:rPr>
      </w:pPr>
      <w:r>
        <w:rPr>
          <w:rFonts w:cs="Arial"/>
          <w:szCs w:val="22"/>
        </w:rPr>
        <w:tab/>
      </w:r>
      <w:r>
        <w:rPr>
          <w:rFonts w:cs="Arial"/>
          <w:szCs w:val="22"/>
        </w:rPr>
        <w:tab/>
      </w:r>
      <w:r w:rsidR="004068B0">
        <w:rPr>
          <w:rFonts w:cs="Arial"/>
          <w:szCs w:val="22"/>
        </w:rPr>
        <w:t>[Supports IP 71111.01, Section 02.02a]</w:t>
      </w:r>
    </w:p>
    <w:p w:rsidR="001B0789" w:rsidRDefault="001B0789" w:rsidP="001B0789">
      <w:pPr>
        <w:tabs>
          <w:tab w:val="left" w:pos="274"/>
          <w:tab w:val="left" w:pos="806"/>
          <w:tab w:val="left" w:pos="1440"/>
          <w:tab w:val="left" w:pos="2074"/>
        </w:tabs>
        <w:ind w:left="810" w:hanging="810"/>
        <w:rPr>
          <w:rFonts w:cs="Arial"/>
          <w:szCs w:val="22"/>
        </w:rPr>
      </w:pPr>
    </w:p>
    <w:p w:rsidR="001B0789" w:rsidRDefault="001B0789" w:rsidP="001B0789">
      <w:pPr>
        <w:tabs>
          <w:tab w:val="left" w:pos="274"/>
          <w:tab w:val="left" w:pos="806"/>
          <w:tab w:val="left" w:pos="1440"/>
          <w:tab w:val="left" w:pos="2074"/>
        </w:tabs>
        <w:ind w:left="810" w:hanging="810"/>
      </w:pPr>
      <w:r>
        <w:rPr>
          <w:rFonts w:cs="Arial"/>
          <w:szCs w:val="22"/>
        </w:rPr>
        <w:tab/>
        <w:t>d.</w:t>
      </w:r>
      <w:r>
        <w:rPr>
          <w:rFonts w:cs="Arial"/>
          <w:szCs w:val="22"/>
        </w:rPr>
        <w:tab/>
      </w:r>
      <w:r w:rsidRPr="008E465E">
        <w:rPr>
          <w:rFonts w:cs="Arial"/>
          <w:szCs w:val="22"/>
        </w:rPr>
        <w:t>Ensure that the licensee can shut all normally open tornado doors in a timely manner.</w:t>
      </w:r>
      <w:r w:rsidR="004068B0">
        <w:rPr>
          <w:rFonts w:cs="Arial"/>
          <w:szCs w:val="22"/>
        </w:rPr>
        <w:t xml:space="preserve">  [Supports IP 71111.01, Section 02.02a]</w:t>
      </w:r>
    </w:p>
    <w:p w:rsidR="001D6B24" w:rsidRDefault="001D6B24" w:rsidP="00BE43A2">
      <w:pPr>
        <w:tabs>
          <w:tab w:val="left" w:pos="274"/>
          <w:tab w:val="left" w:pos="806"/>
          <w:tab w:val="left" w:pos="1440"/>
          <w:tab w:val="left" w:pos="2074"/>
        </w:tabs>
      </w:pPr>
    </w:p>
    <w:p w:rsidR="001D6B24" w:rsidRPr="008C115E" w:rsidRDefault="001D6B24" w:rsidP="00BE43A2">
      <w:pPr>
        <w:tabs>
          <w:tab w:val="left" w:pos="274"/>
          <w:tab w:val="left" w:pos="806"/>
          <w:tab w:val="left" w:pos="1440"/>
          <w:tab w:val="left" w:pos="2074"/>
        </w:tabs>
      </w:pPr>
      <w:r w:rsidRPr="008C115E">
        <w:t>04.03</w:t>
      </w:r>
      <w:r w:rsidRPr="008C115E">
        <w:tab/>
      </w:r>
      <w:r w:rsidRPr="008C115E">
        <w:rPr>
          <w:u w:val="single"/>
        </w:rPr>
        <w:t>Design Basis</w:t>
      </w:r>
      <w:r w:rsidRPr="008C115E">
        <w:t>.</w:t>
      </w:r>
      <w:r w:rsidR="008C115E">
        <w:t xml:space="preserve">  </w:t>
      </w:r>
      <w:r w:rsidR="008C115E">
        <w:rPr>
          <w:rFonts w:cs="Arial"/>
          <w:szCs w:val="22"/>
        </w:rPr>
        <w:t>The recommended inspection activities described below support</w:t>
      </w:r>
      <w:r w:rsidR="008C115E" w:rsidRPr="008C115E">
        <w:rPr>
          <w:rFonts w:cs="Arial"/>
          <w:szCs w:val="22"/>
        </w:rPr>
        <w:t xml:space="preserve"> IP 71111.21, “Component Design Basis Inspection</w:t>
      </w:r>
      <w:r w:rsidR="008C115E">
        <w:rPr>
          <w:rFonts w:cs="Arial"/>
          <w:szCs w:val="22"/>
        </w:rPr>
        <w:t>.</w:t>
      </w:r>
      <w:r w:rsidR="008C115E" w:rsidRPr="008C115E">
        <w:rPr>
          <w:rFonts w:cs="Arial"/>
          <w:szCs w:val="22"/>
        </w:rPr>
        <w:t>”</w:t>
      </w:r>
    </w:p>
    <w:p w:rsidR="001B0789" w:rsidRPr="008C115E" w:rsidRDefault="001B0789" w:rsidP="00BE43A2">
      <w:pPr>
        <w:tabs>
          <w:tab w:val="left" w:pos="274"/>
          <w:tab w:val="left" w:pos="806"/>
          <w:tab w:val="left" w:pos="1440"/>
          <w:tab w:val="left" w:pos="2074"/>
        </w:tabs>
      </w:pPr>
    </w:p>
    <w:p w:rsidR="0012441B" w:rsidRDefault="001B0789" w:rsidP="001B0789">
      <w:pPr>
        <w:tabs>
          <w:tab w:val="left" w:pos="274"/>
          <w:tab w:val="left" w:pos="806"/>
          <w:tab w:val="left" w:pos="1440"/>
          <w:tab w:val="left" w:pos="2074"/>
        </w:tabs>
        <w:ind w:left="810" w:hanging="810"/>
      </w:pPr>
      <w:r w:rsidRPr="008C115E">
        <w:tab/>
        <w:t>a.</w:t>
      </w:r>
      <w:r w:rsidRPr="008C115E">
        <w:tab/>
        <w:t xml:space="preserve">Does the licensee have calculations with respect to tornado wind loadings and missile generation for safety related equipment, such as the EDG fuel oil storage tanks (either above or below grade) </w:t>
      </w:r>
      <w:r w:rsidR="001817DB">
        <w:t xml:space="preserve">and </w:t>
      </w:r>
      <w:r w:rsidRPr="008C115E">
        <w:t>vents associated with the EDGs (fuel oil storage tanks, EDG crankcase, exhaust, and day tank vents)?</w:t>
      </w:r>
      <w:r w:rsidR="002F283B" w:rsidRPr="008C115E">
        <w:t xml:space="preserve">  </w:t>
      </w:r>
    </w:p>
    <w:p w:rsidR="001B0789" w:rsidRPr="008C115E" w:rsidRDefault="0012441B" w:rsidP="001B0789">
      <w:pPr>
        <w:tabs>
          <w:tab w:val="left" w:pos="274"/>
          <w:tab w:val="left" w:pos="806"/>
          <w:tab w:val="left" w:pos="1440"/>
          <w:tab w:val="left" w:pos="2074"/>
        </w:tabs>
        <w:ind w:left="810" w:hanging="810"/>
      </w:pPr>
      <w:r>
        <w:tab/>
      </w:r>
      <w:r>
        <w:tab/>
      </w:r>
      <w:r w:rsidR="002F283B" w:rsidRPr="008C115E">
        <w:rPr>
          <w:rFonts w:cs="Arial"/>
          <w:szCs w:val="22"/>
        </w:rPr>
        <w:t xml:space="preserve">[Supports </w:t>
      </w:r>
      <w:r>
        <w:rPr>
          <w:rFonts w:cs="Arial"/>
          <w:szCs w:val="22"/>
        </w:rPr>
        <w:t>I</w:t>
      </w:r>
      <w:r w:rsidR="008C115E" w:rsidRPr="008C115E">
        <w:rPr>
          <w:rFonts w:cs="Arial"/>
          <w:szCs w:val="22"/>
        </w:rPr>
        <w:t>P 71111.21, Section</w:t>
      </w:r>
      <w:r>
        <w:rPr>
          <w:rFonts w:cs="Arial"/>
          <w:szCs w:val="22"/>
        </w:rPr>
        <w:t>s</w:t>
      </w:r>
      <w:r w:rsidR="008C115E" w:rsidRPr="008C115E">
        <w:rPr>
          <w:rFonts w:cs="Arial"/>
          <w:szCs w:val="22"/>
        </w:rPr>
        <w:t xml:space="preserve"> 02.01c, 02.02a</w:t>
      </w:r>
      <w:r w:rsidR="002F283B" w:rsidRPr="008C115E">
        <w:rPr>
          <w:rFonts w:cs="Arial"/>
          <w:szCs w:val="22"/>
        </w:rPr>
        <w:t>]</w:t>
      </w:r>
    </w:p>
    <w:p w:rsidR="001B0789" w:rsidRPr="008C115E" w:rsidRDefault="001B0789" w:rsidP="001B0789">
      <w:pPr>
        <w:tabs>
          <w:tab w:val="left" w:pos="274"/>
          <w:tab w:val="left" w:pos="806"/>
          <w:tab w:val="left" w:pos="1440"/>
          <w:tab w:val="left" w:pos="2074"/>
        </w:tabs>
        <w:ind w:left="810" w:hanging="810"/>
      </w:pPr>
    </w:p>
    <w:p w:rsidR="001B0789" w:rsidRDefault="001B0789" w:rsidP="001B0789">
      <w:pPr>
        <w:tabs>
          <w:tab w:val="left" w:pos="274"/>
          <w:tab w:val="left" w:pos="806"/>
          <w:tab w:val="left" w:pos="1440"/>
          <w:tab w:val="left" w:pos="2074"/>
        </w:tabs>
        <w:ind w:left="810" w:hanging="810"/>
        <w:rPr>
          <w:rFonts w:cs="Arial"/>
          <w:szCs w:val="22"/>
        </w:rPr>
      </w:pPr>
      <w:r w:rsidRPr="008C115E">
        <w:tab/>
        <w:t>b.</w:t>
      </w:r>
      <w:r w:rsidRPr="008C115E">
        <w:tab/>
      </w:r>
      <w:r w:rsidRPr="008C115E">
        <w:rPr>
          <w:rFonts w:cs="Arial"/>
          <w:szCs w:val="22"/>
        </w:rPr>
        <w:t xml:space="preserve">Does the license have appropriate calculations with respect to tornado wind loadings and missile generation for all cranes, fuel transfer casks, condensate storage tank piping, and protective enclosures for structures or equipment (e.g., service water pump </w:t>
      </w:r>
      <w:proofErr w:type="spellStart"/>
      <w:r w:rsidRPr="008C115E">
        <w:rPr>
          <w:rFonts w:cs="Arial"/>
          <w:szCs w:val="22"/>
        </w:rPr>
        <w:t>screenhouse</w:t>
      </w:r>
      <w:proofErr w:type="spellEnd"/>
      <w:r w:rsidRPr="008C115E">
        <w:rPr>
          <w:rFonts w:cs="Arial"/>
          <w:szCs w:val="22"/>
        </w:rPr>
        <w:t xml:space="preserve"> covers)?</w:t>
      </w:r>
    </w:p>
    <w:p w:rsidR="0012441B" w:rsidRPr="008C115E" w:rsidRDefault="0012441B" w:rsidP="001B0789">
      <w:pPr>
        <w:tabs>
          <w:tab w:val="left" w:pos="274"/>
          <w:tab w:val="left" w:pos="806"/>
          <w:tab w:val="left" w:pos="1440"/>
          <w:tab w:val="left" w:pos="2074"/>
        </w:tabs>
        <w:ind w:left="810" w:hanging="810"/>
        <w:rPr>
          <w:rFonts w:cs="Arial"/>
          <w:szCs w:val="22"/>
        </w:rPr>
      </w:pPr>
      <w:r>
        <w:rPr>
          <w:rFonts w:cs="Arial"/>
          <w:szCs w:val="22"/>
        </w:rPr>
        <w:tab/>
      </w:r>
      <w:r>
        <w:rPr>
          <w:rFonts w:cs="Arial"/>
          <w:szCs w:val="22"/>
        </w:rPr>
        <w:tab/>
      </w:r>
      <w:r w:rsidRPr="008C115E">
        <w:rPr>
          <w:rFonts w:cs="Arial"/>
          <w:szCs w:val="22"/>
        </w:rPr>
        <w:t xml:space="preserve">[Supports </w:t>
      </w:r>
      <w:r>
        <w:rPr>
          <w:rFonts w:cs="Arial"/>
          <w:szCs w:val="22"/>
        </w:rPr>
        <w:t>I</w:t>
      </w:r>
      <w:r w:rsidRPr="008C115E">
        <w:rPr>
          <w:rFonts w:cs="Arial"/>
          <w:szCs w:val="22"/>
        </w:rPr>
        <w:t>P 71111.21, Section</w:t>
      </w:r>
      <w:r>
        <w:rPr>
          <w:rFonts w:cs="Arial"/>
          <w:szCs w:val="22"/>
        </w:rPr>
        <w:t>s</w:t>
      </w:r>
      <w:r w:rsidRPr="008C115E">
        <w:rPr>
          <w:rFonts w:cs="Arial"/>
          <w:szCs w:val="22"/>
        </w:rPr>
        <w:t xml:space="preserve"> 02.01c, 02.02a]</w:t>
      </w:r>
    </w:p>
    <w:p w:rsidR="001B0789" w:rsidRPr="008C115E" w:rsidRDefault="001B0789" w:rsidP="001B0789">
      <w:pPr>
        <w:tabs>
          <w:tab w:val="left" w:pos="274"/>
          <w:tab w:val="left" w:pos="806"/>
          <w:tab w:val="left" w:pos="1440"/>
          <w:tab w:val="left" w:pos="2074"/>
        </w:tabs>
        <w:ind w:left="810" w:hanging="810"/>
        <w:rPr>
          <w:rFonts w:cs="Arial"/>
          <w:szCs w:val="22"/>
        </w:rPr>
      </w:pPr>
    </w:p>
    <w:p w:rsidR="001B0789" w:rsidRDefault="001B0789" w:rsidP="001B0789">
      <w:pPr>
        <w:tabs>
          <w:tab w:val="left" w:pos="274"/>
          <w:tab w:val="left" w:pos="806"/>
          <w:tab w:val="left" w:pos="1440"/>
          <w:tab w:val="left" w:pos="2074"/>
        </w:tabs>
        <w:ind w:left="810" w:hanging="810"/>
        <w:rPr>
          <w:rFonts w:cs="Arial"/>
          <w:szCs w:val="22"/>
        </w:rPr>
      </w:pPr>
      <w:r w:rsidRPr="008C115E">
        <w:rPr>
          <w:rFonts w:cs="Arial"/>
          <w:szCs w:val="22"/>
        </w:rPr>
        <w:tab/>
        <w:t>c.</w:t>
      </w:r>
      <w:r w:rsidRPr="008C115E">
        <w:rPr>
          <w:rFonts w:cs="Arial"/>
          <w:szCs w:val="22"/>
        </w:rPr>
        <w:tab/>
        <w:t>Has the licensee used TORMIS (</w:t>
      </w:r>
      <w:proofErr w:type="spellStart"/>
      <w:r w:rsidR="00D10465">
        <w:rPr>
          <w:rFonts w:cs="Arial"/>
          <w:szCs w:val="22"/>
        </w:rPr>
        <w:t>Agencywide</w:t>
      </w:r>
      <w:proofErr w:type="spellEnd"/>
      <w:r w:rsidR="00D10465">
        <w:rPr>
          <w:rFonts w:cs="Arial"/>
          <w:szCs w:val="22"/>
        </w:rPr>
        <w:t xml:space="preserve"> Document Access Management System (ADAMS) Accession No. </w:t>
      </w:r>
      <w:hyperlink r:id="rId11" w:history="1">
        <w:r w:rsidRPr="008C115E">
          <w:rPr>
            <w:rStyle w:val="Hyperlink"/>
            <w:rFonts w:cs="Arial"/>
            <w:szCs w:val="22"/>
          </w:rPr>
          <w:t>ML080870291</w:t>
        </w:r>
      </w:hyperlink>
      <w:r w:rsidRPr="008C115E">
        <w:rPr>
          <w:rFonts w:cs="Arial"/>
          <w:szCs w:val="22"/>
        </w:rPr>
        <w:t xml:space="preserve">), which is a tornado probabilistic methodology developed by EPRI and approved by the NRC in 1983, to justify not providing positive protection against tornado or missile generation based on this code?  Note that </w:t>
      </w:r>
      <w:hyperlink r:id="rId12" w:history="1">
        <w:r w:rsidRPr="008C115E">
          <w:rPr>
            <w:rStyle w:val="Hyperlink"/>
            <w:rFonts w:cs="Arial"/>
            <w:szCs w:val="22"/>
          </w:rPr>
          <w:t>RIS 2008-014</w:t>
        </w:r>
      </w:hyperlink>
      <w:r w:rsidRPr="008C115E">
        <w:rPr>
          <w:rFonts w:cs="Arial"/>
          <w:szCs w:val="22"/>
        </w:rPr>
        <w:t xml:space="preserve"> provides NRC guidance on acceptable use of the program.  Inspectors </w:t>
      </w:r>
      <w:r w:rsidR="008C115E">
        <w:rPr>
          <w:rFonts w:cs="Arial"/>
          <w:szCs w:val="22"/>
        </w:rPr>
        <w:t>may consider</w:t>
      </w:r>
      <w:r w:rsidRPr="008C115E">
        <w:rPr>
          <w:rFonts w:cs="Arial"/>
          <w:szCs w:val="22"/>
        </w:rPr>
        <w:t xml:space="preserve"> identify</w:t>
      </w:r>
      <w:r w:rsidR="008C115E">
        <w:rPr>
          <w:rFonts w:cs="Arial"/>
          <w:szCs w:val="22"/>
        </w:rPr>
        <w:t>ing</w:t>
      </w:r>
      <w:r w:rsidRPr="008C115E">
        <w:rPr>
          <w:rFonts w:cs="Arial"/>
          <w:szCs w:val="22"/>
        </w:rPr>
        <w:t xml:space="preserve"> instances where the licensee has submitted a license amendment to not provide positive protection against missile generation based on this code.</w:t>
      </w:r>
    </w:p>
    <w:p w:rsidR="0012441B" w:rsidRDefault="0012441B" w:rsidP="001B0789">
      <w:pPr>
        <w:tabs>
          <w:tab w:val="left" w:pos="274"/>
          <w:tab w:val="left" w:pos="806"/>
          <w:tab w:val="left" w:pos="1440"/>
          <w:tab w:val="left" w:pos="2074"/>
        </w:tabs>
        <w:ind w:left="810" w:hanging="810"/>
      </w:pPr>
      <w:r>
        <w:rPr>
          <w:rFonts w:cs="Arial"/>
          <w:szCs w:val="22"/>
        </w:rPr>
        <w:tab/>
      </w:r>
      <w:r>
        <w:rPr>
          <w:rFonts w:cs="Arial"/>
          <w:szCs w:val="22"/>
        </w:rPr>
        <w:tab/>
      </w:r>
      <w:r w:rsidRPr="008C115E">
        <w:rPr>
          <w:rFonts w:cs="Arial"/>
          <w:szCs w:val="22"/>
        </w:rPr>
        <w:t xml:space="preserve">[Supports </w:t>
      </w:r>
      <w:r>
        <w:rPr>
          <w:rFonts w:cs="Arial"/>
          <w:szCs w:val="22"/>
        </w:rPr>
        <w:t>I</w:t>
      </w:r>
      <w:r w:rsidRPr="008C115E">
        <w:rPr>
          <w:rFonts w:cs="Arial"/>
          <w:szCs w:val="22"/>
        </w:rPr>
        <w:t>P 71111.21, Section</w:t>
      </w:r>
      <w:r>
        <w:rPr>
          <w:rFonts w:cs="Arial"/>
          <w:szCs w:val="22"/>
        </w:rPr>
        <w:t>s</w:t>
      </w:r>
      <w:r w:rsidRPr="008C115E">
        <w:rPr>
          <w:rFonts w:cs="Arial"/>
          <w:szCs w:val="22"/>
        </w:rPr>
        <w:t xml:space="preserve"> 02.01c, 02.02a]</w:t>
      </w:r>
    </w:p>
    <w:p w:rsidR="001B0789" w:rsidRDefault="001B0789" w:rsidP="00BE43A2">
      <w:pPr>
        <w:tabs>
          <w:tab w:val="left" w:pos="274"/>
          <w:tab w:val="left" w:pos="806"/>
          <w:tab w:val="left" w:pos="1440"/>
          <w:tab w:val="left" w:pos="2074"/>
        </w:tabs>
      </w:pPr>
      <w:r>
        <w:tab/>
      </w:r>
    </w:p>
    <w:p w:rsidR="00D10465" w:rsidRDefault="00D10465" w:rsidP="00BE43A2">
      <w:pPr>
        <w:tabs>
          <w:tab w:val="left" w:pos="274"/>
          <w:tab w:val="left" w:pos="806"/>
          <w:tab w:val="left" w:pos="1440"/>
          <w:tab w:val="left" w:pos="2074"/>
        </w:tabs>
      </w:pPr>
    </w:p>
    <w:p w:rsidR="009B537E" w:rsidRDefault="009B537E" w:rsidP="00BE43A2">
      <w:pPr>
        <w:tabs>
          <w:tab w:val="left" w:pos="274"/>
          <w:tab w:val="left" w:pos="806"/>
          <w:tab w:val="left" w:pos="1440"/>
          <w:tab w:val="left" w:pos="2074"/>
        </w:tabs>
      </w:pPr>
    </w:p>
    <w:p w:rsidR="00BA3569" w:rsidRDefault="00A013C6" w:rsidP="0012441B">
      <w:pPr>
        <w:tabs>
          <w:tab w:val="left" w:pos="274"/>
          <w:tab w:val="left" w:pos="806"/>
          <w:tab w:val="left" w:pos="1440"/>
          <w:tab w:val="left" w:pos="2074"/>
        </w:tabs>
      </w:pPr>
      <w:r>
        <w:lastRenderedPageBreak/>
        <w:t>04.0</w:t>
      </w:r>
      <w:r w:rsidR="001D6B24">
        <w:t>4</w:t>
      </w:r>
      <w:r>
        <w:tab/>
      </w:r>
      <w:r w:rsidR="00A64994" w:rsidRPr="00A64994">
        <w:t xml:space="preserve">Though most inspection effort for missile </w:t>
      </w:r>
      <w:r w:rsidR="001817DB">
        <w:t>protection</w:t>
      </w:r>
      <w:r w:rsidR="00A64994" w:rsidRPr="00A64994">
        <w:t xml:space="preserve"> is directed through IP 71111.01, </w:t>
      </w:r>
      <w:r w:rsidR="00A64994">
        <w:t>“</w:t>
      </w:r>
      <w:r w:rsidR="00A64994" w:rsidRPr="00A64994">
        <w:t>Adverse Weather Protection,</w:t>
      </w:r>
      <w:r w:rsidR="00A64994">
        <w:t>”</w:t>
      </w:r>
      <w:r w:rsidR="00A64994" w:rsidRPr="00A64994">
        <w:t xml:space="preserve"> </w:t>
      </w:r>
      <w:r w:rsidR="0012441B">
        <w:t>and IP 7111</w:t>
      </w:r>
      <w:r w:rsidR="00D10465">
        <w:t>1</w:t>
      </w:r>
      <w:r w:rsidR="0012441B">
        <w:t xml:space="preserve">.21, “Component Design Basis Inspection,” </w:t>
      </w:r>
      <w:r w:rsidR="00A64994" w:rsidRPr="00A64994">
        <w:t>actual missile events may originate from a variety of causes, including catastrophic transformer failure, high energy line break, turbine failure, or steam release.</w:t>
      </w:r>
      <w:r w:rsidR="002F283B">
        <w:t xml:space="preserve">  It may be appropriate to consider other IPs for follow up inspection activities.  Examples of previous findings identified through other inspection activities are provided in the </w:t>
      </w:r>
      <w:r w:rsidR="00D10465">
        <w:t>‘</w:t>
      </w:r>
      <w:r w:rsidR="002F283B">
        <w:t>Reference</w:t>
      </w:r>
      <w:r w:rsidR="00D10465">
        <w:t>’</w:t>
      </w:r>
      <w:r w:rsidR="002F283B">
        <w:t xml:space="preserve"> section below.</w:t>
      </w:r>
    </w:p>
    <w:p w:rsidR="0012441B" w:rsidRDefault="0012441B" w:rsidP="0012441B">
      <w:pPr>
        <w:tabs>
          <w:tab w:val="left" w:pos="274"/>
          <w:tab w:val="left" w:pos="806"/>
          <w:tab w:val="left" w:pos="1440"/>
          <w:tab w:val="left" w:pos="2074"/>
        </w:tabs>
      </w:pPr>
    </w:p>
    <w:p w:rsidR="0012441B" w:rsidRDefault="0012441B" w:rsidP="00A57EA8">
      <w:pPr>
        <w:tabs>
          <w:tab w:val="left" w:pos="274"/>
          <w:tab w:val="left" w:pos="806"/>
          <w:tab w:val="left" w:pos="1440"/>
          <w:tab w:val="left" w:pos="2074"/>
        </w:tabs>
        <w:ind w:left="806" w:hanging="806"/>
      </w:pPr>
    </w:p>
    <w:p w:rsidR="00FA6080" w:rsidRPr="00FF6355" w:rsidRDefault="00BE43A2" w:rsidP="00950727">
      <w:proofErr w:type="spellStart"/>
      <w:r>
        <w:t>OpESS</w:t>
      </w:r>
      <w:proofErr w:type="spellEnd"/>
      <w:r>
        <w:t xml:space="preserve"> </w:t>
      </w:r>
      <w:r w:rsidR="00962DD9" w:rsidRPr="00FF6355">
        <w:t>2</w:t>
      </w:r>
      <w:r>
        <w:t>012</w:t>
      </w:r>
      <w:r w:rsidR="00962DD9" w:rsidRPr="00FF6355">
        <w:t>/</w:t>
      </w:r>
      <w:r>
        <w:t>0</w:t>
      </w:r>
      <w:r w:rsidR="00962DD9" w:rsidRPr="00FF6355">
        <w:t>1</w:t>
      </w:r>
      <w:r w:rsidR="003D4F96" w:rsidRPr="00FF6355">
        <w:t>-0</w:t>
      </w:r>
      <w:r w:rsidR="00B06B1B" w:rsidRPr="00FF6355">
        <w:t>5</w:t>
      </w:r>
      <w:r w:rsidR="003D4F96" w:rsidRPr="00FF6355">
        <w:tab/>
      </w:r>
      <w:r w:rsidR="009376F2" w:rsidRPr="00FF6355">
        <w:t>RE</w:t>
      </w:r>
      <w:r>
        <w:t>FERENCES</w:t>
      </w:r>
    </w:p>
    <w:p w:rsidR="00FA6080" w:rsidRDefault="00FA6080" w:rsidP="00950727"/>
    <w:p w:rsidR="002F283B" w:rsidRDefault="002F283B" w:rsidP="00FD3DB4">
      <w:pPr>
        <w:tabs>
          <w:tab w:val="left" w:pos="810"/>
        </w:tabs>
      </w:pPr>
      <w:r>
        <w:t>05.01</w:t>
      </w:r>
      <w:r>
        <w:tab/>
      </w:r>
      <w:r w:rsidRPr="00F316C3">
        <w:t xml:space="preserve"> Title 10 of the </w:t>
      </w:r>
      <w:r w:rsidRPr="00F316C3">
        <w:rPr>
          <w:i/>
        </w:rPr>
        <w:t>Code of Federal Regulations</w:t>
      </w:r>
      <w:r w:rsidR="00F316C3">
        <w:t xml:space="preserve"> (10 CFR) Part 50</w:t>
      </w:r>
    </w:p>
    <w:p w:rsidR="002F283B" w:rsidRDefault="002F283B" w:rsidP="0050791C"/>
    <w:p w:rsidR="00085215" w:rsidRDefault="002F283B" w:rsidP="00085215">
      <w:pPr>
        <w:tabs>
          <w:tab w:val="left" w:pos="270"/>
          <w:tab w:val="left" w:pos="810"/>
          <w:tab w:val="left" w:pos="1440"/>
          <w:tab w:val="left" w:pos="2070"/>
        </w:tabs>
        <w:ind w:left="810" w:hanging="810"/>
      </w:pPr>
      <w:r>
        <w:tab/>
        <w:t>a.</w:t>
      </w:r>
      <w:r>
        <w:tab/>
      </w:r>
      <w:hyperlink r:id="rId13" w:history="1">
        <w:r w:rsidR="00E067BF" w:rsidRPr="00D22CA0">
          <w:rPr>
            <w:rStyle w:val="Hyperlink"/>
          </w:rPr>
          <w:t xml:space="preserve">Appendix A, </w:t>
        </w:r>
        <w:r w:rsidR="00F316C3" w:rsidRPr="00D22CA0">
          <w:rPr>
            <w:rStyle w:val="Hyperlink"/>
          </w:rPr>
          <w:t>“General Design Criteria for Nuclear Power Plants,”</w:t>
        </w:r>
      </w:hyperlink>
      <w:r w:rsidR="00F316C3">
        <w:t xml:space="preserve"> </w:t>
      </w:r>
      <w:r w:rsidR="0050791C" w:rsidRPr="0050791C">
        <w:t xml:space="preserve">Criterion 2, </w:t>
      </w:r>
      <w:r>
        <w:t>“</w:t>
      </w:r>
      <w:r w:rsidR="0050791C" w:rsidRPr="002F283B">
        <w:t>Design bases for protection against natural phenomena</w:t>
      </w:r>
      <w:r w:rsidR="0050791C" w:rsidRPr="0050791C">
        <w:t>,</w:t>
      </w:r>
      <w:r>
        <w:t>”</w:t>
      </w:r>
      <w:r w:rsidR="0050791C" w:rsidRPr="0050791C">
        <w:t xml:space="preserve"> requires that </w:t>
      </w:r>
      <w:r w:rsidR="00085215">
        <w:t>SSCs</w:t>
      </w:r>
      <w:r w:rsidR="0050791C" w:rsidRPr="0050791C">
        <w:t xml:space="preserve"> important to safety be designed to withstand the effects of tornados without loss of their ability to </w:t>
      </w:r>
      <w:r w:rsidR="00085215">
        <w:t>perform their safety function.</w:t>
      </w:r>
    </w:p>
    <w:p w:rsidR="00085215" w:rsidRDefault="00085215" w:rsidP="00085215">
      <w:pPr>
        <w:tabs>
          <w:tab w:val="left" w:pos="270"/>
          <w:tab w:val="left" w:pos="810"/>
          <w:tab w:val="left" w:pos="1440"/>
          <w:tab w:val="left" w:pos="2070"/>
        </w:tabs>
        <w:ind w:left="810" w:hanging="810"/>
      </w:pPr>
    </w:p>
    <w:p w:rsidR="00085215" w:rsidRDefault="00085215" w:rsidP="00085215">
      <w:pPr>
        <w:tabs>
          <w:tab w:val="left" w:pos="270"/>
          <w:tab w:val="left" w:pos="810"/>
          <w:tab w:val="left" w:pos="1440"/>
          <w:tab w:val="left" w:pos="2070"/>
        </w:tabs>
        <w:ind w:left="810" w:hanging="810"/>
      </w:pPr>
      <w:r>
        <w:tab/>
        <w:t>b.</w:t>
      </w:r>
      <w:r>
        <w:tab/>
      </w:r>
      <w:hyperlink r:id="rId14" w:history="1">
        <w:r w:rsidR="00F316C3" w:rsidRPr="00D22CA0">
          <w:rPr>
            <w:rStyle w:val="Hyperlink"/>
          </w:rPr>
          <w:t>Appendix A, “General Design Criteria for Nuclear Power Plants,”</w:t>
        </w:r>
      </w:hyperlink>
      <w:r w:rsidR="00F316C3">
        <w:t xml:space="preserve"> </w:t>
      </w:r>
      <w:r w:rsidR="0050791C" w:rsidRPr="0050791C">
        <w:t xml:space="preserve">Criterion 4, </w:t>
      </w:r>
      <w:r>
        <w:t>“</w:t>
      </w:r>
      <w:r w:rsidR="0050791C" w:rsidRPr="00085215">
        <w:t>Environmental and dynamic effects design bases,</w:t>
      </w:r>
      <w:r>
        <w:t>”</w:t>
      </w:r>
      <w:r w:rsidR="0050791C" w:rsidRPr="0050791C">
        <w:t xml:space="preserve"> requires that </w:t>
      </w:r>
      <w:r>
        <w:t>SSCs</w:t>
      </w:r>
      <w:r w:rsidR="0050791C" w:rsidRPr="0050791C">
        <w:t xml:space="preserve"> important to safety shall be designed to accommodate the effects of and to be compatible with the environmental conditions associated with normal operation, maintenance, testing, and postulated accidents, includ</w:t>
      </w:r>
      <w:r>
        <w:t>ing loss-of-coolant accidents.</w:t>
      </w:r>
    </w:p>
    <w:p w:rsidR="00085215" w:rsidRDefault="00085215" w:rsidP="00085215">
      <w:pPr>
        <w:tabs>
          <w:tab w:val="left" w:pos="270"/>
          <w:tab w:val="left" w:pos="810"/>
          <w:tab w:val="left" w:pos="1440"/>
          <w:tab w:val="left" w:pos="2070"/>
        </w:tabs>
        <w:ind w:left="810" w:hanging="810"/>
      </w:pPr>
    </w:p>
    <w:p w:rsidR="007561D3" w:rsidRPr="00D22CA0" w:rsidRDefault="00085215" w:rsidP="00085215">
      <w:pPr>
        <w:tabs>
          <w:tab w:val="left" w:pos="270"/>
          <w:tab w:val="left" w:pos="810"/>
          <w:tab w:val="left" w:pos="1440"/>
          <w:tab w:val="left" w:pos="2070"/>
        </w:tabs>
        <w:ind w:left="810" w:hanging="810"/>
      </w:pPr>
      <w:r>
        <w:tab/>
        <w:t>c.</w:t>
      </w:r>
      <w:r>
        <w:tab/>
      </w:r>
      <w:hyperlink r:id="rId15" w:history="1">
        <w:r w:rsidR="00D22CA0" w:rsidRPr="00D22CA0">
          <w:rPr>
            <w:rStyle w:val="Hyperlink"/>
          </w:rPr>
          <w:t>Appendix B</w:t>
        </w:r>
        <w:r w:rsidR="00F316C3" w:rsidRPr="00D22CA0">
          <w:rPr>
            <w:rStyle w:val="Hyperlink"/>
          </w:rPr>
          <w:t>, “</w:t>
        </w:r>
        <w:r w:rsidR="00D22CA0" w:rsidRPr="00D22CA0">
          <w:rPr>
            <w:rStyle w:val="Hyperlink"/>
          </w:rPr>
          <w:t>Quality Assurance Criteria for Nuclear Power Plants and Fuel Reprocessing Plants</w:t>
        </w:r>
        <w:r w:rsidR="00F316C3" w:rsidRPr="00D22CA0">
          <w:rPr>
            <w:rStyle w:val="Hyperlink"/>
          </w:rPr>
          <w:t>,”</w:t>
        </w:r>
      </w:hyperlink>
      <w:r w:rsidR="00F316C3">
        <w:t xml:space="preserve"> </w:t>
      </w:r>
      <w:r w:rsidR="0050791C" w:rsidRPr="0050791C">
        <w:t xml:space="preserve">Criterion 3, </w:t>
      </w:r>
      <w:r>
        <w:t>“</w:t>
      </w:r>
      <w:r w:rsidR="0050791C" w:rsidRPr="00085215">
        <w:t>Design control,</w:t>
      </w:r>
      <w:r>
        <w:t>”</w:t>
      </w:r>
      <w:r w:rsidR="0050791C" w:rsidRPr="0050791C">
        <w:t xml:space="preserve"> requires that regulatory requirements are correctly translated into specifications, drawings, procedures, and instructions.</w:t>
      </w:r>
    </w:p>
    <w:p w:rsidR="00085215" w:rsidRDefault="00085215" w:rsidP="00085215">
      <w:pPr>
        <w:tabs>
          <w:tab w:val="left" w:pos="270"/>
          <w:tab w:val="left" w:pos="810"/>
          <w:tab w:val="left" w:pos="1440"/>
          <w:tab w:val="left" w:pos="2070"/>
        </w:tabs>
        <w:ind w:left="810" w:hanging="810"/>
      </w:pPr>
    </w:p>
    <w:p w:rsidR="00085215" w:rsidRDefault="00FA67C0" w:rsidP="00085215">
      <w:pPr>
        <w:tabs>
          <w:tab w:val="left" w:pos="270"/>
          <w:tab w:val="left" w:pos="810"/>
          <w:tab w:val="left" w:pos="1440"/>
          <w:tab w:val="left" w:pos="2070"/>
        </w:tabs>
        <w:ind w:left="810" w:hanging="810"/>
      </w:pPr>
      <w:r>
        <w:t>05.02</w:t>
      </w:r>
      <w:r>
        <w:tab/>
      </w:r>
      <w:r w:rsidR="00085215">
        <w:t>Regulatory Documents and Communication</w:t>
      </w:r>
      <w:r w:rsidR="00FD3DB4">
        <w:t>.</w:t>
      </w:r>
    </w:p>
    <w:p w:rsidR="00085215" w:rsidRDefault="00085215" w:rsidP="00085215">
      <w:pPr>
        <w:tabs>
          <w:tab w:val="left" w:pos="270"/>
          <w:tab w:val="left" w:pos="810"/>
          <w:tab w:val="left" w:pos="1440"/>
          <w:tab w:val="left" w:pos="2070"/>
        </w:tabs>
        <w:ind w:left="810" w:hanging="810"/>
      </w:pPr>
    </w:p>
    <w:p w:rsidR="00085215" w:rsidRPr="00085215" w:rsidRDefault="00085215" w:rsidP="00085215">
      <w:pPr>
        <w:tabs>
          <w:tab w:val="left" w:pos="270"/>
          <w:tab w:val="left" w:pos="810"/>
          <w:tab w:val="left" w:pos="1440"/>
          <w:tab w:val="left" w:pos="2070"/>
        </w:tabs>
        <w:ind w:left="810" w:hanging="810"/>
      </w:pPr>
      <w:r>
        <w:tab/>
      </w:r>
      <w:r w:rsidRPr="00085215">
        <w:t>a.</w:t>
      </w:r>
      <w:r w:rsidRPr="00085215">
        <w:tab/>
      </w:r>
      <w:hyperlink r:id="rId16" w:history="1">
        <w:r w:rsidRPr="00085215">
          <w:rPr>
            <w:rStyle w:val="Hyperlink"/>
          </w:rPr>
          <w:t>Reg</w:t>
        </w:r>
        <w:r>
          <w:rPr>
            <w:rStyle w:val="Hyperlink"/>
          </w:rPr>
          <w:t xml:space="preserve">ulatory </w:t>
        </w:r>
        <w:r w:rsidRPr="00085215">
          <w:rPr>
            <w:rStyle w:val="Hyperlink"/>
          </w:rPr>
          <w:t>Guide</w:t>
        </w:r>
        <w:r>
          <w:rPr>
            <w:rStyle w:val="Hyperlink"/>
          </w:rPr>
          <w:t xml:space="preserve"> (RG) </w:t>
        </w:r>
        <w:r w:rsidRPr="00085215">
          <w:rPr>
            <w:rStyle w:val="Hyperlink"/>
          </w:rPr>
          <w:t>1.76</w:t>
        </w:r>
      </w:hyperlink>
      <w:r w:rsidRPr="00085215">
        <w:t xml:space="preserve">, </w:t>
      </w:r>
      <w:r>
        <w:t>“</w:t>
      </w:r>
      <w:r w:rsidRPr="00085215">
        <w:t>Design-Basis Tornado and Tornado Missiles for Nuclear Power Plants</w:t>
      </w:r>
      <w:r>
        <w:t>”</w:t>
      </w:r>
    </w:p>
    <w:p w:rsidR="00085215" w:rsidRPr="00085215" w:rsidRDefault="00085215" w:rsidP="00085215">
      <w:pPr>
        <w:tabs>
          <w:tab w:val="left" w:pos="270"/>
          <w:tab w:val="left" w:pos="810"/>
          <w:tab w:val="left" w:pos="1440"/>
          <w:tab w:val="left" w:pos="2070"/>
        </w:tabs>
        <w:ind w:left="810" w:hanging="810"/>
      </w:pPr>
    </w:p>
    <w:p w:rsidR="00085215" w:rsidRDefault="00085215" w:rsidP="00085215">
      <w:pPr>
        <w:tabs>
          <w:tab w:val="left" w:pos="270"/>
          <w:tab w:val="left" w:pos="810"/>
          <w:tab w:val="left" w:pos="1440"/>
          <w:tab w:val="left" w:pos="2070"/>
        </w:tabs>
        <w:ind w:left="810" w:hanging="810"/>
      </w:pPr>
      <w:r w:rsidRPr="00085215">
        <w:tab/>
        <w:t>b.</w:t>
      </w:r>
      <w:r w:rsidRPr="00085215">
        <w:tab/>
      </w:r>
      <w:hyperlink r:id="rId17" w:history="1">
        <w:r w:rsidRPr="00085215">
          <w:rPr>
            <w:rStyle w:val="Hyperlink"/>
          </w:rPr>
          <w:t>RG 1.117</w:t>
        </w:r>
      </w:hyperlink>
      <w:r w:rsidRPr="00085215">
        <w:t xml:space="preserve">, </w:t>
      </w:r>
      <w:r>
        <w:t>“</w:t>
      </w:r>
      <w:r w:rsidRPr="00085215">
        <w:t>Tornado Design Classification</w:t>
      </w:r>
      <w:r>
        <w:t>”</w:t>
      </w:r>
    </w:p>
    <w:p w:rsidR="00085215" w:rsidRDefault="00085215" w:rsidP="00085215">
      <w:pPr>
        <w:tabs>
          <w:tab w:val="left" w:pos="270"/>
          <w:tab w:val="left" w:pos="810"/>
          <w:tab w:val="left" w:pos="1440"/>
          <w:tab w:val="left" w:pos="2070"/>
        </w:tabs>
        <w:ind w:left="810" w:hanging="810"/>
      </w:pPr>
    </w:p>
    <w:p w:rsidR="00085215" w:rsidRDefault="00085215" w:rsidP="00085215">
      <w:pPr>
        <w:tabs>
          <w:tab w:val="left" w:pos="270"/>
          <w:tab w:val="left" w:pos="810"/>
          <w:tab w:val="left" w:pos="1440"/>
          <w:tab w:val="left" w:pos="2070"/>
        </w:tabs>
        <w:ind w:left="810" w:hanging="810"/>
      </w:pPr>
      <w:r>
        <w:tab/>
        <w:t>c.</w:t>
      </w:r>
      <w:r>
        <w:tab/>
      </w:r>
      <w:hyperlink r:id="rId18" w:history="1">
        <w:r w:rsidRPr="00085215">
          <w:rPr>
            <w:rStyle w:val="Hyperlink"/>
          </w:rPr>
          <w:t>G</w:t>
        </w:r>
        <w:r>
          <w:rPr>
            <w:rStyle w:val="Hyperlink"/>
          </w:rPr>
          <w:t xml:space="preserve">eneric </w:t>
        </w:r>
        <w:r w:rsidRPr="00085215">
          <w:rPr>
            <w:rStyle w:val="Hyperlink"/>
          </w:rPr>
          <w:t>L</w:t>
        </w:r>
        <w:r>
          <w:rPr>
            <w:rStyle w:val="Hyperlink"/>
          </w:rPr>
          <w:t>etter</w:t>
        </w:r>
        <w:r w:rsidRPr="00085215">
          <w:rPr>
            <w:rStyle w:val="Hyperlink"/>
          </w:rPr>
          <w:t xml:space="preserve"> 88-20</w:t>
        </w:r>
        <w:r>
          <w:rPr>
            <w:rStyle w:val="Hyperlink"/>
          </w:rPr>
          <w:t>,</w:t>
        </w:r>
        <w:r w:rsidRPr="00085215">
          <w:rPr>
            <w:rStyle w:val="Hyperlink"/>
          </w:rPr>
          <w:t xml:space="preserve"> Supplement 4,</w:t>
        </w:r>
      </w:hyperlink>
      <w:r w:rsidRPr="00085215">
        <w:t xml:space="preserve"> </w:t>
      </w:r>
      <w:r>
        <w:t>“</w:t>
      </w:r>
      <w:r w:rsidRPr="00085215">
        <w:t>Individual Plant Examination of External Events (IPEEE) for Severe Accident Vulnerabilities</w:t>
      </w:r>
      <w:r>
        <w:t>,”</w:t>
      </w:r>
      <w:r w:rsidRPr="00085215">
        <w:t xml:space="preserve"> </w:t>
      </w:r>
      <w:r>
        <w:t>r</w:t>
      </w:r>
      <w:r w:rsidRPr="00085215">
        <w:t>equested that licensees perform an assessment the impact on plant risk of, among other external events, high winds and tornados.</w:t>
      </w:r>
    </w:p>
    <w:p w:rsidR="00085215" w:rsidRDefault="00085215" w:rsidP="00085215">
      <w:pPr>
        <w:tabs>
          <w:tab w:val="left" w:pos="270"/>
          <w:tab w:val="left" w:pos="810"/>
          <w:tab w:val="left" w:pos="1440"/>
          <w:tab w:val="left" w:pos="2070"/>
        </w:tabs>
        <w:ind w:left="810" w:hanging="810"/>
      </w:pPr>
    </w:p>
    <w:p w:rsidR="00085215" w:rsidRDefault="00085215" w:rsidP="00085215">
      <w:pPr>
        <w:tabs>
          <w:tab w:val="left" w:pos="270"/>
          <w:tab w:val="left" w:pos="810"/>
          <w:tab w:val="left" w:pos="1440"/>
          <w:tab w:val="left" w:pos="2070"/>
        </w:tabs>
        <w:ind w:left="810" w:hanging="810"/>
      </w:pPr>
      <w:r>
        <w:tab/>
        <w:t>d.</w:t>
      </w:r>
      <w:r>
        <w:tab/>
      </w:r>
      <w:hyperlink r:id="rId19" w:history="1">
        <w:r w:rsidRPr="00085215">
          <w:rPr>
            <w:rStyle w:val="Hyperlink"/>
          </w:rPr>
          <w:t>NUREG 1742</w:t>
        </w:r>
      </w:hyperlink>
      <w:r w:rsidRPr="00085215">
        <w:t xml:space="preserve">, </w:t>
      </w:r>
      <w:r>
        <w:t>“</w:t>
      </w:r>
      <w:r w:rsidRPr="00085215">
        <w:t>Perspectives Gained From the Individual Plant Examination of External Events (IPEEE) Program</w:t>
      </w:r>
      <w:r>
        <w:t>,”</w:t>
      </w:r>
      <w:r w:rsidRPr="00085215">
        <w:t xml:space="preserve"> summarizes the results of licensee IPEEE submittals</w:t>
      </w:r>
      <w:r>
        <w:t>.</w:t>
      </w:r>
    </w:p>
    <w:p w:rsidR="00085215" w:rsidRDefault="00085215" w:rsidP="00085215">
      <w:pPr>
        <w:tabs>
          <w:tab w:val="left" w:pos="270"/>
          <w:tab w:val="left" w:pos="810"/>
          <w:tab w:val="left" w:pos="1440"/>
          <w:tab w:val="left" w:pos="2070"/>
        </w:tabs>
        <w:ind w:left="810" w:hanging="810"/>
      </w:pPr>
    </w:p>
    <w:p w:rsidR="00085215" w:rsidRDefault="00085215" w:rsidP="00085215">
      <w:pPr>
        <w:tabs>
          <w:tab w:val="left" w:pos="270"/>
          <w:tab w:val="left" w:pos="810"/>
          <w:tab w:val="left" w:pos="1440"/>
          <w:tab w:val="left" w:pos="2070"/>
        </w:tabs>
        <w:ind w:left="810" w:hanging="810"/>
      </w:pPr>
      <w:r>
        <w:tab/>
        <w:t>e.</w:t>
      </w:r>
      <w:r>
        <w:tab/>
      </w:r>
      <w:hyperlink r:id="rId20" w:history="1">
        <w:r w:rsidRPr="00085215">
          <w:rPr>
            <w:rStyle w:val="Hyperlink"/>
          </w:rPr>
          <w:t>RIS 2008-014</w:t>
        </w:r>
      </w:hyperlink>
      <w:r w:rsidRPr="00085215">
        <w:t xml:space="preserve">, </w:t>
      </w:r>
      <w:r>
        <w:t>“</w:t>
      </w:r>
      <w:r w:rsidRPr="00085215">
        <w:t>Use of TORMIS Computer Code for Assessment of Tornado Missile Protection,</w:t>
      </w:r>
      <w:r>
        <w:t>”</w:t>
      </w:r>
      <w:r w:rsidRPr="00085215">
        <w:t xml:space="preserve"> provides NRC guidance on acceptable use of TORMIS.</w:t>
      </w:r>
    </w:p>
    <w:p w:rsidR="00085215" w:rsidRDefault="00085215" w:rsidP="00085215">
      <w:pPr>
        <w:tabs>
          <w:tab w:val="left" w:pos="270"/>
          <w:tab w:val="left" w:pos="810"/>
          <w:tab w:val="left" w:pos="1440"/>
          <w:tab w:val="left" w:pos="2070"/>
        </w:tabs>
        <w:ind w:left="810" w:hanging="810"/>
      </w:pPr>
    </w:p>
    <w:p w:rsidR="00085215" w:rsidRDefault="00085215" w:rsidP="00085215">
      <w:pPr>
        <w:tabs>
          <w:tab w:val="left" w:pos="270"/>
          <w:tab w:val="left" w:pos="810"/>
          <w:tab w:val="left" w:pos="1440"/>
          <w:tab w:val="left" w:pos="2070"/>
        </w:tabs>
        <w:ind w:left="810" w:hanging="810"/>
      </w:pPr>
      <w:r>
        <w:tab/>
        <w:t>f.</w:t>
      </w:r>
      <w:r>
        <w:tab/>
      </w:r>
      <w:hyperlink r:id="rId21" w:history="1">
        <w:r w:rsidRPr="00085215">
          <w:rPr>
            <w:rStyle w:val="Hyperlink"/>
          </w:rPr>
          <w:t>I</w:t>
        </w:r>
        <w:r>
          <w:rPr>
            <w:rStyle w:val="Hyperlink"/>
          </w:rPr>
          <w:t xml:space="preserve">nformation </w:t>
        </w:r>
        <w:r w:rsidRPr="00085215">
          <w:rPr>
            <w:rStyle w:val="Hyperlink"/>
          </w:rPr>
          <w:t>N</w:t>
        </w:r>
        <w:r>
          <w:rPr>
            <w:rStyle w:val="Hyperlink"/>
          </w:rPr>
          <w:t xml:space="preserve">otice </w:t>
        </w:r>
        <w:r w:rsidRPr="00085215">
          <w:rPr>
            <w:rStyle w:val="Hyperlink"/>
          </w:rPr>
          <w:t>2011-14</w:t>
        </w:r>
      </w:hyperlink>
      <w:r w:rsidRPr="00085215">
        <w:t xml:space="preserve">, </w:t>
      </w:r>
      <w:r>
        <w:t>“</w:t>
      </w:r>
      <w:r w:rsidRPr="00085215">
        <w:t>Component Cooling Water System Gas Accumulation and Other Performance Issues,</w:t>
      </w:r>
      <w:r>
        <w:t>”</w:t>
      </w:r>
      <w:r w:rsidRPr="00085215">
        <w:t xml:space="preserve"> describes the Prairie Island white finding in more detail.</w:t>
      </w:r>
    </w:p>
    <w:p w:rsidR="00085215" w:rsidRDefault="00085215" w:rsidP="00085215">
      <w:pPr>
        <w:tabs>
          <w:tab w:val="left" w:pos="270"/>
          <w:tab w:val="left" w:pos="810"/>
          <w:tab w:val="left" w:pos="1440"/>
          <w:tab w:val="left" w:pos="2070"/>
        </w:tabs>
        <w:ind w:left="810" w:hanging="810"/>
      </w:pPr>
    </w:p>
    <w:p w:rsidR="008C115E" w:rsidRDefault="00085215" w:rsidP="00085215">
      <w:pPr>
        <w:tabs>
          <w:tab w:val="left" w:pos="270"/>
          <w:tab w:val="left" w:pos="810"/>
          <w:tab w:val="left" w:pos="1440"/>
          <w:tab w:val="left" w:pos="2070"/>
        </w:tabs>
        <w:ind w:left="810" w:hanging="810"/>
      </w:pPr>
      <w:r>
        <w:tab/>
      </w:r>
      <w:r w:rsidR="001C0716">
        <w:t>g</w:t>
      </w:r>
      <w:r w:rsidR="00D22CA0">
        <w:t>.</w:t>
      </w:r>
      <w:r w:rsidR="00D22CA0">
        <w:tab/>
        <w:t>Task Interface Agreement 2011-011, “E</w:t>
      </w:r>
      <w:r w:rsidR="00D22CA0" w:rsidRPr="00D22CA0">
        <w:t xml:space="preserve">valuation of </w:t>
      </w:r>
      <w:r w:rsidR="00D22CA0">
        <w:t>P</w:t>
      </w:r>
      <w:r w:rsidR="00D22CA0" w:rsidRPr="00D22CA0">
        <w:t xml:space="preserve">oint </w:t>
      </w:r>
      <w:r w:rsidR="00D22CA0">
        <w:t>B</w:t>
      </w:r>
      <w:r w:rsidR="00D22CA0" w:rsidRPr="00D22CA0">
        <w:t xml:space="preserve">each </w:t>
      </w:r>
      <w:r w:rsidR="00D22CA0">
        <w:t>N</w:t>
      </w:r>
      <w:r w:rsidR="00D22CA0" w:rsidRPr="00D22CA0">
        <w:t xml:space="preserve">uclear </w:t>
      </w:r>
      <w:r w:rsidR="00D22CA0">
        <w:t>P</w:t>
      </w:r>
      <w:r w:rsidR="00D22CA0" w:rsidRPr="00D22CA0">
        <w:t xml:space="preserve">lant </w:t>
      </w:r>
      <w:r w:rsidR="00D22CA0">
        <w:t>T</w:t>
      </w:r>
      <w:r w:rsidR="00D22CA0" w:rsidRPr="00D22CA0">
        <w:t xml:space="preserve">ornado </w:t>
      </w:r>
      <w:r w:rsidR="00D22CA0">
        <w:t>M</w:t>
      </w:r>
      <w:r w:rsidR="00D22CA0" w:rsidRPr="00D22CA0">
        <w:t xml:space="preserve">issile </w:t>
      </w:r>
      <w:r w:rsidR="00D22CA0">
        <w:t>P</w:t>
      </w:r>
      <w:r w:rsidR="00D22CA0" w:rsidRPr="00D22CA0">
        <w:t xml:space="preserve">rotection </w:t>
      </w:r>
      <w:r w:rsidR="00D22CA0">
        <w:t>L</w:t>
      </w:r>
      <w:r w:rsidR="00D22CA0" w:rsidRPr="00D22CA0">
        <w:t xml:space="preserve">icensing </w:t>
      </w:r>
      <w:r w:rsidR="00D22CA0">
        <w:t>B</w:t>
      </w:r>
      <w:r w:rsidR="00D22CA0" w:rsidRPr="00D22CA0">
        <w:t>asis</w:t>
      </w:r>
      <w:r w:rsidR="00D22CA0">
        <w:t>” (</w:t>
      </w:r>
      <w:r w:rsidR="00D10465">
        <w:t xml:space="preserve">ADAMS </w:t>
      </w:r>
      <w:r w:rsidR="00D22CA0">
        <w:t xml:space="preserve">Accession No. </w:t>
      </w:r>
      <w:hyperlink r:id="rId22" w:history="1">
        <w:r w:rsidR="00D22CA0" w:rsidRPr="00D10465">
          <w:rPr>
            <w:rStyle w:val="Hyperlink"/>
            <w:rFonts w:cs="Arial"/>
            <w:szCs w:val="22"/>
          </w:rPr>
          <w:t>ML11228A257</w:t>
        </w:r>
      </w:hyperlink>
      <w:r w:rsidR="00D22CA0">
        <w:rPr>
          <w:rFonts w:cs="Arial"/>
          <w:szCs w:val="22"/>
        </w:rPr>
        <w:t>).</w:t>
      </w:r>
    </w:p>
    <w:p w:rsidR="00085215" w:rsidRDefault="00085215" w:rsidP="00085215">
      <w:pPr>
        <w:tabs>
          <w:tab w:val="left" w:pos="270"/>
          <w:tab w:val="left" w:pos="810"/>
          <w:tab w:val="left" w:pos="1440"/>
          <w:tab w:val="left" w:pos="2070"/>
        </w:tabs>
        <w:ind w:left="810" w:hanging="810"/>
      </w:pPr>
      <w:r>
        <w:lastRenderedPageBreak/>
        <w:t>05.03</w:t>
      </w:r>
      <w:r w:rsidR="00FA67C0">
        <w:tab/>
      </w:r>
      <w:r w:rsidR="00FD3DB4">
        <w:t>P</w:t>
      </w:r>
      <w:r w:rsidR="00EF1242">
        <w:t xml:space="preserve">revious inspection </w:t>
      </w:r>
      <w:r w:rsidR="00EF1242" w:rsidRPr="00EF1242">
        <w:t xml:space="preserve">findings </w:t>
      </w:r>
      <w:r w:rsidR="00EF1242">
        <w:t>(</w:t>
      </w:r>
      <w:r w:rsidR="00EF1242" w:rsidRPr="00EF1242">
        <w:t xml:space="preserve">grouped by </w:t>
      </w:r>
      <w:r w:rsidR="00EF1242">
        <w:t xml:space="preserve">IP </w:t>
      </w:r>
      <w:r w:rsidR="00EF1242" w:rsidRPr="00EF1242">
        <w:t>applied in the identification of the finding</w:t>
      </w:r>
      <w:r w:rsidR="00EF1242">
        <w:t>).</w:t>
      </w:r>
    </w:p>
    <w:p w:rsidR="00EF1242" w:rsidRDefault="00EF1242" w:rsidP="00085215">
      <w:pPr>
        <w:tabs>
          <w:tab w:val="left" w:pos="270"/>
          <w:tab w:val="left" w:pos="810"/>
          <w:tab w:val="left" w:pos="1440"/>
          <w:tab w:val="left" w:pos="2070"/>
        </w:tabs>
        <w:ind w:left="810" w:hanging="810"/>
      </w:pPr>
    </w:p>
    <w:p w:rsidR="00EF1242" w:rsidRDefault="00EF1242" w:rsidP="00EF1242">
      <w:pPr>
        <w:tabs>
          <w:tab w:val="left" w:pos="270"/>
          <w:tab w:val="left" w:pos="810"/>
          <w:tab w:val="left" w:pos="1440"/>
          <w:tab w:val="left" w:pos="2070"/>
        </w:tabs>
        <w:ind w:left="810" w:hanging="810"/>
      </w:pPr>
      <w:r>
        <w:tab/>
        <w:t>a.</w:t>
      </w:r>
      <w:r>
        <w:tab/>
      </w:r>
      <w:r w:rsidRPr="00EF1242">
        <w:t>IP 71111.01 “Adverse Weather Protection”</w:t>
      </w:r>
    </w:p>
    <w:p w:rsidR="00EF1242" w:rsidRDefault="00EF1242" w:rsidP="00EF1242">
      <w:pPr>
        <w:tabs>
          <w:tab w:val="left" w:pos="270"/>
          <w:tab w:val="left" w:pos="810"/>
          <w:tab w:val="left" w:pos="1440"/>
          <w:tab w:val="left" w:pos="2070"/>
        </w:tabs>
        <w:ind w:left="810" w:hanging="810"/>
      </w:pPr>
    </w:p>
    <w:p w:rsidR="00EF1242" w:rsidRDefault="00EF1242" w:rsidP="00EF1242">
      <w:pPr>
        <w:tabs>
          <w:tab w:val="left" w:pos="270"/>
          <w:tab w:val="left" w:pos="810"/>
          <w:tab w:val="left" w:pos="1440"/>
          <w:tab w:val="left" w:pos="2070"/>
        </w:tabs>
        <w:ind w:left="1440" w:hanging="1440"/>
      </w:pPr>
      <w:r>
        <w:tab/>
      </w:r>
      <w:r>
        <w:tab/>
        <w:t>1.</w:t>
      </w:r>
      <w:r>
        <w:tab/>
      </w:r>
      <w:hyperlink r:id="rId23" w:history="1">
        <w:r w:rsidRPr="00EF1242">
          <w:rPr>
            <w:rStyle w:val="Hyperlink"/>
          </w:rPr>
          <w:t>ANO 2010-003</w:t>
        </w:r>
      </w:hyperlink>
      <w:r w:rsidRPr="00EF1242">
        <w:t xml:space="preserve"> The inspectors identified a Green, </w:t>
      </w:r>
      <w:r w:rsidR="00E3200F">
        <w:t>Non-Cited Violation (</w:t>
      </w:r>
      <w:r w:rsidRPr="00EF1242">
        <w:t>NC</w:t>
      </w:r>
      <w:r w:rsidR="00B531D9">
        <w:t>V</w:t>
      </w:r>
      <w:r w:rsidR="00E3200F">
        <w:t>)</w:t>
      </w:r>
      <w:r w:rsidR="00B531D9">
        <w:t xml:space="preserve"> of Technical Specification </w:t>
      </w:r>
      <w:r w:rsidRPr="00EF1242">
        <w:t>5.4.1.a for failure to follow Procedure OP-1203.025, “Natural Emergencies,” Revision 30. Specifically, on April 23, 2010, the licensee entered the before mentioned procedure due to a tornado watch/warning and failed to identify and control potential missile hazards in and around the Unit 1 transformer yard</w:t>
      </w:r>
      <w:r>
        <w:t>.</w:t>
      </w:r>
    </w:p>
    <w:p w:rsidR="00EF1242" w:rsidRDefault="00EF1242" w:rsidP="00EF1242">
      <w:pPr>
        <w:tabs>
          <w:tab w:val="left" w:pos="270"/>
          <w:tab w:val="left" w:pos="810"/>
          <w:tab w:val="left" w:pos="1440"/>
          <w:tab w:val="left" w:pos="2070"/>
        </w:tabs>
        <w:ind w:left="1440" w:hanging="1440"/>
      </w:pPr>
    </w:p>
    <w:p w:rsidR="00EF1242" w:rsidRDefault="00EF1242" w:rsidP="00EF1242">
      <w:pPr>
        <w:tabs>
          <w:tab w:val="left" w:pos="270"/>
          <w:tab w:val="left" w:pos="810"/>
          <w:tab w:val="left" w:pos="1440"/>
          <w:tab w:val="left" w:pos="2070"/>
        </w:tabs>
        <w:ind w:left="1440" w:hanging="1440"/>
      </w:pPr>
      <w:r>
        <w:tab/>
      </w:r>
      <w:r>
        <w:tab/>
        <w:t>2.</w:t>
      </w:r>
      <w:r>
        <w:tab/>
      </w:r>
      <w:hyperlink r:id="rId24" w:history="1">
        <w:r w:rsidRPr="00EF1242">
          <w:rPr>
            <w:rStyle w:val="Hyperlink"/>
          </w:rPr>
          <w:t>Kewaunee 2010-003</w:t>
        </w:r>
      </w:hyperlink>
      <w:r w:rsidRPr="00EF1242">
        <w:t xml:space="preserve"> A finding of very low safety significance was identified by the inspectors for an inadequate operability determination performed for the emergency diesel generators. Specifically, the licensee used TORMIS for assessing tornado missile protection and confirming operability of their emergency diesel generator fuel oil day tank vents and storage tank vents. Probabilistic risk assessments were not allowed for confirming operability under both NRC guidance and the licensee’s procedures.</w:t>
      </w:r>
    </w:p>
    <w:p w:rsidR="009B537E" w:rsidRDefault="009B537E" w:rsidP="00EF1242">
      <w:pPr>
        <w:tabs>
          <w:tab w:val="left" w:pos="270"/>
          <w:tab w:val="left" w:pos="810"/>
          <w:tab w:val="left" w:pos="1440"/>
          <w:tab w:val="left" w:pos="2070"/>
        </w:tabs>
        <w:ind w:left="1440" w:hanging="1440"/>
      </w:pPr>
    </w:p>
    <w:p w:rsidR="00EF1242" w:rsidRPr="00EF1242" w:rsidRDefault="00EF1242" w:rsidP="00EF1242">
      <w:pPr>
        <w:tabs>
          <w:tab w:val="left" w:pos="270"/>
          <w:tab w:val="left" w:pos="810"/>
          <w:tab w:val="left" w:pos="1440"/>
          <w:tab w:val="left" w:pos="2070"/>
        </w:tabs>
        <w:ind w:left="1440" w:hanging="1440"/>
      </w:pPr>
      <w:r>
        <w:tab/>
        <w:t>b.</w:t>
      </w:r>
      <w:r>
        <w:tab/>
      </w:r>
      <w:r w:rsidRPr="00EF1242">
        <w:t xml:space="preserve">IP 71111.18 “Plant Modifications” </w:t>
      </w:r>
    </w:p>
    <w:p w:rsidR="00EF1242" w:rsidRDefault="00EF1242" w:rsidP="00EF1242">
      <w:pPr>
        <w:tabs>
          <w:tab w:val="left" w:pos="270"/>
          <w:tab w:val="left" w:pos="810"/>
          <w:tab w:val="left" w:pos="1440"/>
          <w:tab w:val="left" w:pos="2070"/>
        </w:tabs>
        <w:ind w:left="1440" w:hanging="1440"/>
      </w:pPr>
    </w:p>
    <w:p w:rsidR="00EF1242" w:rsidRDefault="00EF1242" w:rsidP="00EF1242">
      <w:pPr>
        <w:tabs>
          <w:tab w:val="left" w:pos="270"/>
          <w:tab w:val="left" w:pos="810"/>
          <w:tab w:val="left" w:pos="1440"/>
          <w:tab w:val="left" w:pos="2070"/>
        </w:tabs>
        <w:ind w:left="1440" w:hanging="1440"/>
      </w:pPr>
      <w:r>
        <w:tab/>
      </w:r>
      <w:r>
        <w:tab/>
        <w:t>1.</w:t>
      </w:r>
      <w:r>
        <w:tab/>
      </w:r>
      <w:hyperlink r:id="rId25" w:history="1">
        <w:r w:rsidRPr="00EF1242">
          <w:rPr>
            <w:rStyle w:val="Hyperlink"/>
          </w:rPr>
          <w:t>Surry 2009-004</w:t>
        </w:r>
      </w:hyperlink>
      <w:r w:rsidRPr="00EF1242">
        <w:t xml:space="preserve">  The inspectors identified a Green NCV of 10 CFR 50, Appendix B, Criterion III, “Design Control.” The design change for the emergency service water pumps was not adequate to protect the diesel-driven emergency service water pumps from damage resulting from a tornado missile as required by the UFSAR.  The lack of tornado missile protection for the diesel engine exhaust pipes was initially identified on March 22, 2007.</w:t>
      </w:r>
    </w:p>
    <w:p w:rsidR="00EF1242" w:rsidRDefault="00EF1242" w:rsidP="00EF1242">
      <w:pPr>
        <w:tabs>
          <w:tab w:val="left" w:pos="270"/>
          <w:tab w:val="left" w:pos="810"/>
          <w:tab w:val="left" w:pos="1440"/>
          <w:tab w:val="left" w:pos="2070"/>
        </w:tabs>
        <w:ind w:left="1440" w:hanging="1440"/>
      </w:pPr>
    </w:p>
    <w:p w:rsidR="00EF1242" w:rsidRDefault="00EF1242" w:rsidP="00EF1242">
      <w:pPr>
        <w:tabs>
          <w:tab w:val="left" w:pos="270"/>
          <w:tab w:val="left" w:pos="810"/>
          <w:tab w:val="left" w:pos="1440"/>
          <w:tab w:val="left" w:pos="2070"/>
        </w:tabs>
        <w:ind w:left="1440" w:hanging="1440"/>
      </w:pPr>
      <w:r>
        <w:tab/>
      </w:r>
      <w:r w:rsidR="0012441B">
        <w:t>c</w:t>
      </w:r>
      <w:r>
        <w:t>.</w:t>
      </w:r>
      <w:r>
        <w:tab/>
      </w:r>
      <w:r w:rsidRPr="00EF1242">
        <w:t>IP-71111.21 “Component Design Bases Inspection”</w:t>
      </w:r>
    </w:p>
    <w:p w:rsidR="00EF1242" w:rsidRPr="00EF1242" w:rsidRDefault="00EF1242" w:rsidP="00EF1242">
      <w:pPr>
        <w:tabs>
          <w:tab w:val="left" w:pos="270"/>
          <w:tab w:val="left" w:pos="810"/>
          <w:tab w:val="left" w:pos="1440"/>
          <w:tab w:val="left" w:pos="2070"/>
        </w:tabs>
        <w:ind w:left="1440" w:hanging="1440"/>
      </w:pPr>
    </w:p>
    <w:p w:rsidR="00EF1242" w:rsidRDefault="00EF1242" w:rsidP="00EF1242">
      <w:pPr>
        <w:tabs>
          <w:tab w:val="left" w:pos="270"/>
          <w:tab w:val="left" w:pos="810"/>
          <w:tab w:val="left" w:pos="1440"/>
          <w:tab w:val="left" w:pos="2070"/>
        </w:tabs>
        <w:ind w:left="1440" w:hanging="1440"/>
      </w:pPr>
      <w:r>
        <w:tab/>
      </w:r>
      <w:r>
        <w:tab/>
        <w:t>1.</w:t>
      </w:r>
      <w:r>
        <w:tab/>
      </w:r>
      <w:hyperlink r:id="rId26" w:history="1">
        <w:r w:rsidRPr="00EF1242">
          <w:rPr>
            <w:rStyle w:val="Hyperlink"/>
          </w:rPr>
          <w:t>Robinson 2010-011</w:t>
        </w:r>
      </w:hyperlink>
      <w:r w:rsidRPr="00EF1242">
        <w:t xml:space="preserve"> The team identified a Green NCV of 10 CFR Part 50, Appendix B, Criterion III, “Design Control,” for the licensee’s failure to have calculations supporting the design bases of safety related components, specifically for the EDG fuel oil storage tank with respect to tornado wind loadings, and the net positive suction head (NPSH) of the service water pumps. No immediate operability issues were identified.</w:t>
      </w:r>
    </w:p>
    <w:p w:rsidR="00EF1242" w:rsidRPr="00EF1242" w:rsidRDefault="00EF1242" w:rsidP="00EF1242">
      <w:pPr>
        <w:tabs>
          <w:tab w:val="left" w:pos="270"/>
          <w:tab w:val="left" w:pos="810"/>
          <w:tab w:val="left" w:pos="1440"/>
          <w:tab w:val="left" w:pos="2070"/>
        </w:tabs>
        <w:ind w:left="1440" w:hanging="1440"/>
      </w:pPr>
    </w:p>
    <w:p w:rsidR="00EF1242" w:rsidRDefault="00EF1242" w:rsidP="00EF1242">
      <w:pPr>
        <w:tabs>
          <w:tab w:val="left" w:pos="270"/>
          <w:tab w:val="left" w:pos="810"/>
          <w:tab w:val="left" w:pos="1440"/>
          <w:tab w:val="left" w:pos="2070"/>
        </w:tabs>
        <w:ind w:left="1440" w:hanging="1440"/>
      </w:pPr>
      <w:r>
        <w:tab/>
      </w:r>
      <w:r>
        <w:tab/>
        <w:t>2.</w:t>
      </w:r>
      <w:r>
        <w:tab/>
      </w:r>
      <w:hyperlink r:id="rId27" w:history="1">
        <w:r w:rsidRPr="00EF1242">
          <w:rPr>
            <w:rStyle w:val="Hyperlink"/>
          </w:rPr>
          <w:t>Cooper 2010-007</w:t>
        </w:r>
      </w:hyperlink>
      <w:r w:rsidRPr="00EF1242">
        <w:t xml:space="preserve"> The team identified a Green </w:t>
      </w:r>
      <w:r w:rsidR="00E3200F">
        <w:t>NCV</w:t>
      </w:r>
      <w:r w:rsidRPr="00EF1242">
        <w:t xml:space="preserve"> of 10 CFR Part 50, Appendix B, Criterion III, “Design Control,” for the failure to verify the adequacy of the service water system design.  Specifically, prior to August 10, 2010, the licensee did not have a calculation to support storage of an ice deflector pontoon barge in the service water discharge canal during design tornado or high wind conditions.</w:t>
      </w:r>
    </w:p>
    <w:p w:rsidR="00750D83" w:rsidRDefault="00750D83" w:rsidP="00EF1242">
      <w:pPr>
        <w:tabs>
          <w:tab w:val="left" w:pos="270"/>
          <w:tab w:val="left" w:pos="810"/>
          <w:tab w:val="left" w:pos="1440"/>
          <w:tab w:val="left" w:pos="2070"/>
        </w:tabs>
        <w:ind w:left="1440" w:hanging="1440"/>
      </w:pPr>
    </w:p>
    <w:p w:rsidR="00EF1242" w:rsidRDefault="00EF1242" w:rsidP="00EF1242">
      <w:pPr>
        <w:tabs>
          <w:tab w:val="left" w:pos="270"/>
          <w:tab w:val="left" w:pos="810"/>
          <w:tab w:val="left" w:pos="1440"/>
          <w:tab w:val="left" w:pos="2070"/>
        </w:tabs>
        <w:ind w:left="1440" w:hanging="1440"/>
      </w:pPr>
      <w:r>
        <w:tab/>
      </w:r>
      <w:r>
        <w:tab/>
        <w:t>3.</w:t>
      </w:r>
      <w:r>
        <w:tab/>
      </w:r>
      <w:hyperlink r:id="rId28" w:history="1">
        <w:r w:rsidRPr="00EF1242">
          <w:rPr>
            <w:rStyle w:val="Hyperlink"/>
          </w:rPr>
          <w:t xml:space="preserve">Davis </w:t>
        </w:r>
        <w:proofErr w:type="spellStart"/>
        <w:r w:rsidRPr="00EF1242">
          <w:rPr>
            <w:rStyle w:val="Hyperlink"/>
          </w:rPr>
          <w:t>Besse</w:t>
        </w:r>
        <w:proofErr w:type="spellEnd"/>
        <w:r w:rsidRPr="00EF1242">
          <w:rPr>
            <w:rStyle w:val="Hyperlink"/>
          </w:rPr>
          <w:t xml:space="preserve"> 2009-007</w:t>
        </w:r>
      </w:hyperlink>
      <w:r w:rsidRPr="00EF1242">
        <w:t xml:space="preserve"> A finding of very low safety-significance and associated </w:t>
      </w:r>
      <w:r w:rsidR="00E3200F">
        <w:t>NCV</w:t>
      </w:r>
      <w:r w:rsidRPr="00EF1242">
        <w:t xml:space="preserve"> of 10 CFR Part 50, Appendix B, Criterion XVI, “Corrective Action,” was identified by the inspectors for the failure to take interim corrective actions to address potential tornado missile damage to unprotected structures, systems, and components (SSCs) such as the EDG exhaust vent stacks.</w:t>
      </w:r>
    </w:p>
    <w:p w:rsidR="0012441B" w:rsidRDefault="0012441B" w:rsidP="00EF1242">
      <w:pPr>
        <w:tabs>
          <w:tab w:val="left" w:pos="270"/>
          <w:tab w:val="left" w:pos="810"/>
          <w:tab w:val="left" w:pos="1440"/>
          <w:tab w:val="left" w:pos="2070"/>
        </w:tabs>
        <w:ind w:left="1440" w:hanging="1440"/>
      </w:pPr>
    </w:p>
    <w:p w:rsidR="00750D83" w:rsidRDefault="00750D83" w:rsidP="00EF1242">
      <w:pPr>
        <w:tabs>
          <w:tab w:val="left" w:pos="270"/>
          <w:tab w:val="left" w:pos="810"/>
          <w:tab w:val="left" w:pos="1440"/>
          <w:tab w:val="left" w:pos="2070"/>
        </w:tabs>
        <w:ind w:left="1440" w:hanging="1440"/>
      </w:pPr>
    </w:p>
    <w:p w:rsidR="00750D83" w:rsidRDefault="00750D83" w:rsidP="00EF1242">
      <w:pPr>
        <w:tabs>
          <w:tab w:val="left" w:pos="270"/>
          <w:tab w:val="left" w:pos="810"/>
          <w:tab w:val="left" w:pos="1440"/>
          <w:tab w:val="left" w:pos="2070"/>
        </w:tabs>
        <w:ind w:left="1440" w:hanging="1440"/>
      </w:pPr>
    </w:p>
    <w:p w:rsidR="00EF1242" w:rsidRPr="00EF1242" w:rsidRDefault="00EF1242" w:rsidP="00EF1242">
      <w:pPr>
        <w:tabs>
          <w:tab w:val="left" w:pos="270"/>
          <w:tab w:val="left" w:pos="810"/>
          <w:tab w:val="left" w:pos="1440"/>
          <w:tab w:val="left" w:pos="2070"/>
        </w:tabs>
        <w:ind w:left="1440" w:hanging="1440"/>
        <w:rPr>
          <w:i/>
        </w:rPr>
      </w:pPr>
      <w:r>
        <w:lastRenderedPageBreak/>
        <w:tab/>
      </w:r>
      <w:r w:rsidR="0012441B">
        <w:t>d</w:t>
      </w:r>
      <w:r>
        <w:t>.</w:t>
      </w:r>
      <w:r>
        <w:tab/>
      </w:r>
      <w:r w:rsidRPr="00EF1242">
        <w:t>IP 71111.22 “Surveillance Testing”</w:t>
      </w:r>
    </w:p>
    <w:p w:rsidR="00EF1242" w:rsidRDefault="00EF1242" w:rsidP="00EF1242">
      <w:pPr>
        <w:tabs>
          <w:tab w:val="left" w:pos="270"/>
          <w:tab w:val="left" w:pos="810"/>
          <w:tab w:val="left" w:pos="1440"/>
          <w:tab w:val="left" w:pos="2070"/>
        </w:tabs>
        <w:ind w:left="1440" w:hanging="1440"/>
      </w:pPr>
    </w:p>
    <w:p w:rsidR="00EF1242" w:rsidRDefault="00EF1242" w:rsidP="00EF1242">
      <w:pPr>
        <w:tabs>
          <w:tab w:val="left" w:pos="270"/>
          <w:tab w:val="left" w:pos="810"/>
          <w:tab w:val="left" w:pos="1440"/>
          <w:tab w:val="left" w:pos="2070"/>
        </w:tabs>
        <w:ind w:left="1440" w:hanging="1440"/>
      </w:pPr>
      <w:r>
        <w:tab/>
      </w:r>
      <w:r>
        <w:tab/>
        <w:t>1.</w:t>
      </w:r>
      <w:r>
        <w:tab/>
      </w:r>
      <w:hyperlink r:id="rId29" w:history="1">
        <w:r w:rsidRPr="00EF1242">
          <w:rPr>
            <w:rStyle w:val="Hyperlink"/>
          </w:rPr>
          <w:t>Palisades 2008-004</w:t>
        </w:r>
      </w:hyperlink>
      <w:r w:rsidRPr="00EF1242">
        <w:t xml:space="preserve"> The inspectors identified a finding of very low safety significance (Green) and an associated NCV of 10 CFR Part 50, Appendix B, Criterion III, "Design Control," for the failure to protect the auxiliary </w:t>
      </w:r>
      <w:proofErr w:type="spellStart"/>
      <w:r w:rsidRPr="00EF1242">
        <w:t>feedwater</w:t>
      </w:r>
      <w:proofErr w:type="spellEnd"/>
      <w:r w:rsidRPr="00EF1242">
        <w:t xml:space="preserve"> </w:t>
      </w:r>
      <w:r w:rsidR="00E3200F">
        <w:t xml:space="preserve">(AFW) </w:t>
      </w:r>
      <w:r w:rsidRPr="00EF1242">
        <w:t xml:space="preserve">pumps from damage due to the loss of the condensate storage tank (CST) due to tornado born missiles. The </w:t>
      </w:r>
      <w:proofErr w:type="spellStart"/>
      <w:r w:rsidRPr="00EF1242">
        <w:t>setpoints</w:t>
      </w:r>
      <w:proofErr w:type="spellEnd"/>
      <w:r w:rsidRPr="00EF1242">
        <w:t xml:space="preserve"> are designed to remove the AFW pumps from service prior to being damaged if the CST is lost or damaged in a tornado. The inspectors concluded that during a tornado, wind and missiles could damage the CST in a manner that the low pressure trip might not remove the pump from service prior to ingestion of air or severe </w:t>
      </w:r>
      <w:proofErr w:type="spellStart"/>
      <w:r w:rsidRPr="00EF1242">
        <w:t>vortexing</w:t>
      </w:r>
      <w:proofErr w:type="spellEnd"/>
      <w:r w:rsidRPr="00EF1242">
        <w:t>.</w:t>
      </w:r>
    </w:p>
    <w:p w:rsidR="00EF1242" w:rsidRDefault="00EF1242" w:rsidP="00EF1242">
      <w:pPr>
        <w:tabs>
          <w:tab w:val="left" w:pos="270"/>
          <w:tab w:val="left" w:pos="810"/>
          <w:tab w:val="left" w:pos="1440"/>
          <w:tab w:val="left" w:pos="2070"/>
        </w:tabs>
        <w:ind w:left="1440" w:hanging="1440"/>
      </w:pPr>
    </w:p>
    <w:p w:rsidR="00EF1242" w:rsidRPr="00EF1242" w:rsidRDefault="00EF1242" w:rsidP="00EF1242">
      <w:pPr>
        <w:tabs>
          <w:tab w:val="left" w:pos="270"/>
          <w:tab w:val="left" w:pos="810"/>
          <w:tab w:val="left" w:pos="1440"/>
          <w:tab w:val="left" w:pos="2070"/>
        </w:tabs>
        <w:ind w:left="1440" w:hanging="1440"/>
      </w:pPr>
      <w:r>
        <w:tab/>
      </w:r>
      <w:r w:rsidR="0012441B">
        <w:t>e</w:t>
      </w:r>
      <w:r>
        <w:t>.</w:t>
      </w:r>
      <w:r>
        <w:tab/>
      </w:r>
      <w:r w:rsidRPr="00EF1242">
        <w:t xml:space="preserve">IP 71152 “Problem Identification and Resolution” </w:t>
      </w:r>
    </w:p>
    <w:p w:rsidR="00EF1242" w:rsidRDefault="00EF1242" w:rsidP="00EF1242">
      <w:pPr>
        <w:tabs>
          <w:tab w:val="left" w:pos="270"/>
          <w:tab w:val="left" w:pos="810"/>
          <w:tab w:val="left" w:pos="1440"/>
          <w:tab w:val="left" w:pos="2070"/>
        </w:tabs>
        <w:ind w:left="1440" w:hanging="1440"/>
      </w:pPr>
    </w:p>
    <w:p w:rsidR="00EF1242" w:rsidRDefault="00EF1242" w:rsidP="00EF1242">
      <w:pPr>
        <w:tabs>
          <w:tab w:val="left" w:pos="270"/>
          <w:tab w:val="left" w:pos="810"/>
          <w:tab w:val="left" w:pos="1440"/>
          <w:tab w:val="left" w:pos="2070"/>
        </w:tabs>
        <w:ind w:left="1440" w:hanging="1440"/>
      </w:pPr>
      <w:r>
        <w:tab/>
      </w:r>
      <w:r>
        <w:tab/>
        <w:t>1.</w:t>
      </w:r>
      <w:r>
        <w:tab/>
      </w:r>
      <w:hyperlink r:id="rId30" w:history="1">
        <w:r w:rsidRPr="00EF1242">
          <w:rPr>
            <w:rStyle w:val="Hyperlink"/>
          </w:rPr>
          <w:t>Watts Bar 2009-003</w:t>
        </w:r>
      </w:hyperlink>
      <w:r w:rsidRPr="00EF1242">
        <w:t xml:space="preserve"> The NRC identified a Green NCV of 10 CFR 50, Appendix B, Criterion V, Instructions, Procedures, and Drawings, for the licensee’s failure to adequately implement work order instructions to maintain the integrity of the intake pumping station missile shield, as designed. The failure to assure adequate tornado missile protection had a credible impact on reactor safety because of the potential exposure of both trains of the ERCW system to tornado induced damage.</w:t>
      </w:r>
    </w:p>
    <w:p w:rsidR="00EF1242" w:rsidRPr="00EF1242" w:rsidRDefault="00EF1242" w:rsidP="00EF1242">
      <w:pPr>
        <w:tabs>
          <w:tab w:val="left" w:pos="270"/>
          <w:tab w:val="left" w:pos="810"/>
          <w:tab w:val="left" w:pos="1440"/>
          <w:tab w:val="left" w:pos="2070"/>
        </w:tabs>
        <w:ind w:left="1440" w:hanging="1440"/>
      </w:pPr>
    </w:p>
    <w:p w:rsidR="00EF1242" w:rsidRDefault="00EF1242" w:rsidP="000D2C71">
      <w:pPr>
        <w:tabs>
          <w:tab w:val="left" w:pos="270"/>
          <w:tab w:val="left" w:pos="810"/>
          <w:tab w:val="left" w:pos="1440"/>
          <w:tab w:val="left" w:pos="2070"/>
        </w:tabs>
        <w:ind w:left="1440" w:hanging="1440"/>
      </w:pPr>
      <w:r>
        <w:tab/>
      </w:r>
      <w:r>
        <w:tab/>
        <w:t>2.</w:t>
      </w:r>
      <w:r>
        <w:tab/>
      </w:r>
      <w:hyperlink r:id="rId31" w:history="1">
        <w:r w:rsidRPr="00EF1242">
          <w:rPr>
            <w:rStyle w:val="Hyperlink"/>
          </w:rPr>
          <w:t>Braidwood 2009-003</w:t>
        </w:r>
      </w:hyperlink>
      <w:r w:rsidRPr="00EF1242">
        <w:t xml:space="preserve"> A finding of very low safety significance was identified by the inspectors associated with the failure to control or remove material adjacent to the Unit 1 main power transformers, station auxiliary transformers and unit auxiliary transformers. Plant personnel failed to identify these discrepant conditions during the performance of a plant surveillance procedure with the purpose of identifying and removing potential missile hazards from areas where they could damage important plant electrical equipment during adverse weather conditions.</w:t>
      </w:r>
    </w:p>
    <w:p w:rsidR="009B537E" w:rsidRDefault="009B537E" w:rsidP="00085215">
      <w:pPr>
        <w:tabs>
          <w:tab w:val="left" w:pos="270"/>
          <w:tab w:val="left" w:pos="810"/>
          <w:tab w:val="left" w:pos="1440"/>
          <w:tab w:val="left" w:pos="2070"/>
        </w:tabs>
        <w:ind w:left="810" w:hanging="810"/>
      </w:pPr>
    </w:p>
    <w:p w:rsidR="00EF1242" w:rsidRDefault="00EF1242" w:rsidP="00085215">
      <w:pPr>
        <w:tabs>
          <w:tab w:val="left" w:pos="270"/>
          <w:tab w:val="left" w:pos="810"/>
          <w:tab w:val="left" w:pos="1440"/>
          <w:tab w:val="left" w:pos="2070"/>
        </w:tabs>
        <w:ind w:left="810" w:hanging="810"/>
      </w:pPr>
      <w:r>
        <w:t>05.04</w:t>
      </w:r>
      <w:r>
        <w:tab/>
      </w:r>
      <w:r w:rsidR="00FD3DB4">
        <w:t>P</w:t>
      </w:r>
      <w:r>
        <w:t xml:space="preserve">revious inspection </w:t>
      </w:r>
      <w:r w:rsidRPr="00EF1242">
        <w:t xml:space="preserve">findings </w:t>
      </w:r>
      <w:r>
        <w:t>(</w:t>
      </w:r>
      <w:r w:rsidRPr="00EF1242">
        <w:t xml:space="preserve">grouped by </w:t>
      </w:r>
      <w:r>
        <w:t>finding subject).</w:t>
      </w:r>
    </w:p>
    <w:p w:rsidR="00EF1242" w:rsidRDefault="00EF1242" w:rsidP="00085215">
      <w:pPr>
        <w:tabs>
          <w:tab w:val="left" w:pos="270"/>
          <w:tab w:val="left" w:pos="810"/>
          <w:tab w:val="left" w:pos="1440"/>
          <w:tab w:val="left" w:pos="2070"/>
        </w:tabs>
        <w:ind w:left="810" w:hanging="810"/>
      </w:pPr>
    </w:p>
    <w:p w:rsidR="00EF1242" w:rsidRDefault="00EF1242" w:rsidP="00085215">
      <w:pPr>
        <w:tabs>
          <w:tab w:val="left" w:pos="270"/>
          <w:tab w:val="left" w:pos="810"/>
          <w:tab w:val="left" w:pos="1440"/>
          <w:tab w:val="left" w:pos="2070"/>
        </w:tabs>
        <w:ind w:left="810" w:hanging="810"/>
      </w:pPr>
      <w:r>
        <w:tab/>
        <w:t>a.</w:t>
      </w:r>
      <w:r>
        <w:tab/>
      </w:r>
      <w:r w:rsidR="00954615" w:rsidRPr="00954615">
        <w:t>Findings Involving Equipment Vulnerable to a Potential Missile</w:t>
      </w:r>
      <w:r w:rsidR="00954615">
        <w:t>.</w:t>
      </w:r>
    </w:p>
    <w:p w:rsidR="00954615" w:rsidRDefault="00954615" w:rsidP="00085215">
      <w:pPr>
        <w:tabs>
          <w:tab w:val="left" w:pos="270"/>
          <w:tab w:val="left" w:pos="810"/>
          <w:tab w:val="left" w:pos="1440"/>
          <w:tab w:val="left" w:pos="2070"/>
        </w:tabs>
        <w:ind w:left="810" w:hanging="810"/>
      </w:pPr>
    </w:p>
    <w:p w:rsidR="00954615" w:rsidRDefault="00954615" w:rsidP="00954615">
      <w:pPr>
        <w:tabs>
          <w:tab w:val="left" w:pos="270"/>
          <w:tab w:val="left" w:pos="810"/>
          <w:tab w:val="left" w:pos="1440"/>
          <w:tab w:val="left" w:pos="2070"/>
        </w:tabs>
        <w:ind w:left="1440" w:hanging="1440"/>
      </w:pPr>
      <w:r>
        <w:tab/>
      </w:r>
      <w:r>
        <w:tab/>
        <w:t>1.</w:t>
      </w:r>
      <w:r>
        <w:tab/>
      </w:r>
      <w:hyperlink r:id="rId32" w:history="1">
        <w:r w:rsidRPr="00954615">
          <w:rPr>
            <w:rStyle w:val="Hyperlink"/>
          </w:rPr>
          <w:t>Prairie Island 282/2009-010</w:t>
        </w:r>
      </w:hyperlink>
      <w:r w:rsidRPr="00954615">
        <w:rPr>
          <w:b/>
        </w:rPr>
        <w:t xml:space="preserve"> </w:t>
      </w:r>
      <w:r w:rsidR="00D22CA0" w:rsidRPr="00D05E34">
        <w:rPr>
          <w:rFonts w:cs="Arial"/>
          <w:szCs w:val="22"/>
        </w:rPr>
        <w:t>The inspectors identified an apparent violation of 10 CFR Part 50, Appendix B, Criterion III, “Design Control,” for Unit 2 due to the licensee’s failure to implement design control measures to ensure that the design of the Unit 2 CCW system was adequate to mitigate licensing basis events (such as high energy line break, seismic and tornado events) which could occur in the turbine building. The events in the turbine building could cause a loss of CCW inventory and a loss of safety function.</w:t>
      </w:r>
    </w:p>
    <w:p w:rsidR="00954615" w:rsidRDefault="00954615" w:rsidP="00954615">
      <w:pPr>
        <w:tabs>
          <w:tab w:val="left" w:pos="270"/>
          <w:tab w:val="left" w:pos="810"/>
          <w:tab w:val="left" w:pos="1440"/>
          <w:tab w:val="left" w:pos="2070"/>
        </w:tabs>
        <w:ind w:left="1440" w:hanging="1440"/>
      </w:pPr>
    </w:p>
    <w:p w:rsidR="00954615" w:rsidRDefault="00954615" w:rsidP="00954615">
      <w:pPr>
        <w:tabs>
          <w:tab w:val="left" w:pos="270"/>
          <w:tab w:val="left" w:pos="810"/>
          <w:tab w:val="left" w:pos="1440"/>
          <w:tab w:val="left" w:pos="2070"/>
        </w:tabs>
        <w:ind w:left="1440" w:hanging="1440"/>
      </w:pPr>
      <w:r>
        <w:tab/>
      </w:r>
      <w:r>
        <w:tab/>
        <w:t>2.</w:t>
      </w:r>
      <w:r>
        <w:tab/>
      </w:r>
      <w:hyperlink r:id="rId33" w:history="1">
        <w:r w:rsidRPr="00954615">
          <w:rPr>
            <w:rStyle w:val="Hyperlink"/>
          </w:rPr>
          <w:t>Byron 2009-004</w:t>
        </w:r>
      </w:hyperlink>
      <w:r w:rsidRPr="00954615">
        <w:t xml:space="preserve"> A finding of very low safety significance and associated NCV of 10 CFR 50, Appendix A, Criterion 2, “Design Basis for Protection Against Natural Phenomena,” and Criterion 4, “Environmental and Natural Effects Design Bases,” was identified by the inspectors for the failure to seismically support and protect the EDG fuel oil storage tank vent lines from tornado generated missiles. Specifically, the licensee installed the vent lines as non-safety related and as such they were not seismically supported and not protected from tornado generated missiles.</w:t>
      </w:r>
    </w:p>
    <w:p w:rsidR="00954615" w:rsidRDefault="00954615" w:rsidP="00954615">
      <w:pPr>
        <w:tabs>
          <w:tab w:val="left" w:pos="270"/>
          <w:tab w:val="left" w:pos="810"/>
          <w:tab w:val="left" w:pos="1440"/>
          <w:tab w:val="left" w:pos="2070"/>
        </w:tabs>
        <w:ind w:left="1440" w:hanging="1440"/>
      </w:pPr>
    </w:p>
    <w:p w:rsidR="00954615" w:rsidRDefault="00954615" w:rsidP="00954615">
      <w:pPr>
        <w:tabs>
          <w:tab w:val="left" w:pos="270"/>
          <w:tab w:val="left" w:pos="810"/>
          <w:tab w:val="left" w:pos="1440"/>
          <w:tab w:val="left" w:pos="2070"/>
        </w:tabs>
        <w:ind w:left="1440" w:hanging="1440"/>
      </w:pPr>
      <w:r>
        <w:tab/>
        <w:t>b.</w:t>
      </w:r>
      <w:r>
        <w:tab/>
      </w:r>
      <w:r w:rsidRPr="00954615">
        <w:t>Findings Involving Potential Missile Hazards</w:t>
      </w:r>
    </w:p>
    <w:p w:rsidR="00954615" w:rsidRPr="00954615" w:rsidRDefault="00954615" w:rsidP="00954615">
      <w:pPr>
        <w:tabs>
          <w:tab w:val="left" w:pos="270"/>
          <w:tab w:val="left" w:pos="810"/>
          <w:tab w:val="left" w:pos="1440"/>
          <w:tab w:val="left" w:pos="2070"/>
        </w:tabs>
        <w:ind w:left="1440" w:hanging="1440"/>
        <w:rPr>
          <w:b/>
          <w:u w:val="single"/>
        </w:rPr>
      </w:pPr>
    </w:p>
    <w:p w:rsidR="00954615" w:rsidRDefault="00954615" w:rsidP="00954615">
      <w:pPr>
        <w:tabs>
          <w:tab w:val="left" w:pos="270"/>
          <w:tab w:val="left" w:pos="810"/>
          <w:tab w:val="left" w:pos="1440"/>
          <w:tab w:val="left" w:pos="2070"/>
        </w:tabs>
        <w:ind w:left="1440" w:hanging="1440"/>
      </w:pPr>
      <w:r>
        <w:tab/>
      </w:r>
      <w:r>
        <w:tab/>
        <w:t>1.</w:t>
      </w:r>
      <w:r>
        <w:tab/>
      </w:r>
      <w:hyperlink r:id="rId34" w:history="1">
        <w:r w:rsidRPr="00954615">
          <w:rPr>
            <w:rStyle w:val="Hyperlink"/>
          </w:rPr>
          <w:t>Fermi 2010-003</w:t>
        </w:r>
      </w:hyperlink>
      <w:r w:rsidRPr="00954615">
        <w:t xml:space="preserve"> The inspectors identified a Green finding for the licensee’s failure to adequately control loose materials near the 345kV switchyard. The licensee had a reactive procedure for tornado watches and warnings, which directed plant personnel to verify all outside equipment, cranes, etc., were properly secured or other compensatory measures were taken for equipment use. However, the inspectors did not identify any procedures to prepare for adverse weather conditions with respect to tornado and high wind conditions, nor did the inspectors identify any preparatory procedures to control loose materials in the protected area or switchyard.</w:t>
      </w:r>
    </w:p>
    <w:p w:rsidR="00954615" w:rsidRDefault="00954615" w:rsidP="00954615">
      <w:pPr>
        <w:tabs>
          <w:tab w:val="left" w:pos="270"/>
          <w:tab w:val="left" w:pos="810"/>
          <w:tab w:val="left" w:pos="1440"/>
          <w:tab w:val="left" w:pos="2070"/>
        </w:tabs>
        <w:ind w:left="1440" w:hanging="1440"/>
      </w:pPr>
    </w:p>
    <w:p w:rsidR="00954615" w:rsidRDefault="00954615" w:rsidP="00954615">
      <w:pPr>
        <w:tabs>
          <w:tab w:val="left" w:pos="270"/>
          <w:tab w:val="left" w:pos="810"/>
          <w:tab w:val="left" w:pos="1440"/>
          <w:tab w:val="left" w:pos="2070"/>
        </w:tabs>
        <w:ind w:left="1440" w:hanging="1440"/>
      </w:pPr>
      <w:r>
        <w:tab/>
      </w:r>
      <w:r>
        <w:tab/>
        <w:t>2.</w:t>
      </w:r>
      <w:r>
        <w:tab/>
      </w:r>
      <w:hyperlink r:id="rId35" w:history="1">
        <w:r w:rsidRPr="00954615">
          <w:rPr>
            <w:rStyle w:val="Hyperlink"/>
          </w:rPr>
          <w:t>Point Beach 2009-006</w:t>
        </w:r>
      </w:hyperlink>
      <w:r w:rsidRPr="00954615">
        <w:rPr>
          <w:b/>
        </w:rPr>
        <w:t xml:space="preserve">  </w:t>
      </w:r>
      <w:r w:rsidRPr="00954615">
        <w:t>A finding of very low safety significance was identified by the inspectors for the licensee’s failure to maintain control over the proper storage and placement of materials within the risk significant areas of the outdoors protected area, classified as high winds/tornado hazards in accordance with station procedures. Specifically, these unsecured items were identified near the Unit 1 and Unit 2 main transformer lines, auxiliary transformers, and the G-03/G-04 emergency diesel generator building</w:t>
      </w:r>
      <w:r>
        <w:t>.</w:t>
      </w:r>
    </w:p>
    <w:p w:rsidR="00954615" w:rsidRDefault="00954615" w:rsidP="00954615">
      <w:pPr>
        <w:tabs>
          <w:tab w:val="left" w:pos="270"/>
          <w:tab w:val="left" w:pos="810"/>
          <w:tab w:val="left" w:pos="1440"/>
          <w:tab w:val="left" w:pos="2070"/>
        </w:tabs>
        <w:ind w:left="1440" w:hanging="1440"/>
      </w:pPr>
    </w:p>
    <w:p w:rsidR="00954615" w:rsidRDefault="00954615" w:rsidP="00954615">
      <w:pPr>
        <w:tabs>
          <w:tab w:val="left" w:pos="270"/>
          <w:tab w:val="left" w:pos="810"/>
          <w:tab w:val="left" w:pos="1440"/>
          <w:tab w:val="left" w:pos="2070"/>
        </w:tabs>
        <w:ind w:left="1440" w:hanging="1440"/>
      </w:pPr>
      <w:r>
        <w:tab/>
        <w:t>c.</w:t>
      </w:r>
      <w:r>
        <w:tab/>
      </w:r>
      <w:r w:rsidRPr="00954615">
        <w:t>Findings Involving the Misapplication of TORMIS</w:t>
      </w:r>
    </w:p>
    <w:p w:rsidR="00954615" w:rsidRDefault="00954615" w:rsidP="00954615">
      <w:pPr>
        <w:tabs>
          <w:tab w:val="left" w:pos="270"/>
          <w:tab w:val="left" w:pos="810"/>
          <w:tab w:val="left" w:pos="1440"/>
          <w:tab w:val="left" w:pos="2070"/>
        </w:tabs>
        <w:ind w:left="1440" w:hanging="1440"/>
      </w:pPr>
    </w:p>
    <w:p w:rsidR="00954615" w:rsidRDefault="00954615" w:rsidP="00954615">
      <w:pPr>
        <w:tabs>
          <w:tab w:val="left" w:pos="270"/>
          <w:tab w:val="left" w:pos="810"/>
          <w:tab w:val="left" w:pos="1440"/>
          <w:tab w:val="left" w:pos="2070"/>
        </w:tabs>
        <w:ind w:left="1440" w:hanging="1440"/>
      </w:pPr>
      <w:r>
        <w:tab/>
      </w:r>
      <w:r>
        <w:tab/>
        <w:t>1.</w:t>
      </w:r>
      <w:r>
        <w:tab/>
      </w:r>
      <w:hyperlink r:id="rId36" w:history="1">
        <w:r w:rsidRPr="00954615">
          <w:rPr>
            <w:rStyle w:val="Hyperlink"/>
          </w:rPr>
          <w:t>Prairie Island 2010-009</w:t>
        </w:r>
      </w:hyperlink>
      <w:r w:rsidRPr="00954615">
        <w:rPr>
          <w:b/>
        </w:rPr>
        <w:t xml:space="preserve"> </w:t>
      </w:r>
      <w:r w:rsidR="00E3200F">
        <w:t xml:space="preserve">The inspectors identified an NCV </w:t>
      </w:r>
      <w:r w:rsidRPr="00954615">
        <w:t>of 10 CFR 50, Appendix B, Criterion III, design control. Specifically, the licensee failed to design the D1/D2 diesel generators to survive impact from the design basis missiles. Although the NRC approved the use of TORMIS in a Safety Evaluation Report (ML080870291), the approval did not incorporate the use of TORMIS into the license basis of Prairie Island. 10 CFR 50.59(c)(2)(viii) requires a license amendment for the use of the TORMIS methodology.  Prairie Island Nuclear Power Plant did not receive NRC approval for the use of TORMIS.</w:t>
      </w:r>
    </w:p>
    <w:p w:rsidR="00954615" w:rsidRDefault="00954615" w:rsidP="00954615">
      <w:pPr>
        <w:tabs>
          <w:tab w:val="left" w:pos="270"/>
          <w:tab w:val="left" w:pos="810"/>
          <w:tab w:val="left" w:pos="1440"/>
          <w:tab w:val="left" w:pos="2070"/>
        </w:tabs>
        <w:ind w:left="1440" w:hanging="1440"/>
      </w:pPr>
    </w:p>
    <w:p w:rsidR="00954615" w:rsidRDefault="00954615" w:rsidP="00954615">
      <w:pPr>
        <w:tabs>
          <w:tab w:val="left" w:pos="270"/>
          <w:tab w:val="left" w:pos="810"/>
          <w:tab w:val="left" w:pos="1440"/>
          <w:tab w:val="left" w:pos="2070"/>
        </w:tabs>
        <w:ind w:left="1440" w:hanging="1440"/>
      </w:pPr>
      <w:r>
        <w:tab/>
      </w:r>
      <w:r>
        <w:tab/>
        <w:t>2.</w:t>
      </w:r>
      <w:r>
        <w:tab/>
      </w:r>
      <w:hyperlink r:id="rId37" w:history="1">
        <w:r w:rsidRPr="00954615">
          <w:rPr>
            <w:rStyle w:val="Hyperlink"/>
          </w:rPr>
          <w:t>Fermi 2008-004</w:t>
        </w:r>
      </w:hyperlink>
      <w:r w:rsidRPr="00954615">
        <w:rPr>
          <w:b/>
        </w:rPr>
        <w:t xml:space="preserve"> </w:t>
      </w:r>
      <w:r w:rsidRPr="00954615">
        <w:t xml:space="preserve">The inspectors identified </w:t>
      </w:r>
      <w:r w:rsidR="00D22CA0" w:rsidRPr="00D05E34">
        <w:rPr>
          <w:rFonts w:cs="Arial"/>
          <w:szCs w:val="22"/>
        </w:rPr>
        <w:t>a finding of very low safety significance (Green) with an associated severity level IV NCV</w:t>
      </w:r>
      <w:r w:rsidR="00D22CA0" w:rsidRPr="00954615">
        <w:t xml:space="preserve"> </w:t>
      </w:r>
      <w:r w:rsidRPr="00954615">
        <w:t>for an inadequate 10 CFR 50.59, “Changes, Tests, and Experiments,” evaluation resulting in failure to receive prior NRC approval for changes in licensed activities associated with protection of safety-related equipment against tornado generated missiles. Specifically, the licensee failed to demonstrate that the proposed change did not result in an increase in the probability of a malfunction of equipment important to safety previously evaluated in the UFSAR.</w:t>
      </w:r>
    </w:p>
    <w:p w:rsidR="00954615" w:rsidRDefault="00954615" w:rsidP="00954615">
      <w:pPr>
        <w:tabs>
          <w:tab w:val="left" w:pos="270"/>
          <w:tab w:val="left" w:pos="810"/>
          <w:tab w:val="left" w:pos="1440"/>
          <w:tab w:val="left" w:pos="2070"/>
        </w:tabs>
        <w:ind w:left="1440" w:hanging="1440"/>
      </w:pPr>
    </w:p>
    <w:p w:rsidR="00954615" w:rsidRDefault="00954615" w:rsidP="00954615">
      <w:pPr>
        <w:tabs>
          <w:tab w:val="left" w:pos="270"/>
          <w:tab w:val="left" w:pos="810"/>
          <w:tab w:val="left" w:pos="1440"/>
          <w:tab w:val="left" w:pos="2070"/>
        </w:tabs>
        <w:ind w:left="1440" w:hanging="1440"/>
      </w:pPr>
      <w:r>
        <w:tab/>
        <w:t>d.</w:t>
      </w:r>
      <w:r>
        <w:tab/>
      </w:r>
      <w:r w:rsidRPr="00954615">
        <w:t>Findings Involving Actual Missile Events</w:t>
      </w:r>
    </w:p>
    <w:p w:rsidR="00954615" w:rsidRDefault="00954615" w:rsidP="00954615">
      <w:pPr>
        <w:tabs>
          <w:tab w:val="left" w:pos="270"/>
          <w:tab w:val="left" w:pos="810"/>
          <w:tab w:val="left" w:pos="1440"/>
          <w:tab w:val="left" w:pos="2070"/>
        </w:tabs>
        <w:ind w:left="1440" w:hanging="1440"/>
      </w:pPr>
    </w:p>
    <w:p w:rsidR="00954615" w:rsidRDefault="00954615" w:rsidP="00954615">
      <w:pPr>
        <w:tabs>
          <w:tab w:val="left" w:pos="270"/>
          <w:tab w:val="left" w:pos="810"/>
          <w:tab w:val="left" w:pos="1440"/>
          <w:tab w:val="left" w:pos="2070"/>
        </w:tabs>
        <w:ind w:left="1440" w:hanging="1440"/>
      </w:pPr>
      <w:r>
        <w:tab/>
      </w:r>
      <w:r>
        <w:tab/>
        <w:t>1.</w:t>
      </w:r>
      <w:r>
        <w:tab/>
      </w:r>
      <w:hyperlink r:id="rId38" w:history="1">
        <w:r w:rsidRPr="00954615">
          <w:rPr>
            <w:rStyle w:val="Hyperlink"/>
          </w:rPr>
          <w:t>Braidwood 2010-010</w:t>
        </w:r>
      </w:hyperlink>
      <w:r w:rsidRPr="00954615">
        <w:t xml:space="preserve"> A finding of very low safety significance was identified by the inspectors for the inadequate evaluation of operating experience (OE). Specifically, review of an event at another plant where building material was dislodged during a steam release and caused a loss of off-site power concluded that event was not applicable to Braidwood station. During the dual unit trip on August 16, 2010, reactor building flashing was dislodged during a steam release and was found on power lines and in the vicinity of the off-site power supplies. While there was no </w:t>
      </w:r>
      <w:r w:rsidR="00B531D9">
        <w:t>e</w:t>
      </w:r>
      <w:r w:rsidRPr="00954615">
        <w:t xml:space="preserve">ffect on the offsite power supply, the increased risk should </w:t>
      </w:r>
      <w:r w:rsidRPr="00954615">
        <w:lastRenderedPageBreak/>
        <w:t>have been fully evaluated and addressed as a result of the operating experience review.</w:t>
      </w:r>
    </w:p>
    <w:p w:rsidR="00954615" w:rsidRDefault="00954615" w:rsidP="00954615">
      <w:pPr>
        <w:tabs>
          <w:tab w:val="left" w:pos="270"/>
          <w:tab w:val="left" w:pos="810"/>
          <w:tab w:val="left" w:pos="1440"/>
          <w:tab w:val="left" w:pos="2070"/>
        </w:tabs>
        <w:ind w:left="1440" w:hanging="1440"/>
      </w:pPr>
    </w:p>
    <w:p w:rsidR="00954615" w:rsidRDefault="00954615" w:rsidP="00954615">
      <w:pPr>
        <w:tabs>
          <w:tab w:val="left" w:pos="270"/>
          <w:tab w:val="left" w:pos="810"/>
          <w:tab w:val="left" w:pos="1440"/>
          <w:tab w:val="left" w:pos="2070"/>
        </w:tabs>
        <w:ind w:left="1440" w:hanging="1440"/>
      </w:pPr>
      <w:r>
        <w:tab/>
      </w:r>
      <w:r>
        <w:tab/>
        <w:t>2.</w:t>
      </w:r>
      <w:r>
        <w:tab/>
      </w:r>
      <w:hyperlink r:id="rId39" w:history="1">
        <w:r w:rsidRPr="00954615">
          <w:rPr>
            <w:rStyle w:val="Hyperlink"/>
          </w:rPr>
          <w:t>River Bend 2008-004</w:t>
        </w:r>
      </w:hyperlink>
      <w:r w:rsidRPr="00954615">
        <w:t xml:space="preserve"> A self-revealing finding was identified for wind induced turbine building siding failure that occurred significantly below design specified stress levels as a result of design and installation deficiencies. This resulted in a forced outage to repair transformer damage and to repair the turbine building siding. The licensee missed prior opportunities to identify turbine building siding design and installation deficiencies following damaging wind events in 1992 and 2005 which resulted in siding detaching from the turbine building.  In both cases, the licensee concluded that the siding released as designed and did not conduct an apparent cause analysis to determine the appropriate failure mechanism.</w:t>
      </w:r>
    </w:p>
    <w:p w:rsidR="000D2C71" w:rsidRDefault="000D2C71" w:rsidP="00954615">
      <w:pPr>
        <w:tabs>
          <w:tab w:val="left" w:pos="270"/>
          <w:tab w:val="left" w:pos="810"/>
          <w:tab w:val="left" w:pos="1440"/>
          <w:tab w:val="left" w:pos="2070"/>
        </w:tabs>
        <w:ind w:left="1440" w:hanging="1440"/>
      </w:pPr>
    </w:p>
    <w:p w:rsidR="000D2C71" w:rsidRPr="00085215" w:rsidRDefault="000D2C71" w:rsidP="00954615">
      <w:pPr>
        <w:tabs>
          <w:tab w:val="left" w:pos="270"/>
          <w:tab w:val="left" w:pos="810"/>
          <w:tab w:val="left" w:pos="1440"/>
          <w:tab w:val="left" w:pos="2070"/>
        </w:tabs>
        <w:ind w:left="1440" w:hanging="1440"/>
      </w:pPr>
      <w:r>
        <w:tab/>
      </w:r>
      <w:r>
        <w:tab/>
        <w:t>3.</w:t>
      </w:r>
      <w:r>
        <w:tab/>
      </w:r>
      <w:hyperlink r:id="rId40" w:history="1">
        <w:r w:rsidRPr="009B537E">
          <w:rPr>
            <w:rStyle w:val="Hyperlink"/>
          </w:rPr>
          <w:t>Fort Calho</w:t>
        </w:r>
        <w:r w:rsidRPr="009B537E">
          <w:rPr>
            <w:rStyle w:val="Hyperlink"/>
          </w:rPr>
          <w:t>u</w:t>
        </w:r>
        <w:r w:rsidRPr="009B537E">
          <w:rPr>
            <w:rStyle w:val="Hyperlink"/>
          </w:rPr>
          <w:t>n 2007-010</w:t>
        </w:r>
      </w:hyperlink>
      <w:r>
        <w:t xml:space="preserve"> </w:t>
      </w:r>
      <w:r w:rsidRPr="009B537E">
        <w:t xml:space="preserve">A self-revealing </w:t>
      </w:r>
      <w:r>
        <w:t>NCV</w:t>
      </w:r>
      <w:r w:rsidRPr="009B537E">
        <w:t xml:space="preserve"> of Technical Specification</w:t>
      </w:r>
      <w:r>
        <w:t>s</w:t>
      </w:r>
      <w:r w:rsidRPr="009B537E">
        <w:t xml:space="preserve"> occurred for an inadequate procedure that narrowly defined the definition of a</w:t>
      </w:r>
      <w:r>
        <w:t xml:space="preserve"> </w:t>
      </w:r>
      <w:r w:rsidRPr="009B537E">
        <w:t>missile. This inadequacy resulted in the loss of 161 kilovolt power to the</w:t>
      </w:r>
      <w:r>
        <w:t xml:space="preserve"> </w:t>
      </w:r>
      <w:r w:rsidRPr="009B537E">
        <w:t>safety-related busses on August 20, 2007 during a high wind event when debris</w:t>
      </w:r>
      <w:r>
        <w:t xml:space="preserve"> </w:t>
      </w:r>
      <w:r w:rsidRPr="009B537E">
        <w:t>not meeting the definition of a missile struck a transformer relay cabinet.</w:t>
      </w:r>
    </w:p>
    <w:p w:rsidR="009D7582" w:rsidRPr="00FF6355" w:rsidRDefault="009D7582" w:rsidP="00950727"/>
    <w:p w:rsidR="00566F3F" w:rsidRPr="00FF6355" w:rsidRDefault="00566F3F" w:rsidP="00950727"/>
    <w:p w:rsidR="003D4F96" w:rsidRPr="00FF6355" w:rsidRDefault="00BE43A2" w:rsidP="00950727">
      <w:proofErr w:type="spellStart"/>
      <w:r>
        <w:t>OpESS</w:t>
      </w:r>
      <w:proofErr w:type="spellEnd"/>
      <w:r>
        <w:t xml:space="preserve"> </w:t>
      </w:r>
      <w:r w:rsidR="00EB61CC" w:rsidRPr="00FF6355">
        <w:t>2</w:t>
      </w:r>
      <w:r>
        <w:t>012</w:t>
      </w:r>
      <w:r w:rsidR="00EB61CC" w:rsidRPr="00FF6355">
        <w:t>/</w:t>
      </w:r>
      <w:r>
        <w:t>0</w:t>
      </w:r>
      <w:r w:rsidR="00962DD9" w:rsidRPr="00FF6355">
        <w:t>1</w:t>
      </w:r>
      <w:r w:rsidR="00B06B1B" w:rsidRPr="00FF6355">
        <w:t>-06</w:t>
      </w:r>
      <w:r w:rsidR="00B06B1B" w:rsidRPr="00FF6355">
        <w:tab/>
      </w:r>
      <w:r>
        <w:t>REPORTING RESULTS/TIME CHARGES/ADDITIONAL ISSUES</w:t>
      </w:r>
    </w:p>
    <w:p w:rsidR="00B06B1B" w:rsidRPr="00FF6355" w:rsidRDefault="00B06B1B" w:rsidP="00950727"/>
    <w:p w:rsidR="00543D49" w:rsidRDefault="00543D49" w:rsidP="00543D49">
      <w:pPr>
        <w:pStyle w:val="Default"/>
        <w:rPr>
          <w:sz w:val="22"/>
          <w:szCs w:val="22"/>
        </w:rPr>
      </w:pPr>
      <w:r>
        <w:rPr>
          <w:sz w:val="22"/>
          <w:szCs w:val="22"/>
        </w:rPr>
        <w:t xml:space="preserve">If information from this </w:t>
      </w:r>
      <w:proofErr w:type="spellStart"/>
      <w:r>
        <w:rPr>
          <w:sz w:val="22"/>
          <w:szCs w:val="22"/>
        </w:rPr>
        <w:t>OpESS</w:t>
      </w:r>
      <w:proofErr w:type="spellEnd"/>
      <w:r>
        <w:rPr>
          <w:sz w:val="22"/>
          <w:szCs w:val="22"/>
        </w:rPr>
        <w:t xml:space="preserve"> is used to inform the sample selection for a baseline IP, </w:t>
      </w:r>
      <w:r w:rsidR="009B484C">
        <w:rPr>
          <w:sz w:val="22"/>
          <w:szCs w:val="22"/>
        </w:rPr>
        <w:t>include</w:t>
      </w:r>
      <w:r>
        <w:rPr>
          <w:sz w:val="22"/>
          <w:szCs w:val="22"/>
        </w:rPr>
        <w:t xml:space="preserve"> the </w:t>
      </w:r>
      <w:proofErr w:type="spellStart"/>
      <w:r>
        <w:rPr>
          <w:sz w:val="22"/>
          <w:szCs w:val="22"/>
        </w:rPr>
        <w:t>OpESS</w:t>
      </w:r>
      <w:proofErr w:type="spellEnd"/>
      <w:r>
        <w:rPr>
          <w:sz w:val="22"/>
          <w:szCs w:val="22"/>
        </w:rPr>
        <w:t xml:space="preserve"> number and title in the </w:t>
      </w:r>
      <w:r w:rsidR="002611C1">
        <w:rPr>
          <w:sz w:val="22"/>
          <w:szCs w:val="22"/>
        </w:rPr>
        <w:t>‘</w:t>
      </w:r>
      <w:r w:rsidR="009B484C">
        <w:rPr>
          <w:sz w:val="22"/>
          <w:szCs w:val="22"/>
        </w:rPr>
        <w:t>List of Documents Reviewed</w:t>
      </w:r>
      <w:r w:rsidR="002611C1">
        <w:rPr>
          <w:sz w:val="22"/>
          <w:szCs w:val="22"/>
        </w:rPr>
        <w:t>’</w:t>
      </w:r>
      <w:r w:rsidR="009B484C">
        <w:rPr>
          <w:sz w:val="22"/>
          <w:szCs w:val="22"/>
        </w:rPr>
        <w:t xml:space="preserve"> section of the </w:t>
      </w:r>
      <w:r>
        <w:rPr>
          <w:sz w:val="22"/>
          <w:szCs w:val="22"/>
        </w:rPr>
        <w:t xml:space="preserve">relevant inspection report.  </w:t>
      </w:r>
    </w:p>
    <w:p w:rsidR="00543D49" w:rsidRDefault="00543D49" w:rsidP="00543D49">
      <w:pPr>
        <w:pStyle w:val="Default"/>
        <w:rPr>
          <w:sz w:val="22"/>
          <w:szCs w:val="22"/>
        </w:rPr>
      </w:pPr>
    </w:p>
    <w:p w:rsidR="00543D49" w:rsidRDefault="009B484C" w:rsidP="00543D49">
      <w:pPr>
        <w:pStyle w:val="Default"/>
        <w:rPr>
          <w:sz w:val="22"/>
          <w:szCs w:val="22"/>
        </w:rPr>
      </w:pPr>
      <w:r>
        <w:rPr>
          <w:sz w:val="22"/>
          <w:szCs w:val="22"/>
        </w:rPr>
        <w:t xml:space="preserve">In addition, if </w:t>
      </w:r>
      <w:r w:rsidR="00543D49">
        <w:rPr>
          <w:sz w:val="22"/>
          <w:szCs w:val="22"/>
        </w:rPr>
        <w:t xml:space="preserve">any findings or violations </w:t>
      </w:r>
      <w:r>
        <w:rPr>
          <w:sz w:val="22"/>
          <w:szCs w:val="22"/>
        </w:rPr>
        <w:t xml:space="preserve">are </w:t>
      </w:r>
      <w:r w:rsidR="00543D49">
        <w:rPr>
          <w:sz w:val="22"/>
          <w:szCs w:val="22"/>
        </w:rPr>
        <w:t>identified in conjunction with th</w:t>
      </w:r>
      <w:r>
        <w:rPr>
          <w:sz w:val="22"/>
          <w:szCs w:val="22"/>
        </w:rPr>
        <w:t>is</w:t>
      </w:r>
      <w:r w:rsidR="00543D49">
        <w:rPr>
          <w:sz w:val="22"/>
          <w:szCs w:val="22"/>
        </w:rPr>
        <w:t xml:space="preserve"> </w:t>
      </w:r>
      <w:proofErr w:type="spellStart"/>
      <w:r w:rsidR="00543D49">
        <w:rPr>
          <w:sz w:val="22"/>
          <w:szCs w:val="22"/>
        </w:rPr>
        <w:t>OpESS</w:t>
      </w:r>
      <w:proofErr w:type="spellEnd"/>
      <w:r>
        <w:rPr>
          <w:sz w:val="22"/>
          <w:szCs w:val="22"/>
        </w:rPr>
        <w:t xml:space="preserve">, </w:t>
      </w:r>
      <w:r w:rsidR="00543D49">
        <w:rPr>
          <w:sz w:val="22"/>
          <w:szCs w:val="22"/>
        </w:rPr>
        <w:t>include a statement similar to the following</w:t>
      </w:r>
      <w:r>
        <w:rPr>
          <w:sz w:val="22"/>
          <w:szCs w:val="22"/>
        </w:rPr>
        <w:t xml:space="preserve"> in the description section of the finding write-up</w:t>
      </w:r>
      <w:r w:rsidR="00543D49">
        <w:rPr>
          <w:sz w:val="22"/>
          <w:szCs w:val="22"/>
        </w:rPr>
        <w:t>:</w:t>
      </w:r>
    </w:p>
    <w:p w:rsidR="00543D49" w:rsidRDefault="00543D49" w:rsidP="00543D49">
      <w:pPr>
        <w:pStyle w:val="Default"/>
        <w:rPr>
          <w:sz w:val="22"/>
          <w:szCs w:val="22"/>
        </w:rPr>
      </w:pPr>
    </w:p>
    <w:p w:rsidR="00543D49" w:rsidRDefault="00543D49" w:rsidP="00543D49">
      <w:pPr>
        <w:pStyle w:val="Default"/>
        <w:ind w:left="810" w:right="720" w:hanging="810"/>
        <w:rPr>
          <w:sz w:val="22"/>
          <w:szCs w:val="22"/>
        </w:rPr>
      </w:pPr>
      <w:r>
        <w:rPr>
          <w:sz w:val="22"/>
          <w:szCs w:val="22"/>
        </w:rPr>
        <w:tab/>
      </w:r>
      <w:r w:rsidRPr="00E10C24">
        <w:rPr>
          <w:i/>
          <w:sz w:val="22"/>
          <w:szCs w:val="22"/>
        </w:rPr>
        <w:t xml:space="preserve">This </w:t>
      </w:r>
      <w:r>
        <w:rPr>
          <w:sz w:val="22"/>
          <w:szCs w:val="22"/>
        </w:rPr>
        <w:t>[finding or violation]</w:t>
      </w:r>
      <w:r w:rsidRPr="00E10C24">
        <w:rPr>
          <w:i/>
          <w:sz w:val="22"/>
          <w:szCs w:val="22"/>
        </w:rPr>
        <w:t xml:space="preserve"> was identified </w:t>
      </w:r>
      <w:r>
        <w:rPr>
          <w:i/>
          <w:sz w:val="22"/>
          <w:szCs w:val="22"/>
        </w:rPr>
        <w:t xml:space="preserve">in connection with </w:t>
      </w:r>
      <w:r w:rsidRPr="00E10C24">
        <w:rPr>
          <w:i/>
          <w:sz w:val="22"/>
          <w:szCs w:val="22"/>
        </w:rPr>
        <w:t xml:space="preserve">a review of Operating Experience Smart Sample </w:t>
      </w:r>
      <w:r>
        <w:rPr>
          <w:sz w:val="22"/>
          <w:szCs w:val="22"/>
        </w:rPr>
        <w:t>[number and title].</w:t>
      </w:r>
    </w:p>
    <w:p w:rsidR="00FA67C0" w:rsidRPr="008C2F33" w:rsidRDefault="00FA67C0" w:rsidP="00FA67C0">
      <w:pPr>
        <w:pStyle w:val="Default"/>
        <w:rPr>
          <w:strike/>
          <w:sz w:val="22"/>
          <w:szCs w:val="22"/>
        </w:rPr>
      </w:pPr>
    </w:p>
    <w:p w:rsidR="00B06B1B" w:rsidRPr="00FF6355" w:rsidRDefault="00FA67C0" w:rsidP="00FA67C0">
      <w:r w:rsidRPr="00697B0E">
        <w:rPr>
          <w:szCs w:val="22"/>
        </w:rPr>
        <w:t xml:space="preserve">Inspection time for this </w:t>
      </w:r>
      <w:proofErr w:type="spellStart"/>
      <w:r w:rsidRPr="00697B0E">
        <w:rPr>
          <w:szCs w:val="22"/>
        </w:rPr>
        <w:t>OpESS</w:t>
      </w:r>
      <w:proofErr w:type="spellEnd"/>
      <w:r w:rsidRPr="00697B0E">
        <w:rPr>
          <w:szCs w:val="22"/>
        </w:rPr>
        <w:t xml:space="preserve"> is to be charged to the normal baseline procedure under which it is being documented.</w:t>
      </w:r>
    </w:p>
    <w:p w:rsidR="00BF330C" w:rsidRPr="00FF6355" w:rsidRDefault="00BF330C" w:rsidP="00950727"/>
    <w:p w:rsidR="000D2C71" w:rsidRPr="00FF6355" w:rsidRDefault="000D2C71" w:rsidP="00950727"/>
    <w:p w:rsidR="00BF330C" w:rsidRPr="00FF6355" w:rsidRDefault="00BE43A2" w:rsidP="00950727">
      <w:proofErr w:type="spellStart"/>
      <w:r>
        <w:t>OpESS</w:t>
      </w:r>
      <w:proofErr w:type="spellEnd"/>
      <w:r>
        <w:t xml:space="preserve"> </w:t>
      </w:r>
      <w:r w:rsidR="00EB61CC" w:rsidRPr="00FF6355">
        <w:t>2</w:t>
      </w:r>
      <w:r>
        <w:t>012</w:t>
      </w:r>
      <w:r w:rsidR="00EB61CC" w:rsidRPr="00FF6355">
        <w:t>/</w:t>
      </w:r>
      <w:r>
        <w:t>0</w:t>
      </w:r>
      <w:r w:rsidR="00962DD9" w:rsidRPr="00FF6355">
        <w:t>1</w:t>
      </w:r>
      <w:r w:rsidR="00BF330C" w:rsidRPr="00FF6355">
        <w:t>-07</w:t>
      </w:r>
      <w:r w:rsidR="00BF330C" w:rsidRPr="00FF6355">
        <w:tab/>
      </w:r>
      <w:r>
        <w:t>CONTACTS</w:t>
      </w:r>
    </w:p>
    <w:p w:rsidR="00BF330C" w:rsidRPr="00FF6355" w:rsidRDefault="00BF330C" w:rsidP="00950727"/>
    <w:p w:rsidR="00EF1242" w:rsidRDefault="00EF1242" w:rsidP="00EF1242">
      <w:pPr>
        <w:pStyle w:val="Default"/>
        <w:rPr>
          <w:sz w:val="22"/>
          <w:szCs w:val="22"/>
        </w:rPr>
      </w:pPr>
      <w:r w:rsidRPr="00EF1242">
        <w:rPr>
          <w:sz w:val="22"/>
          <w:szCs w:val="22"/>
        </w:rPr>
        <w:t xml:space="preserve">For technical support regarding the performance of this </w:t>
      </w:r>
      <w:proofErr w:type="spellStart"/>
      <w:r w:rsidR="00B531D9">
        <w:rPr>
          <w:sz w:val="22"/>
          <w:szCs w:val="22"/>
        </w:rPr>
        <w:t>OpESS</w:t>
      </w:r>
      <w:proofErr w:type="spellEnd"/>
      <w:r w:rsidRPr="00EF1242">
        <w:rPr>
          <w:sz w:val="22"/>
          <w:szCs w:val="22"/>
        </w:rPr>
        <w:t xml:space="preserve"> and emergent issues, contact </w:t>
      </w:r>
      <w:r>
        <w:rPr>
          <w:sz w:val="22"/>
          <w:szCs w:val="22"/>
        </w:rPr>
        <w:t xml:space="preserve">Edward Smith (NRR/DSS/SBPB) at 301-415-1548 or </w:t>
      </w:r>
      <w:hyperlink r:id="rId41" w:history="1">
        <w:r w:rsidRPr="00F33CBD">
          <w:rPr>
            <w:rStyle w:val="Hyperlink"/>
            <w:sz w:val="22"/>
            <w:szCs w:val="22"/>
          </w:rPr>
          <w:t>Edward.Smith@nrc.gov</w:t>
        </w:r>
      </w:hyperlink>
      <w:r>
        <w:t xml:space="preserve">, or </w:t>
      </w:r>
      <w:r>
        <w:rPr>
          <w:sz w:val="22"/>
          <w:szCs w:val="22"/>
        </w:rPr>
        <w:t xml:space="preserve">Rebecca Sigmon (NRR/DIRS/IOEB) at 301-415-4018 or </w:t>
      </w:r>
      <w:hyperlink r:id="rId42" w:history="1">
        <w:r w:rsidRPr="00F33CBD">
          <w:rPr>
            <w:rStyle w:val="Hyperlink"/>
            <w:sz w:val="22"/>
            <w:szCs w:val="22"/>
          </w:rPr>
          <w:t>Rebecca.Sigmon@nrc.gov</w:t>
        </w:r>
      </w:hyperlink>
      <w:r>
        <w:rPr>
          <w:sz w:val="22"/>
          <w:szCs w:val="22"/>
        </w:rPr>
        <w:t>,or J</w:t>
      </w:r>
      <w:r w:rsidRPr="00697B0E">
        <w:rPr>
          <w:sz w:val="22"/>
          <w:szCs w:val="22"/>
        </w:rPr>
        <w:t>ohn Thompson (NRR/ DIRS/IOEB)</w:t>
      </w:r>
      <w:r>
        <w:rPr>
          <w:sz w:val="22"/>
          <w:szCs w:val="22"/>
        </w:rPr>
        <w:t xml:space="preserve"> at </w:t>
      </w:r>
      <w:r w:rsidRPr="00697B0E">
        <w:rPr>
          <w:sz w:val="22"/>
          <w:szCs w:val="22"/>
        </w:rPr>
        <w:t>301</w:t>
      </w:r>
      <w:r>
        <w:rPr>
          <w:sz w:val="22"/>
          <w:szCs w:val="22"/>
        </w:rPr>
        <w:t>-</w:t>
      </w:r>
      <w:r w:rsidRPr="00697B0E">
        <w:rPr>
          <w:sz w:val="22"/>
          <w:szCs w:val="22"/>
        </w:rPr>
        <w:t>415-1011</w:t>
      </w:r>
      <w:r>
        <w:rPr>
          <w:sz w:val="22"/>
          <w:szCs w:val="22"/>
        </w:rPr>
        <w:t xml:space="preserve"> or </w:t>
      </w:r>
      <w:hyperlink r:id="rId43" w:history="1">
        <w:r w:rsidRPr="00F33CBD">
          <w:rPr>
            <w:rStyle w:val="Hyperlink"/>
            <w:sz w:val="22"/>
            <w:szCs w:val="22"/>
          </w:rPr>
          <w:t>John.Thompson@nrc.gov</w:t>
        </w:r>
      </w:hyperlink>
      <w:r w:rsidRPr="00EF1242">
        <w:rPr>
          <w:sz w:val="22"/>
          <w:szCs w:val="22"/>
        </w:rPr>
        <w:t xml:space="preserve">.  </w:t>
      </w:r>
    </w:p>
    <w:p w:rsidR="00EF1242" w:rsidRDefault="00EF1242" w:rsidP="00EF1242">
      <w:pPr>
        <w:pStyle w:val="Default"/>
        <w:rPr>
          <w:sz w:val="22"/>
          <w:szCs w:val="22"/>
        </w:rPr>
      </w:pPr>
    </w:p>
    <w:p w:rsidR="00BF330C" w:rsidRPr="00EF1242" w:rsidRDefault="00EF1242" w:rsidP="00EF1242">
      <w:pPr>
        <w:pStyle w:val="Default"/>
        <w:rPr>
          <w:strike/>
          <w:color w:val="0000FF"/>
          <w:sz w:val="22"/>
          <w:szCs w:val="22"/>
        </w:rPr>
      </w:pPr>
      <w:r w:rsidRPr="00EF1242">
        <w:rPr>
          <w:sz w:val="22"/>
          <w:szCs w:val="22"/>
        </w:rPr>
        <w:t>For administrative, reporting, or documentation questions, contact Jeremy Bowen</w:t>
      </w:r>
      <w:r w:rsidR="00B531D9">
        <w:rPr>
          <w:sz w:val="22"/>
          <w:szCs w:val="22"/>
        </w:rPr>
        <w:t xml:space="preserve"> (NRR/DIRS/IRIB)</w:t>
      </w:r>
      <w:r w:rsidRPr="00EF1242">
        <w:rPr>
          <w:sz w:val="22"/>
          <w:szCs w:val="22"/>
        </w:rPr>
        <w:t xml:space="preserve"> at 301-415-3471 or </w:t>
      </w:r>
      <w:hyperlink r:id="rId44" w:history="1">
        <w:r w:rsidRPr="00EF1242">
          <w:rPr>
            <w:rStyle w:val="Hyperlink"/>
            <w:sz w:val="22"/>
            <w:szCs w:val="22"/>
          </w:rPr>
          <w:t>Jeremy.Bowen@nrc.gov</w:t>
        </w:r>
      </w:hyperlink>
      <w:r w:rsidRPr="00EF1242">
        <w:rPr>
          <w:sz w:val="22"/>
          <w:szCs w:val="22"/>
        </w:rPr>
        <w:t>.</w:t>
      </w:r>
    </w:p>
    <w:p w:rsidR="00BF330C" w:rsidRPr="00FF6355" w:rsidRDefault="00BF330C" w:rsidP="00950727"/>
    <w:p w:rsidR="00B47326" w:rsidRPr="00FF6355" w:rsidRDefault="00B47326" w:rsidP="00950727"/>
    <w:p w:rsidR="00CD2F1E" w:rsidRPr="00CD2F1E" w:rsidRDefault="00CD2F1E" w:rsidP="009C26CA">
      <w:pPr>
        <w:rPr>
          <w:rFonts w:cs="Arial"/>
          <w:szCs w:val="22"/>
        </w:rPr>
      </w:pPr>
    </w:p>
    <w:p w:rsidR="00EB7769" w:rsidRPr="00FF6355" w:rsidRDefault="00EB7769" w:rsidP="00950727">
      <w:pPr>
        <w:sectPr w:rsidR="00EB7769" w:rsidRPr="00FF6355" w:rsidSect="005218E5">
          <w:footerReference w:type="even" r:id="rId45"/>
          <w:footerReference w:type="default" r:id="rId46"/>
          <w:pgSz w:w="12240" w:h="15840" w:code="1"/>
          <w:pgMar w:top="1440" w:right="1440" w:bottom="1440" w:left="1440" w:header="720" w:footer="720" w:gutter="0"/>
          <w:pgNumType w:start="1"/>
          <w:cols w:space="720"/>
          <w:docGrid w:linePitch="360"/>
        </w:sectPr>
      </w:pPr>
    </w:p>
    <w:p w:rsidR="00093F2E" w:rsidRPr="00FF6355" w:rsidRDefault="001368B0" w:rsidP="00363DDD">
      <w:pPr>
        <w:jc w:val="center"/>
      </w:pPr>
      <w:r w:rsidRPr="00FF6355">
        <w:lastRenderedPageBreak/>
        <w:t xml:space="preserve">Revision History for </w:t>
      </w:r>
      <w:proofErr w:type="spellStart"/>
      <w:r w:rsidR="00BE43A2">
        <w:t>OpESS</w:t>
      </w:r>
      <w:proofErr w:type="spellEnd"/>
      <w:r w:rsidRPr="00FF6355">
        <w:t xml:space="preserve"> 2</w:t>
      </w:r>
      <w:r w:rsidR="00BE43A2">
        <w:t>012</w:t>
      </w:r>
      <w:r w:rsidRPr="00FF6355">
        <w:t>/</w:t>
      </w:r>
      <w:r w:rsidR="00BE43A2">
        <w:t>0</w:t>
      </w:r>
      <w:r w:rsidR="00962DD9" w:rsidRPr="00FF6355">
        <w:t>1</w:t>
      </w:r>
    </w:p>
    <w:p w:rsidR="00093F2E" w:rsidRPr="00FF6355" w:rsidRDefault="00093F2E" w:rsidP="00950727"/>
    <w:tbl>
      <w:tblPr>
        <w:tblStyle w:val="TableGrid"/>
        <w:tblW w:w="0" w:type="auto"/>
        <w:tblLook w:val="01E0"/>
      </w:tblPr>
      <w:tblGrid>
        <w:gridCol w:w="2062"/>
        <w:gridCol w:w="1648"/>
        <w:gridCol w:w="3504"/>
        <w:gridCol w:w="1250"/>
        <w:gridCol w:w="2125"/>
        <w:gridCol w:w="2587"/>
      </w:tblGrid>
      <w:tr w:rsidR="00093F2E" w:rsidTr="00DB7F5C">
        <w:tc>
          <w:tcPr>
            <w:tcW w:w="2088" w:type="dxa"/>
          </w:tcPr>
          <w:p w:rsidR="00093F2E" w:rsidRPr="00FF6355" w:rsidRDefault="00093F2E" w:rsidP="00950727">
            <w:r w:rsidRPr="00FF6355">
              <w:t>Commitment Tracking Number</w:t>
            </w:r>
          </w:p>
        </w:tc>
        <w:tc>
          <w:tcPr>
            <w:tcW w:w="1440" w:type="dxa"/>
          </w:tcPr>
          <w:p w:rsidR="00093F2E" w:rsidRPr="00FF6355" w:rsidRDefault="00093F2E" w:rsidP="00950727">
            <w:r w:rsidRPr="00FF6355">
              <w:t>Issue Date</w:t>
            </w:r>
          </w:p>
        </w:tc>
        <w:tc>
          <w:tcPr>
            <w:tcW w:w="3600" w:type="dxa"/>
          </w:tcPr>
          <w:p w:rsidR="00093F2E" w:rsidRPr="00FF6355" w:rsidRDefault="00093F2E" w:rsidP="00950727">
            <w:r w:rsidRPr="00FF6355">
              <w:t>Description of Change</w:t>
            </w:r>
          </w:p>
        </w:tc>
        <w:tc>
          <w:tcPr>
            <w:tcW w:w="1260" w:type="dxa"/>
          </w:tcPr>
          <w:p w:rsidR="00093F2E" w:rsidRPr="00FF6355" w:rsidRDefault="00093F2E" w:rsidP="00950727">
            <w:r w:rsidRPr="00FF6355">
              <w:t>Training Needed</w:t>
            </w:r>
          </w:p>
        </w:tc>
        <w:tc>
          <w:tcPr>
            <w:tcW w:w="2160" w:type="dxa"/>
          </w:tcPr>
          <w:p w:rsidR="00093F2E" w:rsidRPr="00FF6355" w:rsidRDefault="00093F2E" w:rsidP="00950727">
            <w:r w:rsidRPr="00FF6355">
              <w:t>Training Completion Date</w:t>
            </w:r>
          </w:p>
        </w:tc>
        <w:tc>
          <w:tcPr>
            <w:tcW w:w="2628" w:type="dxa"/>
          </w:tcPr>
          <w:p w:rsidR="00093F2E" w:rsidRPr="00FF6355" w:rsidRDefault="00093F2E" w:rsidP="00950727">
            <w:r w:rsidRPr="00FF6355">
              <w:t>Comment Resolution Accession Number</w:t>
            </w:r>
          </w:p>
        </w:tc>
      </w:tr>
      <w:tr w:rsidR="00093F2E" w:rsidTr="00DB7F5C">
        <w:tc>
          <w:tcPr>
            <w:tcW w:w="2088" w:type="dxa"/>
          </w:tcPr>
          <w:p w:rsidR="00093F2E" w:rsidRPr="00FF6355" w:rsidRDefault="00093F2E" w:rsidP="00950727">
            <w:r w:rsidRPr="00FF6355">
              <w:t>N/A</w:t>
            </w:r>
          </w:p>
        </w:tc>
        <w:tc>
          <w:tcPr>
            <w:tcW w:w="1440" w:type="dxa"/>
          </w:tcPr>
          <w:p w:rsidR="00B342AD" w:rsidRDefault="00B342AD" w:rsidP="00950727">
            <w:r w:rsidRPr="00B342AD">
              <w:t>ML12003A118</w:t>
            </w:r>
          </w:p>
          <w:p w:rsidR="00056BD3" w:rsidRPr="00646CF6" w:rsidRDefault="00646CF6" w:rsidP="00950727">
            <w:r>
              <w:t>12</w:t>
            </w:r>
            <w:r w:rsidR="001368B0" w:rsidRPr="00FF6355">
              <w:t>/</w:t>
            </w:r>
            <w:r>
              <w:t>29</w:t>
            </w:r>
            <w:r w:rsidR="001368B0" w:rsidRPr="00FF6355">
              <w:t>/</w:t>
            </w:r>
            <w:r>
              <w:t>11</w:t>
            </w:r>
          </w:p>
        </w:tc>
        <w:tc>
          <w:tcPr>
            <w:tcW w:w="3600" w:type="dxa"/>
          </w:tcPr>
          <w:p w:rsidR="00093F2E" w:rsidRPr="00FF6355" w:rsidRDefault="00D34C69" w:rsidP="00950727">
            <w:r w:rsidRPr="00FF6355">
              <w:t xml:space="preserve">Initial issuance. </w:t>
            </w:r>
          </w:p>
        </w:tc>
        <w:tc>
          <w:tcPr>
            <w:tcW w:w="1260" w:type="dxa"/>
          </w:tcPr>
          <w:p w:rsidR="00093F2E" w:rsidRPr="00FF6355" w:rsidRDefault="00093F2E" w:rsidP="00950727">
            <w:r w:rsidRPr="00FF6355">
              <w:t>N/A</w:t>
            </w:r>
          </w:p>
        </w:tc>
        <w:tc>
          <w:tcPr>
            <w:tcW w:w="2160" w:type="dxa"/>
          </w:tcPr>
          <w:p w:rsidR="00093F2E" w:rsidRPr="00FF6355" w:rsidRDefault="00093F2E" w:rsidP="00950727">
            <w:r w:rsidRPr="00FF6355">
              <w:t>N/A</w:t>
            </w:r>
          </w:p>
        </w:tc>
        <w:tc>
          <w:tcPr>
            <w:tcW w:w="2628" w:type="dxa"/>
          </w:tcPr>
          <w:p w:rsidR="00093F2E" w:rsidRPr="00093F2E" w:rsidRDefault="008D13D3" w:rsidP="003F23EC">
            <w:r>
              <w:rPr>
                <w:rStyle w:val="outputtext"/>
              </w:rPr>
              <w:t>ML11339A064</w:t>
            </w:r>
          </w:p>
        </w:tc>
      </w:tr>
    </w:tbl>
    <w:p w:rsidR="00093F2E" w:rsidRPr="00FF6355" w:rsidRDefault="00093F2E" w:rsidP="00950727"/>
    <w:sectPr w:rsidR="00093F2E" w:rsidRPr="00FF6355" w:rsidSect="00792F3B">
      <w:footerReference w:type="default" r:id="rId47"/>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DB5" w:rsidRDefault="00DE5DB5">
      <w:r>
        <w:separator/>
      </w:r>
    </w:p>
  </w:endnote>
  <w:endnote w:type="continuationSeparator" w:id="0">
    <w:p w:rsidR="00DE5DB5" w:rsidRDefault="00DE5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B5" w:rsidRDefault="008A6441" w:rsidP="005218E5">
    <w:pPr>
      <w:pStyle w:val="Footer"/>
      <w:framePr w:wrap="around" w:vAnchor="text" w:hAnchor="margin" w:xAlign="center" w:y="1"/>
      <w:rPr>
        <w:rStyle w:val="PageNumber"/>
      </w:rPr>
    </w:pPr>
    <w:r>
      <w:rPr>
        <w:rStyle w:val="PageNumber"/>
      </w:rPr>
      <w:fldChar w:fldCharType="begin"/>
    </w:r>
    <w:r w:rsidR="00DE5DB5">
      <w:rPr>
        <w:rStyle w:val="PageNumber"/>
      </w:rPr>
      <w:instrText xml:space="preserve">PAGE  </w:instrText>
    </w:r>
    <w:r>
      <w:rPr>
        <w:rStyle w:val="PageNumber"/>
      </w:rPr>
      <w:fldChar w:fldCharType="end"/>
    </w:r>
  </w:p>
  <w:p w:rsidR="00DE5DB5" w:rsidRDefault="00DE5D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B5" w:rsidRDefault="00DE5DB5" w:rsidP="007243A3">
    <w:pPr>
      <w:tabs>
        <w:tab w:val="center" w:pos="4680"/>
        <w:tab w:val="right" w:pos="9360"/>
      </w:tabs>
      <w:rPr>
        <w:rFonts w:cs="Arial"/>
      </w:rPr>
    </w:pPr>
  </w:p>
  <w:p w:rsidR="00DE5DB5" w:rsidRDefault="008A6441" w:rsidP="00D55970">
    <w:pPr>
      <w:pStyle w:val="Footer"/>
      <w:framePr w:wrap="around" w:vAnchor="text" w:hAnchor="margin" w:xAlign="center" w:y="-3"/>
      <w:rPr>
        <w:rStyle w:val="PageNumber"/>
      </w:rPr>
    </w:pPr>
    <w:r>
      <w:rPr>
        <w:rStyle w:val="PageNumber"/>
      </w:rPr>
      <w:fldChar w:fldCharType="begin"/>
    </w:r>
    <w:r w:rsidR="00DE5DB5">
      <w:rPr>
        <w:rStyle w:val="PageNumber"/>
      </w:rPr>
      <w:instrText xml:space="preserve">PAGE  </w:instrText>
    </w:r>
    <w:r>
      <w:rPr>
        <w:rStyle w:val="PageNumber"/>
      </w:rPr>
      <w:fldChar w:fldCharType="separate"/>
    </w:r>
    <w:r w:rsidR="00316A65">
      <w:rPr>
        <w:rStyle w:val="PageNumber"/>
        <w:noProof/>
      </w:rPr>
      <w:t>2</w:t>
    </w:r>
    <w:r>
      <w:rPr>
        <w:rStyle w:val="PageNumber"/>
      </w:rPr>
      <w:fldChar w:fldCharType="end"/>
    </w:r>
  </w:p>
  <w:p w:rsidR="00DE5DB5" w:rsidRDefault="00DE5DB5" w:rsidP="007243A3">
    <w:pPr>
      <w:tabs>
        <w:tab w:val="center" w:pos="4680"/>
        <w:tab w:val="right" w:pos="9360"/>
      </w:tabs>
      <w:rPr>
        <w:rFonts w:cs="Arial"/>
      </w:rPr>
    </w:pPr>
    <w:r w:rsidRPr="0076226A">
      <w:rPr>
        <w:rFonts w:cs="Arial"/>
      </w:rPr>
      <w:t>Issue Date</w:t>
    </w:r>
    <w:r w:rsidRPr="00FE6D29">
      <w:rPr>
        <w:rFonts w:cs="Arial"/>
      </w:rPr>
      <w:t xml:space="preserve">: </w:t>
    </w:r>
    <w:r>
      <w:rPr>
        <w:rFonts w:cs="Arial"/>
      </w:rPr>
      <w:t>12/29/11</w:t>
    </w:r>
    <w:r w:rsidRPr="0076226A">
      <w:rPr>
        <w:rFonts w:cs="Arial"/>
      </w:rPr>
      <w:tab/>
    </w:r>
    <w:r w:rsidRPr="0076226A">
      <w:rPr>
        <w:rFonts w:cs="Arial"/>
      </w:rPr>
      <w:tab/>
    </w:r>
    <w:proofErr w:type="spellStart"/>
    <w:r>
      <w:rPr>
        <w:rFonts w:cs="Arial"/>
      </w:rPr>
      <w:t>OpESS</w:t>
    </w:r>
    <w:proofErr w:type="spellEnd"/>
    <w:r>
      <w:rPr>
        <w:rFonts w:cs="Arial"/>
      </w:rPr>
      <w:t xml:space="preserve"> 2012/01</w:t>
    </w:r>
  </w:p>
  <w:p w:rsidR="00DE5DB5" w:rsidRPr="00A851C9" w:rsidRDefault="00DE5DB5" w:rsidP="00DB421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B5" w:rsidRPr="00637F6D" w:rsidRDefault="00DE5DB5" w:rsidP="00663CF0">
    <w:pPr>
      <w:pStyle w:val="Footer"/>
      <w:framePr w:wrap="around" w:vAnchor="text" w:hAnchor="margin" w:xAlign="center" w:y="1"/>
      <w:rPr>
        <w:rStyle w:val="PageNumber"/>
      </w:rPr>
    </w:pPr>
    <w:r w:rsidRPr="00637F6D">
      <w:rPr>
        <w:rStyle w:val="PageNumber"/>
      </w:rPr>
      <w:t>Att</w:t>
    </w:r>
    <w:r>
      <w:rPr>
        <w:rStyle w:val="PageNumber"/>
      </w:rPr>
      <w:t xml:space="preserve"> 1</w:t>
    </w:r>
    <w:r w:rsidRPr="00637F6D">
      <w:rPr>
        <w:rStyle w:val="PageNumber"/>
      </w:rPr>
      <w:t>-</w:t>
    </w:r>
    <w:r w:rsidR="008A6441" w:rsidRPr="00637F6D">
      <w:rPr>
        <w:rStyle w:val="PageNumber"/>
      </w:rPr>
      <w:fldChar w:fldCharType="begin"/>
    </w:r>
    <w:r w:rsidRPr="00637F6D">
      <w:rPr>
        <w:rStyle w:val="PageNumber"/>
      </w:rPr>
      <w:instrText xml:space="preserve">PAGE  </w:instrText>
    </w:r>
    <w:r w:rsidR="008A6441" w:rsidRPr="00637F6D">
      <w:rPr>
        <w:rStyle w:val="PageNumber"/>
      </w:rPr>
      <w:fldChar w:fldCharType="separate"/>
    </w:r>
    <w:r w:rsidR="000A787F">
      <w:rPr>
        <w:rStyle w:val="PageNumber"/>
        <w:noProof/>
      </w:rPr>
      <w:t>1</w:t>
    </w:r>
    <w:r w:rsidR="008A6441" w:rsidRPr="00637F6D">
      <w:rPr>
        <w:rStyle w:val="PageNumber"/>
      </w:rPr>
      <w:fldChar w:fldCharType="end"/>
    </w:r>
  </w:p>
  <w:p w:rsidR="00DE5DB5" w:rsidRPr="00A67D70" w:rsidRDefault="00DE5DB5" w:rsidP="000333A5">
    <w:pPr>
      <w:tabs>
        <w:tab w:val="center" w:pos="6480"/>
        <w:tab w:val="right" w:pos="12960"/>
      </w:tabs>
      <w:jc w:val="both"/>
      <w:rPr>
        <w:rFonts w:cs="Arial"/>
      </w:rPr>
    </w:pPr>
    <w:r w:rsidRPr="0076226A">
      <w:rPr>
        <w:rFonts w:cs="Arial"/>
      </w:rPr>
      <w:t xml:space="preserve">Issue Date: </w:t>
    </w:r>
    <w:r>
      <w:rPr>
        <w:rFonts w:cs="Arial"/>
      </w:rPr>
      <w:t>12/29/11</w:t>
    </w:r>
    <w:r>
      <w:rPr>
        <w:rFonts w:cs="Arial"/>
      </w:rPr>
      <w:tab/>
    </w:r>
    <w:r>
      <w:rPr>
        <w:rFonts w:cs="Arial"/>
      </w:rPr>
      <w:tab/>
    </w:r>
    <w:proofErr w:type="spellStart"/>
    <w:r>
      <w:rPr>
        <w:rFonts w:cs="Arial"/>
      </w:rPr>
      <w:t>OpESS</w:t>
    </w:r>
    <w:proofErr w:type="spellEnd"/>
    <w:r>
      <w:rPr>
        <w:rFonts w:cs="Arial"/>
      </w:rPr>
      <w:t xml:space="preserve"> 2012/01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DB5" w:rsidRDefault="00DE5DB5">
      <w:r>
        <w:separator/>
      </w:r>
    </w:p>
  </w:footnote>
  <w:footnote w:type="continuationSeparator" w:id="0">
    <w:p w:rsidR="00DE5DB5" w:rsidRDefault="00DE5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0"/>
    <w:name w:val="AutoList8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4053619"/>
    <w:multiLevelType w:val="hybridMultilevel"/>
    <w:tmpl w:val="E624A47C"/>
    <w:lvl w:ilvl="0" w:tplc="74A674F2">
      <w:start w:val="1"/>
      <w:numFmt w:val="lowerLetter"/>
      <w:lvlText w:val="%1."/>
      <w:lvlJc w:val="left"/>
      <w:pPr>
        <w:tabs>
          <w:tab w:val="num" w:pos="5764"/>
        </w:tabs>
        <w:ind w:left="5764" w:hanging="360"/>
      </w:pPr>
      <w:rPr>
        <w:rFonts w:hint="default"/>
      </w:rPr>
    </w:lvl>
    <w:lvl w:ilvl="1" w:tplc="04090019" w:tentative="1">
      <w:start w:val="1"/>
      <w:numFmt w:val="lowerLetter"/>
      <w:lvlText w:val="%2."/>
      <w:lvlJc w:val="left"/>
      <w:pPr>
        <w:tabs>
          <w:tab w:val="num" w:pos="6484"/>
        </w:tabs>
        <w:ind w:left="6484" w:hanging="360"/>
      </w:pPr>
    </w:lvl>
    <w:lvl w:ilvl="2" w:tplc="0409001B" w:tentative="1">
      <w:start w:val="1"/>
      <w:numFmt w:val="lowerRoman"/>
      <w:lvlText w:val="%3."/>
      <w:lvlJc w:val="right"/>
      <w:pPr>
        <w:tabs>
          <w:tab w:val="num" w:pos="7204"/>
        </w:tabs>
        <w:ind w:left="7204" w:hanging="180"/>
      </w:pPr>
    </w:lvl>
    <w:lvl w:ilvl="3" w:tplc="0409000F" w:tentative="1">
      <w:start w:val="1"/>
      <w:numFmt w:val="decimal"/>
      <w:lvlText w:val="%4."/>
      <w:lvlJc w:val="left"/>
      <w:pPr>
        <w:tabs>
          <w:tab w:val="num" w:pos="7924"/>
        </w:tabs>
        <w:ind w:left="7924" w:hanging="360"/>
      </w:pPr>
    </w:lvl>
    <w:lvl w:ilvl="4" w:tplc="04090019" w:tentative="1">
      <w:start w:val="1"/>
      <w:numFmt w:val="lowerLetter"/>
      <w:lvlText w:val="%5."/>
      <w:lvlJc w:val="left"/>
      <w:pPr>
        <w:tabs>
          <w:tab w:val="num" w:pos="8644"/>
        </w:tabs>
        <w:ind w:left="8644" w:hanging="360"/>
      </w:pPr>
    </w:lvl>
    <w:lvl w:ilvl="5" w:tplc="0409001B" w:tentative="1">
      <w:start w:val="1"/>
      <w:numFmt w:val="lowerRoman"/>
      <w:lvlText w:val="%6."/>
      <w:lvlJc w:val="right"/>
      <w:pPr>
        <w:tabs>
          <w:tab w:val="num" w:pos="9364"/>
        </w:tabs>
        <w:ind w:left="9364" w:hanging="180"/>
      </w:pPr>
    </w:lvl>
    <w:lvl w:ilvl="6" w:tplc="0409000F" w:tentative="1">
      <w:start w:val="1"/>
      <w:numFmt w:val="decimal"/>
      <w:lvlText w:val="%7."/>
      <w:lvlJc w:val="left"/>
      <w:pPr>
        <w:tabs>
          <w:tab w:val="num" w:pos="10084"/>
        </w:tabs>
        <w:ind w:left="10084" w:hanging="360"/>
      </w:pPr>
    </w:lvl>
    <w:lvl w:ilvl="7" w:tplc="04090019" w:tentative="1">
      <w:start w:val="1"/>
      <w:numFmt w:val="lowerLetter"/>
      <w:lvlText w:val="%8."/>
      <w:lvlJc w:val="left"/>
      <w:pPr>
        <w:tabs>
          <w:tab w:val="num" w:pos="10804"/>
        </w:tabs>
        <w:ind w:left="10804" w:hanging="360"/>
      </w:pPr>
    </w:lvl>
    <w:lvl w:ilvl="8" w:tplc="0409001B" w:tentative="1">
      <w:start w:val="1"/>
      <w:numFmt w:val="lowerRoman"/>
      <w:lvlText w:val="%9."/>
      <w:lvlJc w:val="right"/>
      <w:pPr>
        <w:tabs>
          <w:tab w:val="num" w:pos="11524"/>
        </w:tabs>
        <w:ind w:left="11524" w:hanging="180"/>
      </w:pPr>
    </w:lvl>
  </w:abstractNum>
  <w:abstractNum w:abstractNumId="2">
    <w:nsid w:val="23F9464C"/>
    <w:multiLevelType w:val="hybridMultilevel"/>
    <w:tmpl w:val="4712D62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302A64"/>
    <w:multiLevelType w:val="multilevel"/>
    <w:tmpl w:val="E624A47C"/>
    <w:lvl w:ilvl="0">
      <w:start w:val="1"/>
      <w:numFmt w:val="lowerLetter"/>
      <w:lvlText w:val="%1."/>
      <w:lvlJc w:val="left"/>
      <w:pPr>
        <w:tabs>
          <w:tab w:val="num" w:pos="994"/>
        </w:tabs>
        <w:ind w:left="994" w:hanging="360"/>
      </w:pPr>
      <w:rPr>
        <w:rFonts w:hint="default"/>
      </w:rPr>
    </w:lvl>
    <w:lvl w:ilvl="1">
      <w:start w:val="1"/>
      <w:numFmt w:val="lowerLetter"/>
      <w:lvlText w:val="%2."/>
      <w:lvlJc w:val="left"/>
      <w:pPr>
        <w:tabs>
          <w:tab w:val="num" w:pos="1714"/>
        </w:tabs>
        <w:ind w:left="1714" w:hanging="360"/>
      </w:pPr>
    </w:lvl>
    <w:lvl w:ilvl="2">
      <w:start w:val="1"/>
      <w:numFmt w:val="lowerRoman"/>
      <w:lvlText w:val="%3."/>
      <w:lvlJc w:val="right"/>
      <w:pPr>
        <w:tabs>
          <w:tab w:val="num" w:pos="2434"/>
        </w:tabs>
        <w:ind w:left="2434" w:hanging="180"/>
      </w:pPr>
    </w:lvl>
    <w:lvl w:ilvl="3">
      <w:start w:val="1"/>
      <w:numFmt w:val="decimal"/>
      <w:lvlText w:val="%4."/>
      <w:lvlJc w:val="left"/>
      <w:pPr>
        <w:tabs>
          <w:tab w:val="num" w:pos="3154"/>
        </w:tabs>
        <w:ind w:left="3154" w:hanging="360"/>
      </w:pPr>
    </w:lvl>
    <w:lvl w:ilvl="4">
      <w:start w:val="1"/>
      <w:numFmt w:val="lowerLetter"/>
      <w:lvlText w:val="%5."/>
      <w:lvlJc w:val="left"/>
      <w:pPr>
        <w:tabs>
          <w:tab w:val="num" w:pos="3874"/>
        </w:tabs>
        <w:ind w:left="3874" w:hanging="360"/>
      </w:pPr>
    </w:lvl>
    <w:lvl w:ilvl="5">
      <w:start w:val="1"/>
      <w:numFmt w:val="lowerRoman"/>
      <w:lvlText w:val="%6."/>
      <w:lvlJc w:val="right"/>
      <w:pPr>
        <w:tabs>
          <w:tab w:val="num" w:pos="4594"/>
        </w:tabs>
        <w:ind w:left="4594" w:hanging="180"/>
      </w:pPr>
    </w:lvl>
    <w:lvl w:ilvl="6">
      <w:start w:val="1"/>
      <w:numFmt w:val="decimal"/>
      <w:lvlText w:val="%7."/>
      <w:lvlJc w:val="left"/>
      <w:pPr>
        <w:tabs>
          <w:tab w:val="num" w:pos="5314"/>
        </w:tabs>
        <w:ind w:left="5314" w:hanging="360"/>
      </w:pPr>
    </w:lvl>
    <w:lvl w:ilvl="7">
      <w:start w:val="1"/>
      <w:numFmt w:val="lowerLetter"/>
      <w:lvlText w:val="%8."/>
      <w:lvlJc w:val="left"/>
      <w:pPr>
        <w:tabs>
          <w:tab w:val="num" w:pos="6034"/>
        </w:tabs>
        <w:ind w:left="6034" w:hanging="360"/>
      </w:pPr>
    </w:lvl>
    <w:lvl w:ilvl="8">
      <w:start w:val="1"/>
      <w:numFmt w:val="lowerRoman"/>
      <w:lvlText w:val="%9."/>
      <w:lvlJc w:val="right"/>
      <w:pPr>
        <w:tabs>
          <w:tab w:val="num" w:pos="6754"/>
        </w:tabs>
        <w:ind w:left="6754" w:hanging="180"/>
      </w:pPr>
    </w:lvl>
  </w:abstractNum>
  <w:abstractNum w:abstractNumId="4">
    <w:nsid w:val="3B0030A9"/>
    <w:multiLevelType w:val="hybridMultilevel"/>
    <w:tmpl w:val="FF1A2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2D6215"/>
    <w:multiLevelType w:val="hybridMultilevel"/>
    <w:tmpl w:val="3AAEB6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84F4870"/>
    <w:multiLevelType w:val="multilevel"/>
    <w:tmpl w:val="55AE89A0"/>
    <w:lvl w:ilvl="0">
      <w:start w:val="4"/>
      <w:numFmt w:val="decimalZero"/>
      <w:pStyle w:val="Level1"/>
      <w:lvlText w:val="%1"/>
      <w:lvlJc w:val="left"/>
      <w:pPr>
        <w:tabs>
          <w:tab w:val="num" w:pos="930"/>
        </w:tabs>
        <w:ind w:left="930" w:hanging="930"/>
      </w:pPr>
      <w:rPr>
        <w:rFonts w:hint="default"/>
      </w:rPr>
    </w:lvl>
    <w:lvl w:ilvl="1">
      <w:start w:val="2"/>
      <w:numFmt w:val="decimalZero"/>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EF97773"/>
    <w:multiLevelType w:val="hybridMultilevel"/>
    <w:tmpl w:val="B35688C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73399B"/>
    <w:multiLevelType w:val="hybridMultilevel"/>
    <w:tmpl w:val="41A234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1082EB1"/>
    <w:multiLevelType w:val="hybridMultilevel"/>
    <w:tmpl w:val="6EBA43E4"/>
    <w:lvl w:ilvl="0" w:tplc="22DCAE26">
      <w:start w:val="1"/>
      <w:numFmt w:val="lowerLetter"/>
      <w:lvlText w:val="%1."/>
      <w:lvlJc w:val="left"/>
      <w:pPr>
        <w:tabs>
          <w:tab w:val="num" w:pos="965"/>
        </w:tabs>
        <w:ind w:left="1166" w:hanging="536"/>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B64077A"/>
    <w:multiLevelType w:val="hybridMultilevel"/>
    <w:tmpl w:val="81E6F552"/>
    <w:lvl w:ilvl="0" w:tplc="04090019">
      <w:start w:val="1"/>
      <w:numFmt w:val="lowerLetter"/>
      <w:lvlText w:val="%1."/>
      <w:lvlJc w:val="left"/>
      <w:pPr>
        <w:tabs>
          <w:tab w:val="num" w:pos="1170"/>
        </w:tabs>
        <w:ind w:left="1170" w:hanging="360"/>
      </w:pPr>
      <w:rPr>
        <w:rFonts w:hint="default"/>
      </w:rPr>
    </w:lvl>
    <w:lvl w:ilvl="1" w:tplc="70A6F6AA">
      <w:start w:val="1"/>
      <w:numFmt w:val="decimal"/>
      <w:lvlText w:val="(%2)"/>
      <w:lvlJc w:val="left"/>
      <w:pPr>
        <w:tabs>
          <w:tab w:val="num" w:pos="2160"/>
        </w:tabs>
        <w:ind w:left="2160" w:hanging="63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1">
    <w:nsid w:val="7F3C74FB"/>
    <w:multiLevelType w:val="hybridMultilevel"/>
    <w:tmpl w:val="C116E862"/>
    <w:lvl w:ilvl="0" w:tplc="D62AB5F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6"/>
  </w:num>
  <w:num w:numId="3">
    <w:abstractNumId w:val="1"/>
  </w:num>
  <w:num w:numId="4">
    <w:abstractNumId w:val="3"/>
  </w:num>
  <w:num w:numId="5">
    <w:abstractNumId w:val="9"/>
  </w:num>
  <w:num w:numId="6">
    <w:abstractNumId w:val="7"/>
  </w:num>
  <w:num w:numId="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2"/>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stylePaneFormatFilter w:val="1F08"/>
  <w:defaultTabStop w:val="605"/>
  <w:characterSpacingControl w:val="doNotCompress"/>
  <w:footnotePr>
    <w:footnote w:id="-1"/>
    <w:footnote w:id="0"/>
  </w:footnotePr>
  <w:endnotePr>
    <w:endnote w:id="-1"/>
    <w:endnote w:id="0"/>
  </w:endnotePr>
  <w:compat/>
  <w:rsids>
    <w:rsidRoot w:val="004F1838"/>
    <w:rsid w:val="00003B21"/>
    <w:rsid w:val="00005BB4"/>
    <w:rsid w:val="00006755"/>
    <w:rsid w:val="00007C0B"/>
    <w:rsid w:val="000116A8"/>
    <w:rsid w:val="000118AC"/>
    <w:rsid w:val="0001461B"/>
    <w:rsid w:val="00016070"/>
    <w:rsid w:val="00016A75"/>
    <w:rsid w:val="00026BB4"/>
    <w:rsid w:val="000333A5"/>
    <w:rsid w:val="000347A9"/>
    <w:rsid w:val="00053202"/>
    <w:rsid w:val="00055212"/>
    <w:rsid w:val="00056BD3"/>
    <w:rsid w:val="00060EB0"/>
    <w:rsid w:val="000610D5"/>
    <w:rsid w:val="00064926"/>
    <w:rsid w:val="000775DE"/>
    <w:rsid w:val="00077786"/>
    <w:rsid w:val="000826F6"/>
    <w:rsid w:val="00083A67"/>
    <w:rsid w:val="00083E30"/>
    <w:rsid w:val="00085215"/>
    <w:rsid w:val="00090B8B"/>
    <w:rsid w:val="00093F2E"/>
    <w:rsid w:val="000967D0"/>
    <w:rsid w:val="000A0102"/>
    <w:rsid w:val="000A0998"/>
    <w:rsid w:val="000A1BAC"/>
    <w:rsid w:val="000A28F8"/>
    <w:rsid w:val="000A6946"/>
    <w:rsid w:val="000A6DC9"/>
    <w:rsid w:val="000A787F"/>
    <w:rsid w:val="000B01AC"/>
    <w:rsid w:val="000B1AC2"/>
    <w:rsid w:val="000B4EB0"/>
    <w:rsid w:val="000B734D"/>
    <w:rsid w:val="000C33B8"/>
    <w:rsid w:val="000C5F2E"/>
    <w:rsid w:val="000C62D5"/>
    <w:rsid w:val="000D2B4C"/>
    <w:rsid w:val="000D2C71"/>
    <w:rsid w:val="000D466C"/>
    <w:rsid w:val="000D7303"/>
    <w:rsid w:val="000E141A"/>
    <w:rsid w:val="000E2101"/>
    <w:rsid w:val="000E2CA6"/>
    <w:rsid w:val="000E2F46"/>
    <w:rsid w:val="000E5BFE"/>
    <w:rsid w:val="000E602D"/>
    <w:rsid w:val="00100DFA"/>
    <w:rsid w:val="00101BE3"/>
    <w:rsid w:val="00102807"/>
    <w:rsid w:val="00102AD9"/>
    <w:rsid w:val="00107F35"/>
    <w:rsid w:val="001111E3"/>
    <w:rsid w:val="00116180"/>
    <w:rsid w:val="00117B9A"/>
    <w:rsid w:val="00120F5F"/>
    <w:rsid w:val="00121EDD"/>
    <w:rsid w:val="0012289D"/>
    <w:rsid w:val="00122A1A"/>
    <w:rsid w:val="00123E6D"/>
    <w:rsid w:val="0012441B"/>
    <w:rsid w:val="001319C9"/>
    <w:rsid w:val="00134E87"/>
    <w:rsid w:val="001368B0"/>
    <w:rsid w:val="0015355A"/>
    <w:rsid w:val="001604EF"/>
    <w:rsid w:val="00161844"/>
    <w:rsid w:val="00162838"/>
    <w:rsid w:val="00171C8C"/>
    <w:rsid w:val="001736DE"/>
    <w:rsid w:val="00173E19"/>
    <w:rsid w:val="00175831"/>
    <w:rsid w:val="001807B8"/>
    <w:rsid w:val="001808BE"/>
    <w:rsid w:val="00180B44"/>
    <w:rsid w:val="001817DB"/>
    <w:rsid w:val="001841EF"/>
    <w:rsid w:val="001871B4"/>
    <w:rsid w:val="00193869"/>
    <w:rsid w:val="00193FD3"/>
    <w:rsid w:val="00195F28"/>
    <w:rsid w:val="00197997"/>
    <w:rsid w:val="001A123C"/>
    <w:rsid w:val="001A3A6C"/>
    <w:rsid w:val="001A3ED8"/>
    <w:rsid w:val="001B0789"/>
    <w:rsid w:val="001B5459"/>
    <w:rsid w:val="001B7186"/>
    <w:rsid w:val="001C0716"/>
    <w:rsid w:val="001C3620"/>
    <w:rsid w:val="001C52EB"/>
    <w:rsid w:val="001C5833"/>
    <w:rsid w:val="001D09F2"/>
    <w:rsid w:val="001D6B24"/>
    <w:rsid w:val="001E52B2"/>
    <w:rsid w:val="001E602D"/>
    <w:rsid w:val="001E7D23"/>
    <w:rsid w:val="001F0799"/>
    <w:rsid w:val="001F2D53"/>
    <w:rsid w:val="001F4988"/>
    <w:rsid w:val="00201F75"/>
    <w:rsid w:val="00202C4C"/>
    <w:rsid w:val="00203CA6"/>
    <w:rsid w:val="00205E34"/>
    <w:rsid w:val="00207FD2"/>
    <w:rsid w:val="00216E2B"/>
    <w:rsid w:val="00217367"/>
    <w:rsid w:val="00217DBF"/>
    <w:rsid w:val="00220D6F"/>
    <w:rsid w:val="00221613"/>
    <w:rsid w:val="00221A76"/>
    <w:rsid w:val="00221B4B"/>
    <w:rsid w:val="00222153"/>
    <w:rsid w:val="00223F31"/>
    <w:rsid w:val="00226548"/>
    <w:rsid w:val="002276F7"/>
    <w:rsid w:val="0022771B"/>
    <w:rsid w:val="0023304B"/>
    <w:rsid w:val="00237D98"/>
    <w:rsid w:val="00241CEE"/>
    <w:rsid w:val="00250932"/>
    <w:rsid w:val="00260D0C"/>
    <w:rsid w:val="002611C1"/>
    <w:rsid w:val="00262495"/>
    <w:rsid w:val="0026460E"/>
    <w:rsid w:val="00265148"/>
    <w:rsid w:val="00265B7A"/>
    <w:rsid w:val="00270DC0"/>
    <w:rsid w:val="00272808"/>
    <w:rsid w:val="00273DF8"/>
    <w:rsid w:val="00275A18"/>
    <w:rsid w:val="002802A0"/>
    <w:rsid w:val="00280C40"/>
    <w:rsid w:val="0028237B"/>
    <w:rsid w:val="00284761"/>
    <w:rsid w:val="0029107C"/>
    <w:rsid w:val="00294F43"/>
    <w:rsid w:val="002A0D55"/>
    <w:rsid w:val="002A5CB8"/>
    <w:rsid w:val="002A714D"/>
    <w:rsid w:val="002A7886"/>
    <w:rsid w:val="002A7A55"/>
    <w:rsid w:val="002B0C63"/>
    <w:rsid w:val="002B2D7D"/>
    <w:rsid w:val="002B3111"/>
    <w:rsid w:val="002B4ED9"/>
    <w:rsid w:val="002C1326"/>
    <w:rsid w:val="002C36ED"/>
    <w:rsid w:val="002C5E01"/>
    <w:rsid w:val="002C6AC4"/>
    <w:rsid w:val="002D380F"/>
    <w:rsid w:val="002D39E8"/>
    <w:rsid w:val="002D5B7C"/>
    <w:rsid w:val="002E13D3"/>
    <w:rsid w:val="002E37D5"/>
    <w:rsid w:val="002F283B"/>
    <w:rsid w:val="002F3CC8"/>
    <w:rsid w:val="002F473B"/>
    <w:rsid w:val="002F4874"/>
    <w:rsid w:val="002F4E72"/>
    <w:rsid w:val="002F4FBA"/>
    <w:rsid w:val="002F4FE7"/>
    <w:rsid w:val="002F5F44"/>
    <w:rsid w:val="00303420"/>
    <w:rsid w:val="0030498E"/>
    <w:rsid w:val="00307E9E"/>
    <w:rsid w:val="0031214B"/>
    <w:rsid w:val="00313838"/>
    <w:rsid w:val="00313925"/>
    <w:rsid w:val="00314241"/>
    <w:rsid w:val="003156DF"/>
    <w:rsid w:val="00316A65"/>
    <w:rsid w:val="00321DFD"/>
    <w:rsid w:val="0032208F"/>
    <w:rsid w:val="0032412A"/>
    <w:rsid w:val="00327050"/>
    <w:rsid w:val="00331502"/>
    <w:rsid w:val="003410C0"/>
    <w:rsid w:val="0034492F"/>
    <w:rsid w:val="0034696B"/>
    <w:rsid w:val="00354FE8"/>
    <w:rsid w:val="003550B3"/>
    <w:rsid w:val="0036025B"/>
    <w:rsid w:val="003633DA"/>
    <w:rsid w:val="00363DDD"/>
    <w:rsid w:val="00365451"/>
    <w:rsid w:val="00371EDE"/>
    <w:rsid w:val="00372C4D"/>
    <w:rsid w:val="003752C7"/>
    <w:rsid w:val="003757DB"/>
    <w:rsid w:val="003765B4"/>
    <w:rsid w:val="003800C8"/>
    <w:rsid w:val="00380CE2"/>
    <w:rsid w:val="00384E51"/>
    <w:rsid w:val="00395A5B"/>
    <w:rsid w:val="003A36A6"/>
    <w:rsid w:val="003A3B38"/>
    <w:rsid w:val="003A5C30"/>
    <w:rsid w:val="003A5E5A"/>
    <w:rsid w:val="003A6806"/>
    <w:rsid w:val="003B0E3D"/>
    <w:rsid w:val="003C00ED"/>
    <w:rsid w:val="003C1FAF"/>
    <w:rsid w:val="003C2079"/>
    <w:rsid w:val="003C40D6"/>
    <w:rsid w:val="003C6698"/>
    <w:rsid w:val="003D1A7C"/>
    <w:rsid w:val="003D38C2"/>
    <w:rsid w:val="003D4F96"/>
    <w:rsid w:val="003D786D"/>
    <w:rsid w:val="003E09BB"/>
    <w:rsid w:val="003E1321"/>
    <w:rsid w:val="003E1957"/>
    <w:rsid w:val="003E5C15"/>
    <w:rsid w:val="003F16DC"/>
    <w:rsid w:val="003F18F3"/>
    <w:rsid w:val="003F23EC"/>
    <w:rsid w:val="003F7FF3"/>
    <w:rsid w:val="004065E9"/>
    <w:rsid w:val="004068B0"/>
    <w:rsid w:val="0040699F"/>
    <w:rsid w:val="00407EEB"/>
    <w:rsid w:val="00411C26"/>
    <w:rsid w:val="0041291D"/>
    <w:rsid w:val="00414223"/>
    <w:rsid w:val="00414307"/>
    <w:rsid w:val="00414CC5"/>
    <w:rsid w:val="00415E89"/>
    <w:rsid w:val="00420374"/>
    <w:rsid w:val="00424B0E"/>
    <w:rsid w:val="004256A0"/>
    <w:rsid w:val="00425C78"/>
    <w:rsid w:val="00433FEF"/>
    <w:rsid w:val="00434327"/>
    <w:rsid w:val="00435230"/>
    <w:rsid w:val="004362BC"/>
    <w:rsid w:val="00436CE1"/>
    <w:rsid w:val="00441052"/>
    <w:rsid w:val="004423FA"/>
    <w:rsid w:val="00442D9E"/>
    <w:rsid w:val="004433F0"/>
    <w:rsid w:val="00444176"/>
    <w:rsid w:val="00456A78"/>
    <w:rsid w:val="00457EE1"/>
    <w:rsid w:val="00463F6B"/>
    <w:rsid w:val="00476E79"/>
    <w:rsid w:val="00480CC7"/>
    <w:rsid w:val="004831A1"/>
    <w:rsid w:val="004841ED"/>
    <w:rsid w:val="00494237"/>
    <w:rsid w:val="00494E81"/>
    <w:rsid w:val="00495B8C"/>
    <w:rsid w:val="004971F4"/>
    <w:rsid w:val="004A29D7"/>
    <w:rsid w:val="004A2BAF"/>
    <w:rsid w:val="004B0897"/>
    <w:rsid w:val="004B2959"/>
    <w:rsid w:val="004B42F4"/>
    <w:rsid w:val="004C0E79"/>
    <w:rsid w:val="004C289A"/>
    <w:rsid w:val="004C60D7"/>
    <w:rsid w:val="004C71B9"/>
    <w:rsid w:val="004D1FAE"/>
    <w:rsid w:val="004E062E"/>
    <w:rsid w:val="004E0F61"/>
    <w:rsid w:val="004E216F"/>
    <w:rsid w:val="004E3E1E"/>
    <w:rsid w:val="004E53DE"/>
    <w:rsid w:val="004E6C0A"/>
    <w:rsid w:val="004E7605"/>
    <w:rsid w:val="004F1838"/>
    <w:rsid w:val="004F4833"/>
    <w:rsid w:val="004F4FBA"/>
    <w:rsid w:val="00506EE0"/>
    <w:rsid w:val="0050791C"/>
    <w:rsid w:val="005103E7"/>
    <w:rsid w:val="005122BC"/>
    <w:rsid w:val="00514C6B"/>
    <w:rsid w:val="0052033F"/>
    <w:rsid w:val="00520920"/>
    <w:rsid w:val="0052181D"/>
    <w:rsid w:val="005218E5"/>
    <w:rsid w:val="005245D9"/>
    <w:rsid w:val="00527C32"/>
    <w:rsid w:val="00534C57"/>
    <w:rsid w:val="00535403"/>
    <w:rsid w:val="005410E2"/>
    <w:rsid w:val="005432C5"/>
    <w:rsid w:val="00543D49"/>
    <w:rsid w:val="005460DC"/>
    <w:rsid w:val="00553AEF"/>
    <w:rsid w:val="00561740"/>
    <w:rsid w:val="00566F3F"/>
    <w:rsid w:val="005813BC"/>
    <w:rsid w:val="00581964"/>
    <w:rsid w:val="0058458E"/>
    <w:rsid w:val="00584A7C"/>
    <w:rsid w:val="00586BD5"/>
    <w:rsid w:val="00587F47"/>
    <w:rsid w:val="00593923"/>
    <w:rsid w:val="00595AED"/>
    <w:rsid w:val="005968C3"/>
    <w:rsid w:val="005A07FF"/>
    <w:rsid w:val="005A3D38"/>
    <w:rsid w:val="005B013B"/>
    <w:rsid w:val="005B0C08"/>
    <w:rsid w:val="005B2238"/>
    <w:rsid w:val="005B2281"/>
    <w:rsid w:val="005B32B9"/>
    <w:rsid w:val="005B5783"/>
    <w:rsid w:val="005C1472"/>
    <w:rsid w:val="005C2C5B"/>
    <w:rsid w:val="005C5344"/>
    <w:rsid w:val="005C76F0"/>
    <w:rsid w:val="005D4CE8"/>
    <w:rsid w:val="005E380C"/>
    <w:rsid w:val="005E4B6D"/>
    <w:rsid w:val="005E5D1D"/>
    <w:rsid w:val="005E7D10"/>
    <w:rsid w:val="005F0404"/>
    <w:rsid w:val="005F2D5A"/>
    <w:rsid w:val="005F31ED"/>
    <w:rsid w:val="005F4927"/>
    <w:rsid w:val="005F6D5E"/>
    <w:rsid w:val="005F7D49"/>
    <w:rsid w:val="00601E7D"/>
    <w:rsid w:val="00602D6E"/>
    <w:rsid w:val="0060408C"/>
    <w:rsid w:val="006127AD"/>
    <w:rsid w:val="00614FA8"/>
    <w:rsid w:val="00634596"/>
    <w:rsid w:val="006345C4"/>
    <w:rsid w:val="00635901"/>
    <w:rsid w:val="00637F6D"/>
    <w:rsid w:val="00642D92"/>
    <w:rsid w:val="00646CF6"/>
    <w:rsid w:val="0064797E"/>
    <w:rsid w:val="006515E3"/>
    <w:rsid w:val="00653029"/>
    <w:rsid w:val="0065303E"/>
    <w:rsid w:val="00663CF0"/>
    <w:rsid w:val="006661AD"/>
    <w:rsid w:val="00670817"/>
    <w:rsid w:val="00671B02"/>
    <w:rsid w:val="00671C9B"/>
    <w:rsid w:val="00672F0E"/>
    <w:rsid w:val="00673383"/>
    <w:rsid w:val="00673D1A"/>
    <w:rsid w:val="006756A6"/>
    <w:rsid w:val="00677F24"/>
    <w:rsid w:val="00685511"/>
    <w:rsid w:val="00687253"/>
    <w:rsid w:val="00687F0F"/>
    <w:rsid w:val="0069229C"/>
    <w:rsid w:val="006968EE"/>
    <w:rsid w:val="006A350A"/>
    <w:rsid w:val="006B04DD"/>
    <w:rsid w:val="006B1FAE"/>
    <w:rsid w:val="006B46C1"/>
    <w:rsid w:val="006C1CEE"/>
    <w:rsid w:val="006C61AA"/>
    <w:rsid w:val="006C638B"/>
    <w:rsid w:val="006C638C"/>
    <w:rsid w:val="006C6E7C"/>
    <w:rsid w:val="006C7B2F"/>
    <w:rsid w:val="006C7FC0"/>
    <w:rsid w:val="006D192E"/>
    <w:rsid w:val="006D2640"/>
    <w:rsid w:val="006D6E0F"/>
    <w:rsid w:val="006D7453"/>
    <w:rsid w:val="006E04A1"/>
    <w:rsid w:val="006E08F0"/>
    <w:rsid w:val="006E38D9"/>
    <w:rsid w:val="006E5350"/>
    <w:rsid w:val="006F0441"/>
    <w:rsid w:val="006F1D89"/>
    <w:rsid w:val="006F7CB0"/>
    <w:rsid w:val="00700EC3"/>
    <w:rsid w:val="007013EF"/>
    <w:rsid w:val="0070198F"/>
    <w:rsid w:val="00702DF6"/>
    <w:rsid w:val="00702E97"/>
    <w:rsid w:val="00705AFB"/>
    <w:rsid w:val="0070723B"/>
    <w:rsid w:val="00713645"/>
    <w:rsid w:val="00714851"/>
    <w:rsid w:val="00715803"/>
    <w:rsid w:val="0071674E"/>
    <w:rsid w:val="00716A1F"/>
    <w:rsid w:val="00722A5B"/>
    <w:rsid w:val="007231E4"/>
    <w:rsid w:val="007243A3"/>
    <w:rsid w:val="00725D5D"/>
    <w:rsid w:val="00727EC2"/>
    <w:rsid w:val="0073234D"/>
    <w:rsid w:val="00733CD5"/>
    <w:rsid w:val="007372BC"/>
    <w:rsid w:val="007377F7"/>
    <w:rsid w:val="00741A2F"/>
    <w:rsid w:val="007468E4"/>
    <w:rsid w:val="00750D83"/>
    <w:rsid w:val="007561D3"/>
    <w:rsid w:val="00757143"/>
    <w:rsid w:val="00763BA6"/>
    <w:rsid w:val="00766A72"/>
    <w:rsid w:val="0078097C"/>
    <w:rsid w:val="007824D6"/>
    <w:rsid w:val="007828F1"/>
    <w:rsid w:val="00783A3B"/>
    <w:rsid w:val="00785CD6"/>
    <w:rsid w:val="00786A56"/>
    <w:rsid w:val="00786C19"/>
    <w:rsid w:val="007912E7"/>
    <w:rsid w:val="00792F3B"/>
    <w:rsid w:val="0079433C"/>
    <w:rsid w:val="00796869"/>
    <w:rsid w:val="007A48F7"/>
    <w:rsid w:val="007A672A"/>
    <w:rsid w:val="007B2573"/>
    <w:rsid w:val="007B55D9"/>
    <w:rsid w:val="007C3DCD"/>
    <w:rsid w:val="007C4317"/>
    <w:rsid w:val="007C461C"/>
    <w:rsid w:val="007C66A0"/>
    <w:rsid w:val="007D0191"/>
    <w:rsid w:val="007D4940"/>
    <w:rsid w:val="007D638C"/>
    <w:rsid w:val="007E0894"/>
    <w:rsid w:val="007E3169"/>
    <w:rsid w:val="007E3AAB"/>
    <w:rsid w:val="007E5C4E"/>
    <w:rsid w:val="007E69B0"/>
    <w:rsid w:val="007F1074"/>
    <w:rsid w:val="007F14A2"/>
    <w:rsid w:val="007F3A2E"/>
    <w:rsid w:val="0080246A"/>
    <w:rsid w:val="00803DE7"/>
    <w:rsid w:val="0080444C"/>
    <w:rsid w:val="00807D75"/>
    <w:rsid w:val="0082109C"/>
    <w:rsid w:val="00821530"/>
    <w:rsid w:val="00821BB6"/>
    <w:rsid w:val="0082248E"/>
    <w:rsid w:val="00822D30"/>
    <w:rsid w:val="0083554A"/>
    <w:rsid w:val="00835608"/>
    <w:rsid w:val="008366BA"/>
    <w:rsid w:val="00837C14"/>
    <w:rsid w:val="00840ED5"/>
    <w:rsid w:val="00841A33"/>
    <w:rsid w:val="00842116"/>
    <w:rsid w:val="0084216D"/>
    <w:rsid w:val="008423B3"/>
    <w:rsid w:val="00844A8A"/>
    <w:rsid w:val="008452D7"/>
    <w:rsid w:val="00845975"/>
    <w:rsid w:val="008521D9"/>
    <w:rsid w:val="00855CD6"/>
    <w:rsid w:val="008568BA"/>
    <w:rsid w:val="00861B48"/>
    <w:rsid w:val="00865153"/>
    <w:rsid w:val="0087283C"/>
    <w:rsid w:val="008835DD"/>
    <w:rsid w:val="008850DE"/>
    <w:rsid w:val="00897A22"/>
    <w:rsid w:val="008A09B7"/>
    <w:rsid w:val="008A16C9"/>
    <w:rsid w:val="008A46D6"/>
    <w:rsid w:val="008A6441"/>
    <w:rsid w:val="008A6A29"/>
    <w:rsid w:val="008B112C"/>
    <w:rsid w:val="008B1B6B"/>
    <w:rsid w:val="008B3C07"/>
    <w:rsid w:val="008B776F"/>
    <w:rsid w:val="008C115E"/>
    <w:rsid w:val="008D13D3"/>
    <w:rsid w:val="008D167C"/>
    <w:rsid w:val="008D2191"/>
    <w:rsid w:val="008D670D"/>
    <w:rsid w:val="008D75AD"/>
    <w:rsid w:val="008E0421"/>
    <w:rsid w:val="008E056F"/>
    <w:rsid w:val="008E3A3F"/>
    <w:rsid w:val="008E3B66"/>
    <w:rsid w:val="008F44DB"/>
    <w:rsid w:val="00901272"/>
    <w:rsid w:val="00902548"/>
    <w:rsid w:val="0090398C"/>
    <w:rsid w:val="00904817"/>
    <w:rsid w:val="00912137"/>
    <w:rsid w:val="0091583F"/>
    <w:rsid w:val="00922A24"/>
    <w:rsid w:val="009276B6"/>
    <w:rsid w:val="00930055"/>
    <w:rsid w:val="00933DE5"/>
    <w:rsid w:val="0093478A"/>
    <w:rsid w:val="0093495F"/>
    <w:rsid w:val="0093748F"/>
    <w:rsid w:val="009376F2"/>
    <w:rsid w:val="0093771C"/>
    <w:rsid w:val="009411C7"/>
    <w:rsid w:val="00947FB4"/>
    <w:rsid w:val="00950727"/>
    <w:rsid w:val="0095183B"/>
    <w:rsid w:val="00954615"/>
    <w:rsid w:val="009612FA"/>
    <w:rsid w:val="00961FB7"/>
    <w:rsid w:val="00962DD9"/>
    <w:rsid w:val="0096589F"/>
    <w:rsid w:val="00967278"/>
    <w:rsid w:val="00967C35"/>
    <w:rsid w:val="00967F85"/>
    <w:rsid w:val="0097281B"/>
    <w:rsid w:val="00975765"/>
    <w:rsid w:val="00976AF8"/>
    <w:rsid w:val="00990CEA"/>
    <w:rsid w:val="00991F6A"/>
    <w:rsid w:val="00992682"/>
    <w:rsid w:val="0099509F"/>
    <w:rsid w:val="00995E55"/>
    <w:rsid w:val="009A3A78"/>
    <w:rsid w:val="009A6608"/>
    <w:rsid w:val="009A67BF"/>
    <w:rsid w:val="009B113E"/>
    <w:rsid w:val="009B1BC2"/>
    <w:rsid w:val="009B484C"/>
    <w:rsid w:val="009B4C7B"/>
    <w:rsid w:val="009B537E"/>
    <w:rsid w:val="009C26CA"/>
    <w:rsid w:val="009C380C"/>
    <w:rsid w:val="009C4603"/>
    <w:rsid w:val="009D07AB"/>
    <w:rsid w:val="009D243A"/>
    <w:rsid w:val="009D36E6"/>
    <w:rsid w:val="009D7582"/>
    <w:rsid w:val="009E0273"/>
    <w:rsid w:val="009E39C5"/>
    <w:rsid w:val="009F1FE9"/>
    <w:rsid w:val="009F2243"/>
    <w:rsid w:val="009F27C8"/>
    <w:rsid w:val="009F671F"/>
    <w:rsid w:val="009F7A83"/>
    <w:rsid w:val="00A013C6"/>
    <w:rsid w:val="00A01789"/>
    <w:rsid w:val="00A03F98"/>
    <w:rsid w:val="00A07E47"/>
    <w:rsid w:val="00A12B0A"/>
    <w:rsid w:val="00A168B8"/>
    <w:rsid w:val="00A25CCB"/>
    <w:rsid w:val="00A25E41"/>
    <w:rsid w:val="00A409DA"/>
    <w:rsid w:val="00A44933"/>
    <w:rsid w:val="00A52841"/>
    <w:rsid w:val="00A53E93"/>
    <w:rsid w:val="00A541F1"/>
    <w:rsid w:val="00A57CEA"/>
    <w:rsid w:val="00A57EA8"/>
    <w:rsid w:val="00A62573"/>
    <w:rsid w:val="00A62A37"/>
    <w:rsid w:val="00A64994"/>
    <w:rsid w:val="00A656E3"/>
    <w:rsid w:val="00A67195"/>
    <w:rsid w:val="00A67D70"/>
    <w:rsid w:val="00A7055F"/>
    <w:rsid w:val="00A70881"/>
    <w:rsid w:val="00A72842"/>
    <w:rsid w:val="00A7359E"/>
    <w:rsid w:val="00A81D91"/>
    <w:rsid w:val="00A851C9"/>
    <w:rsid w:val="00A8790C"/>
    <w:rsid w:val="00A92816"/>
    <w:rsid w:val="00A96715"/>
    <w:rsid w:val="00A96751"/>
    <w:rsid w:val="00A96BA1"/>
    <w:rsid w:val="00A9700D"/>
    <w:rsid w:val="00AA5C7C"/>
    <w:rsid w:val="00AA6B66"/>
    <w:rsid w:val="00AA73A3"/>
    <w:rsid w:val="00AB0057"/>
    <w:rsid w:val="00AB0EA1"/>
    <w:rsid w:val="00AB5B37"/>
    <w:rsid w:val="00AB77B7"/>
    <w:rsid w:val="00AC01D2"/>
    <w:rsid w:val="00AC04ED"/>
    <w:rsid w:val="00AC0BC8"/>
    <w:rsid w:val="00AC12FD"/>
    <w:rsid w:val="00AC34BD"/>
    <w:rsid w:val="00AC4188"/>
    <w:rsid w:val="00AC747B"/>
    <w:rsid w:val="00AD30C4"/>
    <w:rsid w:val="00AD3C44"/>
    <w:rsid w:val="00AD5F19"/>
    <w:rsid w:val="00AE1D22"/>
    <w:rsid w:val="00AE620E"/>
    <w:rsid w:val="00AE73DB"/>
    <w:rsid w:val="00B05630"/>
    <w:rsid w:val="00B066F4"/>
    <w:rsid w:val="00B06B1B"/>
    <w:rsid w:val="00B11E25"/>
    <w:rsid w:val="00B123C0"/>
    <w:rsid w:val="00B123F5"/>
    <w:rsid w:val="00B12DEB"/>
    <w:rsid w:val="00B22C21"/>
    <w:rsid w:val="00B257DC"/>
    <w:rsid w:val="00B25E36"/>
    <w:rsid w:val="00B324B6"/>
    <w:rsid w:val="00B342AD"/>
    <w:rsid w:val="00B371F4"/>
    <w:rsid w:val="00B40ED0"/>
    <w:rsid w:val="00B46678"/>
    <w:rsid w:val="00B47326"/>
    <w:rsid w:val="00B477CE"/>
    <w:rsid w:val="00B479A1"/>
    <w:rsid w:val="00B50364"/>
    <w:rsid w:val="00B5056F"/>
    <w:rsid w:val="00B52817"/>
    <w:rsid w:val="00B531D9"/>
    <w:rsid w:val="00B570D9"/>
    <w:rsid w:val="00B575E7"/>
    <w:rsid w:val="00B610ED"/>
    <w:rsid w:val="00B61DCC"/>
    <w:rsid w:val="00B639F4"/>
    <w:rsid w:val="00B6452B"/>
    <w:rsid w:val="00B67EBC"/>
    <w:rsid w:val="00B72AE1"/>
    <w:rsid w:val="00B730B2"/>
    <w:rsid w:val="00B74434"/>
    <w:rsid w:val="00B75583"/>
    <w:rsid w:val="00B80C01"/>
    <w:rsid w:val="00B91C8E"/>
    <w:rsid w:val="00B9303A"/>
    <w:rsid w:val="00B93BB6"/>
    <w:rsid w:val="00B93F78"/>
    <w:rsid w:val="00B95018"/>
    <w:rsid w:val="00B976E1"/>
    <w:rsid w:val="00BA3569"/>
    <w:rsid w:val="00BA5855"/>
    <w:rsid w:val="00BA5BAE"/>
    <w:rsid w:val="00BB2724"/>
    <w:rsid w:val="00BC1819"/>
    <w:rsid w:val="00BC7797"/>
    <w:rsid w:val="00BD1E75"/>
    <w:rsid w:val="00BD362B"/>
    <w:rsid w:val="00BE0610"/>
    <w:rsid w:val="00BE43A2"/>
    <w:rsid w:val="00BE5689"/>
    <w:rsid w:val="00BE68E4"/>
    <w:rsid w:val="00BE7097"/>
    <w:rsid w:val="00BE7874"/>
    <w:rsid w:val="00BF1AA9"/>
    <w:rsid w:val="00BF330C"/>
    <w:rsid w:val="00C011D9"/>
    <w:rsid w:val="00C05B70"/>
    <w:rsid w:val="00C1054F"/>
    <w:rsid w:val="00C12E3A"/>
    <w:rsid w:val="00C1453F"/>
    <w:rsid w:val="00C14C76"/>
    <w:rsid w:val="00C1650C"/>
    <w:rsid w:val="00C310AF"/>
    <w:rsid w:val="00C34666"/>
    <w:rsid w:val="00C34B36"/>
    <w:rsid w:val="00C35113"/>
    <w:rsid w:val="00C36988"/>
    <w:rsid w:val="00C445AE"/>
    <w:rsid w:val="00C465BB"/>
    <w:rsid w:val="00C47B86"/>
    <w:rsid w:val="00C47B87"/>
    <w:rsid w:val="00C5094E"/>
    <w:rsid w:val="00C56219"/>
    <w:rsid w:val="00C57C17"/>
    <w:rsid w:val="00C57DB3"/>
    <w:rsid w:val="00C7049C"/>
    <w:rsid w:val="00C706FA"/>
    <w:rsid w:val="00C7077E"/>
    <w:rsid w:val="00C70C82"/>
    <w:rsid w:val="00C72FC0"/>
    <w:rsid w:val="00C74E37"/>
    <w:rsid w:val="00C76952"/>
    <w:rsid w:val="00C76ADD"/>
    <w:rsid w:val="00C84F5E"/>
    <w:rsid w:val="00C86AA0"/>
    <w:rsid w:val="00C92D30"/>
    <w:rsid w:val="00C934AE"/>
    <w:rsid w:val="00C95D26"/>
    <w:rsid w:val="00C9723B"/>
    <w:rsid w:val="00CA17A6"/>
    <w:rsid w:val="00CA22F4"/>
    <w:rsid w:val="00CB079B"/>
    <w:rsid w:val="00CB1C03"/>
    <w:rsid w:val="00CB2929"/>
    <w:rsid w:val="00CB34A6"/>
    <w:rsid w:val="00CB402F"/>
    <w:rsid w:val="00CD229A"/>
    <w:rsid w:val="00CD2F1E"/>
    <w:rsid w:val="00CD460F"/>
    <w:rsid w:val="00CD70BB"/>
    <w:rsid w:val="00CD789F"/>
    <w:rsid w:val="00CE04FA"/>
    <w:rsid w:val="00CE0E2E"/>
    <w:rsid w:val="00CE261B"/>
    <w:rsid w:val="00CE2933"/>
    <w:rsid w:val="00CE3F84"/>
    <w:rsid w:val="00CE470F"/>
    <w:rsid w:val="00CE481E"/>
    <w:rsid w:val="00CF0778"/>
    <w:rsid w:val="00CF2056"/>
    <w:rsid w:val="00CF2656"/>
    <w:rsid w:val="00CF3963"/>
    <w:rsid w:val="00CF558E"/>
    <w:rsid w:val="00CF6B1C"/>
    <w:rsid w:val="00D020BE"/>
    <w:rsid w:val="00D035A4"/>
    <w:rsid w:val="00D07D0C"/>
    <w:rsid w:val="00D10465"/>
    <w:rsid w:val="00D10AEF"/>
    <w:rsid w:val="00D1112F"/>
    <w:rsid w:val="00D22CA0"/>
    <w:rsid w:val="00D2326B"/>
    <w:rsid w:val="00D25BD6"/>
    <w:rsid w:val="00D27F4C"/>
    <w:rsid w:val="00D306AF"/>
    <w:rsid w:val="00D3250A"/>
    <w:rsid w:val="00D33339"/>
    <w:rsid w:val="00D3396B"/>
    <w:rsid w:val="00D33AEC"/>
    <w:rsid w:val="00D34A8F"/>
    <w:rsid w:val="00D34C69"/>
    <w:rsid w:val="00D35000"/>
    <w:rsid w:val="00D40C04"/>
    <w:rsid w:val="00D44835"/>
    <w:rsid w:val="00D55970"/>
    <w:rsid w:val="00D55D8D"/>
    <w:rsid w:val="00D862FF"/>
    <w:rsid w:val="00D86751"/>
    <w:rsid w:val="00D874DD"/>
    <w:rsid w:val="00D90699"/>
    <w:rsid w:val="00D90F56"/>
    <w:rsid w:val="00D97D5A"/>
    <w:rsid w:val="00DA4587"/>
    <w:rsid w:val="00DA6383"/>
    <w:rsid w:val="00DB1C08"/>
    <w:rsid w:val="00DB22CB"/>
    <w:rsid w:val="00DB234D"/>
    <w:rsid w:val="00DB4218"/>
    <w:rsid w:val="00DB7F5C"/>
    <w:rsid w:val="00DC066C"/>
    <w:rsid w:val="00DC22F1"/>
    <w:rsid w:val="00DD0342"/>
    <w:rsid w:val="00DD2A91"/>
    <w:rsid w:val="00DD5F6A"/>
    <w:rsid w:val="00DE0E23"/>
    <w:rsid w:val="00DE0E77"/>
    <w:rsid w:val="00DE1C4F"/>
    <w:rsid w:val="00DE2622"/>
    <w:rsid w:val="00DE2C37"/>
    <w:rsid w:val="00DE393A"/>
    <w:rsid w:val="00DE56A3"/>
    <w:rsid w:val="00DE5DB5"/>
    <w:rsid w:val="00DF0C45"/>
    <w:rsid w:val="00DF2A38"/>
    <w:rsid w:val="00DF3F7F"/>
    <w:rsid w:val="00DF4A7F"/>
    <w:rsid w:val="00DF660D"/>
    <w:rsid w:val="00DF6E7B"/>
    <w:rsid w:val="00E004FC"/>
    <w:rsid w:val="00E01FF7"/>
    <w:rsid w:val="00E05CA9"/>
    <w:rsid w:val="00E067BF"/>
    <w:rsid w:val="00E06954"/>
    <w:rsid w:val="00E07AC2"/>
    <w:rsid w:val="00E102DD"/>
    <w:rsid w:val="00E10331"/>
    <w:rsid w:val="00E10D03"/>
    <w:rsid w:val="00E13711"/>
    <w:rsid w:val="00E22D5E"/>
    <w:rsid w:val="00E248F3"/>
    <w:rsid w:val="00E24B4B"/>
    <w:rsid w:val="00E2567A"/>
    <w:rsid w:val="00E26831"/>
    <w:rsid w:val="00E26D2C"/>
    <w:rsid w:val="00E27DF7"/>
    <w:rsid w:val="00E30461"/>
    <w:rsid w:val="00E3200F"/>
    <w:rsid w:val="00E33838"/>
    <w:rsid w:val="00E33D09"/>
    <w:rsid w:val="00E418D4"/>
    <w:rsid w:val="00E51846"/>
    <w:rsid w:val="00E54DAE"/>
    <w:rsid w:val="00E628DD"/>
    <w:rsid w:val="00E64727"/>
    <w:rsid w:val="00E6685D"/>
    <w:rsid w:val="00E67B26"/>
    <w:rsid w:val="00E70E7A"/>
    <w:rsid w:val="00E80234"/>
    <w:rsid w:val="00E811A0"/>
    <w:rsid w:val="00E854BB"/>
    <w:rsid w:val="00E86734"/>
    <w:rsid w:val="00E943CC"/>
    <w:rsid w:val="00E94E71"/>
    <w:rsid w:val="00E94F44"/>
    <w:rsid w:val="00EA2FBD"/>
    <w:rsid w:val="00EA3A0D"/>
    <w:rsid w:val="00EA468B"/>
    <w:rsid w:val="00EA6FD2"/>
    <w:rsid w:val="00EB55AD"/>
    <w:rsid w:val="00EB5762"/>
    <w:rsid w:val="00EB61CC"/>
    <w:rsid w:val="00EB6F48"/>
    <w:rsid w:val="00EB7769"/>
    <w:rsid w:val="00EC10C5"/>
    <w:rsid w:val="00EC54C1"/>
    <w:rsid w:val="00EC57BA"/>
    <w:rsid w:val="00EC69C7"/>
    <w:rsid w:val="00ED31A4"/>
    <w:rsid w:val="00EE0AC6"/>
    <w:rsid w:val="00EE6C78"/>
    <w:rsid w:val="00EF0CD7"/>
    <w:rsid w:val="00EF1242"/>
    <w:rsid w:val="00EF5E2C"/>
    <w:rsid w:val="00EF6060"/>
    <w:rsid w:val="00EF796D"/>
    <w:rsid w:val="00F014E5"/>
    <w:rsid w:val="00F07986"/>
    <w:rsid w:val="00F07DD4"/>
    <w:rsid w:val="00F14D26"/>
    <w:rsid w:val="00F16CFC"/>
    <w:rsid w:val="00F2069C"/>
    <w:rsid w:val="00F26522"/>
    <w:rsid w:val="00F31123"/>
    <w:rsid w:val="00F316C3"/>
    <w:rsid w:val="00F33957"/>
    <w:rsid w:val="00F355B9"/>
    <w:rsid w:val="00F36A21"/>
    <w:rsid w:val="00F465CF"/>
    <w:rsid w:val="00F527BB"/>
    <w:rsid w:val="00F5308D"/>
    <w:rsid w:val="00F54734"/>
    <w:rsid w:val="00F57355"/>
    <w:rsid w:val="00F6031D"/>
    <w:rsid w:val="00F617AD"/>
    <w:rsid w:val="00F63381"/>
    <w:rsid w:val="00F65D73"/>
    <w:rsid w:val="00F71811"/>
    <w:rsid w:val="00F71D7A"/>
    <w:rsid w:val="00F723E5"/>
    <w:rsid w:val="00F81227"/>
    <w:rsid w:val="00F85F41"/>
    <w:rsid w:val="00F8799E"/>
    <w:rsid w:val="00F879EF"/>
    <w:rsid w:val="00F90A8D"/>
    <w:rsid w:val="00F938A7"/>
    <w:rsid w:val="00F9501F"/>
    <w:rsid w:val="00FA2D7F"/>
    <w:rsid w:val="00FA5177"/>
    <w:rsid w:val="00FA6080"/>
    <w:rsid w:val="00FA67C0"/>
    <w:rsid w:val="00FA6F4F"/>
    <w:rsid w:val="00FA716E"/>
    <w:rsid w:val="00FB03CD"/>
    <w:rsid w:val="00FB38B9"/>
    <w:rsid w:val="00FC34A2"/>
    <w:rsid w:val="00FC35B7"/>
    <w:rsid w:val="00FC7FED"/>
    <w:rsid w:val="00FD3DB4"/>
    <w:rsid w:val="00FD4CCA"/>
    <w:rsid w:val="00FD50DA"/>
    <w:rsid w:val="00FE12EC"/>
    <w:rsid w:val="00FE6D29"/>
    <w:rsid w:val="00FE7164"/>
    <w:rsid w:val="00FF4099"/>
    <w:rsid w:val="00FF4260"/>
    <w:rsid w:val="00FF42A7"/>
    <w:rsid w:val="00FF6355"/>
    <w:rsid w:val="00FF6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89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1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33D09"/>
    <w:rPr>
      <w:color w:val="0000FF"/>
      <w:u w:val="single"/>
    </w:rPr>
  </w:style>
  <w:style w:type="paragraph" w:styleId="Header">
    <w:name w:val="header"/>
    <w:basedOn w:val="Normal"/>
    <w:rsid w:val="003E1321"/>
    <w:pPr>
      <w:tabs>
        <w:tab w:val="center" w:pos="4320"/>
        <w:tab w:val="right" w:pos="8640"/>
      </w:tabs>
    </w:pPr>
  </w:style>
  <w:style w:type="paragraph" w:styleId="Footer">
    <w:name w:val="footer"/>
    <w:basedOn w:val="Normal"/>
    <w:rsid w:val="003E1321"/>
    <w:pPr>
      <w:tabs>
        <w:tab w:val="center" w:pos="4320"/>
        <w:tab w:val="right" w:pos="8640"/>
      </w:tabs>
    </w:pPr>
  </w:style>
  <w:style w:type="character" w:styleId="CommentReference">
    <w:name w:val="annotation reference"/>
    <w:basedOn w:val="DefaultParagraphFont"/>
    <w:semiHidden/>
    <w:rsid w:val="00B324B6"/>
    <w:rPr>
      <w:sz w:val="16"/>
      <w:szCs w:val="16"/>
    </w:rPr>
  </w:style>
  <w:style w:type="paragraph" w:styleId="CommentText">
    <w:name w:val="annotation text"/>
    <w:basedOn w:val="Normal"/>
    <w:semiHidden/>
    <w:rsid w:val="00B324B6"/>
    <w:rPr>
      <w:sz w:val="20"/>
      <w:szCs w:val="20"/>
    </w:rPr>
  </w:style>
  <w:style w:type="paragraph" w:styleId="CommentSubject">
    <w:name w:val="annotation subject"/>
    <w:basedOn w:val="CommentText"/>
    <w:next w:val="CommentText"/>
    <w:semiHidden/>
    <w:rsid w:val="00B324B6"/>
    <w:rPr>
      <w:b/>
      <w:bCs/>
    </w:rPr>
  </w:style>
  <w:style w:type="paragraph" w:styleId="BalloonText">
    <w:name w:val="Balloon Text"/>
    <w:basedOn w:val="Normal"/>
    <w:semiHidden/>
    <w:rsid w:val="00B324B6"/>
    <w:rPr>
      <w:rFonts w:ascii="Tahoma" w:hAnsi="Tahoma" w:cs="Tahoma"/>
      <w:sz w:val="16"/>
      <w:szCs w:val="16"/>
    </w:rPr>
  </w:style>
  <w:style w:type="character" w:styleId="FollowedHyperlink">
    <w:name w:val="FollowedHyperlink"/>
    <w:basedOn w:val="DefaultParagraphFont"/>
    <w:rsid w:val="004423FA"/>
    <w:rPr>
      <w:color w:val="800080"/>
      <w:u w:val="single"/>
    </w:rPr>
  </w:style>
  <w:style w:type="character" w:styleId="PageNumber">
    <w:name w:val="page number"/>
    <w:basedOn w:val="DefaultParagraphFont"/>
    <w:rsid w:val="00AC0BC8"/>
  </w:style>
  <w:style w:type="paragraph" w:customStyle="1" w:styleId="Default">
    <w:name w:val="Default"/>
    <w:rsid w:val="00FA67C0"/>
    <w:pPr>
      <w:autoSpaceDE w:val="0"/>
      <w:autoSpaceDN w:val="0"/>
      <w:adjustRightInd w:val="0"/>
    </w:pPr>
    <w:rPr>
      <w:rFonts w:ascii="Arial" w:eastAsiaTheme="minorHAnsi" w:hAnsi="Arial" w:cs="Arial"/>
      <w:color w:val="000000"/>
      <w:sz w:val="24"/>
      <w:szCs w:val="24"/>
    </w:rPr>
  </w:style>
  <w:style w:type="paragraph" w:customStyle="1" w:styleId="Style2">
    <w:name w:val="Style2"/>
    <w:basedOn w:val="Normal"/>
    <w:autoRedefine/>
    <w:rsid w:val="008568BA"/>
    <w:pPr>
      <w:jc w:val="center"/>
    </w:pPr>
    <w:rPr>
      <w:szCs w:val="22"/>
    </w:rPr>
  </w:style>
  <w:style w:type="table" w:styleId="TableElegant">
    <w:name w:val="Table Elegant"/>
    <w:basedOn w:val="TableNormal"/>
    <w:rsid w:val="002F4874"/>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otnoteText">
    <w:name w:val="footnote text"/>
    <w:basedOn w:val="Normal"/>
    <w:semiHidden/>
    <w:rsid w:val="00A67195"/>
    <w:rPr>
      <w:sz w:val="20"/>
      <w:szCs w:val="20"/>
    </w:rPr>
  </w:style>
  <w:style w:type="character" w:styleId="FootnoteReference">
    <w:name w:val="footnote reference"/>
    <w:basedOn w:val="DefaultParagraphFont"/>
    <w:semiHidden/>
    <w:rsid w:val="00A67195"/>
    <w:rPr>
      <w:vertAlign w:val="superscript"/>
    </w:rPr>
  </w:style>
  <w:style w:type="paragraph" w:customStyle="1" w:styleId="Level1">
    <w:name w:val="Level 1"/>
    <w:basedOn w:val="Normal"/>
    <w:rsid w:val="007A672A"/>
    <w:pPr>
      <w:widowControl w:val="0"/>
      <w:numPr>
        <w:numId w:val="2"/>
      </w:numPr>
      <w:autoSpaceDE w:val="0"/>
      <w:autoSpaceDN w:val="0"/>
      <w:adjustRightInd w:val="0"/>
      <w:ind w:left="835" w:hanging="591"/>
      <w:outlineLvl w:val="0"/>
    </w:pPr>
    <w:rPr>
      <w:rFonts w:ascii="Times New Roman" w:hAnsi="Times New Roman"/>
    </w:rPr>
  </w:style>
  <w:style w:type="character" w:customStyle="1" w:styleId="outputtext">
    <w:name w:val="outputtext"/>
    <w:basedOn w:val="DefaultParagraphFont"/>
    <w:rsid w:val="008D13D3"/>
  </w:style>
</w:styles>
</file>

<file path=word/webSettings.xml><?xml version="1.0" encoding="utf-8"?>
<w:webSettings xmlns:r="http://schemas.openxmlformats.org/officeDocument/2006/relationships" xmlns:w="http://schemas.openxmlformats.org/wordprocessingml/2006/main">
  <w:divs>
    <w:div w:id="59137328">
      <w:bodyDiv w:val="1"/>
      <w:marLeft w:val="0"/>
      <w:marRight w:val="0"/>
      <w:marTop w:val="0"/>
      <w:marBottom w:val="0"/>
      <w:divBdr>
        <w:top w:val="none" w:sz="0" w:space="0" w:color="auto"/>
        <w:left w:val="none" w:sz="0" w:space="0" w:color="auto"/>
        <w:bottom w:val="none" w:sz="0" w:space="0" w:color="auto"/>
        <w:right w:val="none" w:sz="0" w:space="0" w:color="auto"/>
      </w:divBdr>
    </w:div>
    <w:div w:id="592855051">
      <w:bodyDiv w:val="1"/>
      <w:marLeft w:val="0"/>
      <w:marRight w:val="0"/>
      <w:marTop w:val="0"/>
      <w:marBottom w:val="0"/>
      <w:divBdr>
        <w:top w:val="none" w:sz="0" w:space="0" w:color="auto"/>
        <w:left w:val="none" w:sz="0" w:space="0" w:color="auto"/>
        <w:bottom w:val="none" w:sz="0" w:space="0" w:color="auto"/>
        <w:right w:val="none" w:sz="0" w:space="0" w:color="auto"/>
      </w:divBdr>
      <w:divsChild>
        <w:div w:id="1025402031">
          <w:marLeft w:val="0"/>
          <w:marRight w:val="0"/>
          <w:marTop w:val="0"/>
          <w:marBottom w:val="0"/>
          <w:divBdr>
            <w:top w:val="none" w:sz="0" w:space="0" w:color="auto"/>
            <w:left w:val="none" w:sz="0" w:space="0" w:color="auto"/>
            <w:bottom w:val="none" w:sz="0" w:space="0" w:color="auto"/>
            <w:right w:val="none" w:sz="0" w:space="0" w:color="auto"/>
          </w:divBdr>
          <w:divsChild>
            <w:div w:id="1550649119">
              <w:marLeft w:val="0"/>
              <w:marRight w:val="0"/>
              <w:marTop w:val="0"/>
              <w:marBottom w:val="0"/>
              <w:divBdr>
                <w:top w:val="none" w:sz="0" w:space="0" w:color="auto"/>
                <w:left w:val="none" w:sz="0" w:space="0" w:color="auto"/>
                <w:bottom w:val="none" w:sz="0" w:space="0" w:color="auto"/>
                <w:right w:val="none" w:sz="0" w:space="0" w:color="auto"/>
              </w:divBdr>
              <w:divsChild>
                <w:div w:id="473303743">
                  <w:marLeft w:val="0"/>
                  <w:marRight w:val="0"/>
                  <w:marTop w:val="0"/>
                  <w:marBottom w:val="0"/>
                  <w:divBdr>
                    <w:top w:val="none" w:sz="0" w:space="0" w:color="auto"/>
                    <w:left w:val="none" w:sz="0" w:space="0" w:color="auto"/>
                    <w:bottom w:val="none" w:sz="0" w:space="0" w:color="auto"/>
                    <w:right w:val="none" w:sz="0" w:space="0" w:color="auto"/>
                  </w:divBdr>
                  <w:divsChild>
                    <w:div w:id="1607228810">
                      <w:marLeft w:val="0"/>
                      <w:marRight w:val="0"/>
                      <w:marTop w:val="0"/>
                      <w:marBottom w:val="0"/>
                      <w:divBdr>
                        <w:top w:val="none" w:sz="0" w:space="0" w:color="auto"/>
                        <w:left w:val="none" w:sz="0" w:space="0" w:color="auto"/>
                        <w:bottom w:val="none" w:sz="0" w:space="0" w:color="auto"/>
                        <w:right w:val="none" w:sz="0" w:space="0" w:color="auto"/>
                      </w:divBdr>
                      <w:divsChild>
                        <w:div w:id="166605696">
                          <w:marLeft w:val="0"/>
                          <w:marRight w:val="0"/>
                          <w:marTop w:val="0"/>
                          <w:marBottom w:val="0"/>
                          <w:divBdr>
                            <w:top w:val="none" w:sz="0" w:space="0" w:color="auto"/>
                            <w:left w:val="none" w:sz="0" w:space="0" w:color="auto"/>
                            <w:bottom w:val="none" w:sz="0" w:space="0" w:color="auto"/>
                            <w:right w:val="none" w:sz="0" w:space="0" w:color="auto"/>
                          </w:divBdr>
                          <w:divsChild>
                            <w:div w:id="20971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119829">
      <w:bodyDiv w:val="1"/>
      <w:marLeft w:val="0"/>
      <w:marRight w:val="0"/>
      <w:marTop w:val="0"/>
      <w:marBottom w:val="0"/>
      <w:divBdr>
        <w:top w:val="none" w:sz="0" w:space="0" w:color="auto"/>
        <w:left w:val="none" w:sz="0" w:space="0" w:color="auto"/>
        <w:bottom w:val="none" w:sz="0" w:space="0" w:color="auto"/>
        <w:right w:val="none" w:sz="0" w:space="0" w:color="auto"/>
      </w:divBdr>
    </w:div>
    <w:div w:id="1453590312">
      <w:bodyDiv w:val="1"/>
      <w:marLeft w:val="0"/>
      <w:marRight w:val="0"/>
      <w:marTop w:val="0"/>
      <w:marBottom w:val="0"/>
      <w:divBdr>
        <w:top w:val="none" w:sz="0" w:space="0" w:color="auto"/>
        <w:left w:val="none" w:sz="0" w:space="0" w:color="auto"/>
        <w:bottom w:val="none" w:sz="0" w:space="0" w:color="auto"/>
        <w:right w:val="none" w:sz="0" w:space="0" w:color="auto"/>
      </w:divBdr>
    </w:div>
    <w:div w:id="1499079261">
      <w:bodyDiv w:val="1"/>
      <w:marLeft w:val="0"/>
      <w:marRight w:val="0"/>
      <w:marTop w:val="0"/>
      <w:marBottom w:val="0"/>
      <w:divBdr>
        <w:top w:val="none" w:sz="0" w:space="0" w:color="auto"/>
        <w:left w:val="none" w:sz="0" w:space="0" w:color="auto"/>
        <w:bottom w:val="none" w:sz="0" w:space="0" w:color="auto"/>
        <w:right w:val="none" w:sz="0" w:space="0" w:color="auto"/>
      </w:divBdr>
    </w:div>
    <w:div w:id="1921140651">
      <w:bodyDiv w:val="1"/>
      <w:marLeft w:val="0"/>
      <w:marRight w:val="0"/>
      <w:marTop w:val="0"/>
      <w:marBottom w:val="0"/>
      <w:divBdr>
        <w:top w:val="none" w:sz="0" w:space="0" w:color="auto"/>
        <w:left w:val="none" w:sz="0" w:space="0" w:color="auto"/>
        <w:bottom w:val="none" w:sz="0" w:space="0" w:color="auto"/>
        <w:right w:val="none" w:sz="0" w:space="0" w:color="auto"/>
      </w:divBdr>
      <w:divsChild>
        <w:div w:id="1258976978">
          <w:marLeft w:val="0"/>
          <w:marRight w:val="0"/>
          <w:marTop w:val="0"/>
          <w:marBottom w:val="0"/>
          <w:divBdr>
            <w:top w:val="none" w:sz="0" w:space="0" w:color="auto"/>
            <w:left w:val="none" w:sz="0" w:space="0" w:color="auto"/>
            <w:bottom w:val="none" w:sz="0" w:space="0" w:color="auto"/>
            <w:right w:val="none" w:sz="0" w:space="0" w:color="auto"/>
          </w:divBdr>
          <w:divsChild>
            <w:div w:id="147550868">
              <w:marLeft w:val="0"/>
              <w:marRight w:val="0"/>
              <w:marTop w:val="0"/>
              <w:marBottom w:val="0"/>
              <w:divBdr>
                <w:top w:val="none" w:sz="0" w:space="0" w:color="auto"/>
                <w:left w:val="none" w:sz="0" w:space="0" w:color="auto"/>
                <w:bottom w:val="none" w:sz="0" w:space="0" w:color="auto"/>
                <w:right w:val="none" w:sz="0" w:space="0" w:color="auto"/>
              </w:divBdr>
              <w:divsChild>
                <w:div w:id="353505088">
                  <w:marLeft w:val="0"/>
                  <w:marRight w:val="0"/>
                  <w:marTop w:val="0"/>
                  <w:marBottom w:val="0"/>
                  <w:divBdr>
                    <w:top w:val="none" w:sz="0" w:space="0" w:color="auto"/>
                    <w:left w:val="none" w:sz="0" w:space="0" w:color="auto"/>
                    <w:bottom w:val="none" w:sz="0" w:space="0" w:color="auto"/>
                    <w:right w:val="none" w:sz="0" w:space="0" w:color="auto"/>
                  </w:divBdr>
                  <w:divsChild>
                    <w:div w:id="1662080627">
                      <w:marLeft w:val="0"/>
                      <w:marRight w:val="0"/>
                      <w:marTop w:val="0"/>
                      <w:marBottom w:val="0"/>
                      <w:divBdr>
                        <w:top w:val="none" w:sz="0" w:space="0" w:color="auto"/>
                        <w:left w:val="none" w:sz="0" w:space="0" w:color="auto"/>
                        <w:bottom w:val="none" w:sz="0" w:space="0" w:color="auto"/>
                        <w:right w:val="none" w:sz="0" w:space="0" w:color="auto"/>
                      </w:divBdr>
                      <w:divsChild>
                        <w:div w:id="657003320">
                          <w:marLeft w:val="0"/>
                          <w:marRight w:val="0"/>
                          <w:marTop w:val="0"/>
                          <w:marBottom w:val="0"/>
                          <w:divBdr>
                            <w:top w:val="none" w:sz="0" w:space="0" w:color="auto"/>
                            <w:left w:val="none" w:sz="0" w:space="0" w:color="auto"/>
                            <w:bottom w:val="none" w:sz="0" w:space="0" w:color="auto"/>
                            <w:right w:val="none" w:sz="0" w:space="0" w:color="auto"/>
                          </w:divBdr>
                          <w:divsChild>
                            <w:div w:id="18285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rc.gov/reading-rm/doc-collections/cfr/part050/part050-appa.html" TargetMode="External"/><Relationship Id="rId18" Type="http://schemas.openxmlformats.org/officeDocument/2006/relationships/hyperlink" Target="http://www.nrc.gov/reading-rm/doc-collections/gen-comm/gen-letters/1988/gl88020s4.html" TargetMode="External"/><Relationship Id="rId26" Type="http://schemas.openxmlformats.org/officeDocument/2006/relationships/hyperlink" Target="http://pbadupws.nrc.gov/docs/ML1036/ML103620338.pdf" TargetMode="External"/><Relationship Id="rId39" Type="http://schemas.openxmlformats.org/officeDocument/2006/relationships/hyperlink" Target="http://pbadupws.nrc.gov/docs/ML0831/ML083110894.pdf" TargetMode="External"/><Relationship Id="rId21" Type="http://schemas.openxmlformats.org/officeDocument/2006/relationships/hyperlink" Target="http://pbadupws.nrc.gov/docs/ML1111/ML111150135.pdf" TargetMode="External"/><Relationship Id="rId34" Type="http://schemas.openxmlformats.org/officeDocument/2006/relationships/hyperlink" Target="http://pbadupws.nrc.gov/docs/ML1021/ML102110232.pdf" TargetMode="External"/><Relationship Id="rId42" Type="http://schemas.openxmlformats.org/officeDocument/2006/relationships/hyperlink" Target="mailto:Rebecca.Sigmon@nrc.gov" TargetMode="External"/><Relationship Id="rId47" Type="http://schemas.openxmlformats.org/officeDocument/2006/relationships/footer" Target="footer3.xml"/><Relationship Id="rId50" Type="http://schemas.openxmlformats.org/officeDocument/2006/relationships/customXml" Target="../customXml/item1.xml"/><Relationship Id="rId7" Type="http://schemas.openxmlformats.org/officeDocument/2006/relationships/hyperlink" Target="http://www.nrc.gov/reading-rm/doc-collections/event-status/event/2010/20100607en.html" TargetMode="External"/><Relationship Id="rId2" Type="http://schemas.openxmlformats.org/officeDocument/2006/relationships/styles" Target="styles.xml"/><Relationship Id="rId16" Type="http://schemas.openxmlformats.org/officeDocument/2006/relationships/hyperlink" Target="http://www.nrc.gov/reading-rm/doc-collections/reg-guides/power-reactors/rg/01-076/01-076.pdf" TargetMode="External"/><Relationship Id="rId29" Type="http://schemas.openxmlformats.org/officeDocument/2006/relationships/hyperlink" Target="http://pbadupws.nrc.gov/docs/ML0831/ML083190306.pdf" TargetMode="External"/><Relationship Id="rId11" Type="http://schemas.openxmlformats.org/officeDocument/2006/relationships/hyperlink" Target="http://pbadupws.nrc.gov/docs/ML0808/ML080870291.pdf" TargetMode="External"/><Relationship Id="rId24" Type="http://schemas.openxmlformats.org/officeDocument/2006/relationships/hyperlink" Target="http://pbadupws.nrc.gov/docs/ML1020/ML102020603.pdf" TargetMode="External"/><Relationship Id="rId32" Type="http://schemas.openxmlformats.org/officeDocument/2006/relationships/hyperlink" Target="http://pbadupws.nrc.gov/docs/ML0921/ML092170122.pdf" TargetMode="External"/><Relationship Id="rId37" Type="http://schemas.openxmlformats.org/officeDocument/2006/relationships/hyperlink" Target="http://pbadupws.nrc.gov/docs/ML0831/ML083171034.pdf" TargetMode="External"/><Relationship Id="rId40" Type="http://schemas.openxmlformats.org/officeDocument/2006/relationships/hyperlink" Target="http://pbadupws.nrc.gov/docs/ML0730/ml073020671.pdf"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rc.gov/reading-rm/doc-collections/cfr/part050/part050-appb.html" TargetMode="External"/><Relationship Id="rId23" Type="http://schemas.openxmlformats.org/officeDocument/2006/relationships/hyperlink" Target="http://pbadupws.nrc.gov/docs/ML1021/ML102180209.pdf" TargetMode="External"/><Relationship Id="rId28" Type="http://schemas.openxmlformats.org/officeDocument/2006/relationships/hyperlink" Target="http://pbadupws.nrc.gov/docs/ML1005/ML100501213.pdf" TargetMode="External"/><Relationship Id="rId36" Type="http://schemas.openxmlformats.org/officeDocument/2006/relationships/hyperlink" Target="http://pbadupws.nrc.gov/docs/ML1026/ML102660207.pdf" TargetMode="External"/><Relationship Id="rId49" Type="http://schemas.openxmlformats.org/officeDocument/2006/relationships/theme" Target="theme/theme1.xml"/><Relationship Id="rId10" Type="http://schemas.openxmlformats.org/officeDocument/2006/relationships/hyperlink" Target="http://pbadupws.nrc.gov/docs/ML0802/ML080230578.pdf" TargetMode="External"/><Relationship Id="rId19" Type="http://schemas.openxmlformats.org/officeDocument/2006/relationships/hyperlink" Target="http://www.nrc.gov/reading-rm/doc-collections/nuregs/staff/sr1742/" TargetMode="External"/><Relationship Id="rId31" Type="http://schemas.openxmlformats.org/officeDocument/2006/relationships/hyperlink" Target="http://pbadupws.nrc.gov/docs/ML0922/ML092260344.pdf" TargetMode="External"/><Relationship Id="rId44" Type="http://schemas.openxmlformats.org/officeDocument/2006/relationships/hyperlink" Target="mailto:Jeremy.Bowen@nrc.gov" TargetMode="External"/><Relationship Id="rId4" Type="http://schemas.openxmlformats.org/officeDocument/2006/relationships/webSettings" Target="webSettings.xml"/><Relationship Id="rId9" Type="http://schemas.openxmlformats.org/officeDocument/2006/relationships/hyperlink" Target="http://www.nrc.gov/reading-rm/doc-collections/event-status/event/2011/20110428en.html" TargetMode="External"/><Relationship Id="rId14" Type="http://schemas.openxmlformats.org/officeDocument/2006/relationships/hyperlink" Target="http://www.nrc.gov/reading-rm/doc-collections/cfr/part050/part050-appa.html" TargetMode="External"/><Relationship Id="rId22" Type="http://schemas.openxmlformats.org/officeDocument/2006/relationships/hyperlink" Target="http://pbadupws.nrc.gov/docs/ML1122/ML11228A257.pdf" TargetMode="External"/><Relationship Id="rId27" Type="http://schemas.openxmlformats.org/officeDocument/2006/relationships/hyperlink" Target="http://pbadupws.nrc.gov/docs/ML1033/ML103370640.pdf" TargetMode="External"/><Relationship Id="rId30" Type="http://schemas.openxmlformats.org/officeDocument/2006/relationships/hyperlink" Target="http://pbadupws.nrc.gov/docs/ML0921/ML092110774.pdf" TargetMode="External"/><Relationship Id="rId35" Type="http://schemas.openxmlformats.org/officeDocument/2006/relationships/hyperlink" Target="http://pbadupws.nrc.gov/docs/ML0912/ML091280093.pdf" TargetMode="External"/><Relationship Id="rId43" Type="http://schemas.openxmlformats.org/officeDocument/2006/relationships/hyperlink" Target="mailto:John.Thompson@nrc.gov" TargetMode="External"/><Relationship Id="rId48" Type="http://schemas.openxmlformats.org/officeDocument/2006/relationships/fontTable" Target="fontTable.xml"/><Relationship Id="rId8" Type="http://schemas.openxmlformats.org/officeDocument/2006/relationships/hyperlink" Target="http://www.nrc.gov/reading-rm/doc-collections/event-status/event/2011/20110418en.html" TargetMode="External"/><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pbadupws.nrc.gov/docs/ML0802/ML080230578.pdf" TargetMode="External"/><Relationship Id="rId17" Type="http://schemas.openxmlformats.org/officeDocument/2006/relationships/hyperlink" Target="http://pbadupws.nrc.gov/docs/ML0037/ML003739346.pdf" TargetMode="External"/><Relationship Id="rId25" Type="http://schemas.openxmlformats.org/officeDocument/2006/relationships/hyperlink" Target="http://pbadupws.nrc.gov/docs/ML0930/ML093020726.pdf" TargetMode="External"/><Relationship Id="rId33" Type="http://schemas.openxmlformats.org/officeDocument/2006/relationships/hyperlink" Target="http://pbadupws.nrc.gov/docs/ML0931/ML093100141.pdf" TargetMode="External"/><Relationship Id="rId38" Type="http://schemas.openxmlformats.org/officeDocument/2006/relationships/hyperlink" Target="http://pbadupws.nrc.gov/docs/ML1031/ML103190505.pdf" TargetMode="External"/><Relationship Id="rId46" Type="http://schemas.openxmlformats.org/officeDocument/2006/relationships/footer" Target="footer2.xml"/><Relationship Id="rId20" Type="http://schemas.openxmlformats.org/officeDocument/2006/relationships/hyperlink" Target="http://pbadupws.nrc.gov/docs/ML0802/ML080230578.pdf" TargetMode="External"/><Relationship Id="rId41" Type="http://schemas.openxmlformats.org/officeDocument/2006/relationships/hyperlink" Target="mailto:Edward.Smith@nrc.gov"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2735F-E46B-4453-8FDF-6767F64CD984}"/>
</file>

<file path=customXml/itemProps2.xml><?xml version="1.0" encoding="utf-8"?>
<ds:datastoreItem xmlns:ds="http://schemas.openxmlformats.org/officeDocument/2006/customXml" ds:itemID="{9A6BE574-7517-417E-830B-A8DE0D41FC97}"/>
</file>

<file path=docProps/app.xml><?xml version="1.0" encoding="utf-8"?>
<Properties xmlns="http://schemas.openxmlformats.org/officeDocument/2006/extended-properties" xmlns:vt="http://schemas.openxmlformats.org/officeDocument/2006/docPropsVTypes">
  <Template>Normal.dotm</Template>
  <TotalTime>0</TotalTime>
  <Pages>9</Pages>
  <Words>3184</Words>
  <Characters>21721</Characters>
  <Application>Microsoft Office Word</Application>
  <DocSecurity>0</DocSecurity>
  <Lines>181</Lines>
  <Paragraphs>49</Paragraphs>
  <ScaleCrop>false</ScaleCrop>
  <HeadingPairs>
    <vt:vector size="2" baseType="variant">
      <vt:variant>
        <vt:lpstr>Title</vt:lpstr>
      </vt:variant>
      <vt:variant>
        <vt:i4>1</vt:i4>
      </vt:variant>
    </vt:vector>
  </HeadingPairs>
  <TitlesOfParts>
    <vt:vector size="1" baseType="lpstr">
      <vt:lpstr>Question 1: Does the continuous rating of the emergency diesel generators (EDGs) bound the design post accident load profiles for the EDGs</vt:lpstr>
    </vt:vector>
  </TitlesOfParts>
  <Company>USNRC</Company>
  <LinksUpToDate>false</LinksUpToDate>
  <CharactersWithSpaces>24856</CharactersWithSpaces>
  <SharedDoc>false</SharedDoc>
  <HLinks>
    <vt:vector size="48" baseType="variant">
      <vt:variant>
        <vt:i4>4456573</vt:i4>
      </vt:variant>
      <vt:variant>
        <vt:i4>21</vt:i4>
      </vt:variant>
      <vt:variant>
        <vt:i4>0</vt:i4>
      </vt:variant>
      <vt:variant>
        <vt:i4>5</vt:i4>
      </vt:variant>
      <vt:variant>
        <vt:lpwstr>http://adamswebsearch2.nrc.gov/idmws/doccontent.dll?library=PU_ADAMS%5ePBNTAD01&amp;ID=091420087</vt:lpwstr>
      </vt:variant>
      <vt:variant>
        <vt:lpwstr/>
      </vt:variant>
      <vt:variant>
        <vt:i4>4391024</vt:i4>
      </vt:variant>
      <vt:variant>
        <vt:i4>18</vt:i4>
      </vt:variant>
      <vt:variant>
        <vt:i4>0</vt:i4>
      </vt:variant>
      <vt:variant>
        <vt:i4>5</vt:i4>
      </vt:variant>
      <vt:variant>
        <vt:lpwstr>http://adamswebsearch2.nrc.gov/idmws/doccontent.dll?library=PU_ADAMS%5ePBNTAD01&amp;ID=071840076</vt:lpwstr>
      </vt:variant>
      <vt:variant>
        <vt:lpwstr/>
      </vt:variant>
      <vt:variant>
        <vt:i4>5111935</vt:i4>
      </vt:variant>
      <vt:variant>
        <vt:i4>15</vt:i4>
      </vt:variant>
      <vt:variant>
        <vt:i4>0</vt:i4>
      </vt:variant>
      <vt:variant>
        <vt:i4>5</vt:i4>
      </vt:variant>
      <vt:variant>
        <vt:lpwstr>http://adamswebsearch2.nrc.gov/idmws/doccontent.dll?library=PU_ADAMS%5ePBNTAD01&amp;ID=091770199</vt:lpwstr>
      </vt:variant>
      <vt:variant>
        <vt:lpwstr/>
      </vt:variant>
      <vt:variant>
        <vt:i4>6029386</vt:i4>
      </vt:variant>
      <vt:variant>
        <vt:i4>12</vt:i4>
      </vt:variant>
      <vt:variant>
        <vt:i4>0</vt:i4>
      </vt:variant>
      <vt:variant>
        <vt:i4>5</vt:i4>
      </vt:variant>
      <vt:variant>
        <vt:lpwstr>http://www.nrc.gov/reading-rm/doc-collections/nuregs/staff/sr1852/sr1852.pdf</vt:lpwstr>
      </vt:variant>
      <vt:variant>
        <vt:lpwstr/>
      </vt:variant>
      <vt:variant>
        <vt:i4>4653177</vt:i4>
      </vt:variant>
      <vt:variant>
        <vt:i4>9</vt:i4>
      </vt:variant>
      <vt:variant>
        <vt:i4>0</vt:i4>
      </vt:variant>
      <vt:variant>
        <vt:i4>5</vt:i4>
      </vt:variant>
      <vt:variant>
        <vt:lpwstr>http://adamswebsearch2.nrc.gov/idmws/doccontent.dll?library=PU_ADAMS%5ePBNTAD01&amp;ID=093000185</vt:lpwstr>
      </vt:variant>
      <vt:variant>
        <vt:lpwstr/>
      </vt:variant>
      <vt:variant>
        <vt:i4>4194338</vt:i4>
      </vt:variant>
      <vt:variant>
        <vt:i4>6</vt:i4>
      </vt:variant>
      <vt:variant>
        <vt:i4>0</vt:i4>
      </vt:variant>
      <vt:variant>
        <vt:i4>5</vt:i4>
      </vt:variant>
      <vt:variant>
        <vt:lpwstr>mailto:Jeremy.Bowen@nrc.gov</vt:lpwstr>
      </vt:variant>
      <vt:variant>
        <vt:lpwstr/>
      </vt:variant>
      <vt:variant>
        <vt:i4>2490450</vt:i4>
      </vt:variant>
      <vt:variant>
        <vt:i4>3</vt:i4>
      </vt:variant>
      <vt:variant>
        <vt:i4>0</vt:i4>
      </vt:variant>
      <vt:variant>
        <vt:i4>5</vt:i4>
      </vt:variant>
      <vt:variant>
        <vt:lpwstr>mailto:Daniel.Frumkin@nrc.gov</vt:lpwstr>
      </vt:variant>
      <vt:variant>
        <vt:lpwstr/>
      </vt:variant>
      <vt:variant>
        <vt:i4>2490450</vt:i4>
      </vt:variant>
      <vt:variant>
        <vt:i4>0</vt:i4>
      </vt:variant>
      <vt:variant>
        <vt:i4>0</vt:i4>
      </vt:variant>
      <vt:variant>
        <vt:i4>5</vt:i4>
      </vt:variant>
      <vt:variant>
        <vt:lpwstr>mailto:Daniel.Frumkin@nrc.gov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 Does the continuous rating of the emergency diesel generators (EDGs) bound the design post accident load profiles for the EDGs</dc:title>
  <dc:subject/>
  <dc:creator>alk1</dc:creator>
  <cp:keywords/>
  <dc:description/>
  <cp:lastModifiedBy>kag</cp:lastModifiedBy>
  <cp:revision>2</cp:revision>
  <cp:lastPrinted>2011-12-07T13:29:00Z</cp:lastPrinted>
  <dcterms:created xsi:type="dcterms:W3CDTF">2012-01-06T17:02:00Z</dcterms:created>
  <dcterms:modified xsi:type="dcterms:W3CDTF">2012-01-06T17:02:00Z</dcterms:modified>
</cp:coreProperties>
</file>