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5B" w:rsidRDefault="00256B5B"/>
    <w:p w:rsidR="00256B5B" w:rsidRDefault="00256B5B" w:rsidP="00256B5B">
      <w:pPr>
        <w:widowControl/>
        <w:jc w:val="center"/>
        <w:rPr>
          <w:rFonts w:ascii="Arial" w:hAnsi="Arial" w:cs="Arial"/>
          <w:b/>
          <w:bCs/>
          <w:sz w:val="22"/>
          <w:szCs w:val="22"/>
        </w:rPr>
      </w:pPr>
      <w:r>
        <w:rPr>
          <w:rFonts w:ascii="Arial" w:hAnsi="Arial" w:cs="Arial"/>
          <w:b/>
          <w:bCs/>
        </w:rPr>
        <w:t xml:space="preserve">Security Requirements for Portable Gauges Containing Byproduct Material - Part 30 </w:t>
      </w:r>
    </w:p>
    <w:p w:rsidR="00256B5B" w:rsidRDefault="00256B5B" w:rsidP="00256B5B">
      <w:pPr>
        <w:widowControl/>
        <w:jc w:val="center"/>
        <w:rPr>
          <w:rFonts w:ascii="Arial" w:hAnsi="Arial" w:cs="Arial"/>
          <w:b/>
          <w:bCs/>
          <w:sz w:val="22"/>
          <w:szCs w:val="22"/>
        </w:rPr>
      </w:pPr>
      <w:r>
        <w:rPr>
          <w:rFonts w:ascii="Arial" w:hAnsi="Arial" w:cs="Arial"/>
          <w:b/>
          <w:bCs/>
          <w:sz w:val="22"/>
          <w:szCs w:val="22"/>
        </w:rPr>
        <w:t>(70 FR 2001) RATS ID # 2005-1 Effective date 7/11/05</w:t>
      </w:r>
    </w:p>
    <w:p w:rsidR="00256B5B" w:rsidRDefault="00256B5B" w:rsidP="00256B5B">
      <w:pPr>
        <w:widowControl/>
        <w:jc w:val="center"/>
        <w:rPr>
          <w:rFonts w:ascii="Arial" w:hAnsi="Arial" w:cs="Arial"/>
          <w:b/>
          <w:bCs/>
          <w:sz w:val="22"/>
          <w:szCs w:val="22"/>
        </w:rPr>
      </w:pPr>
      <w:r>
        <w:rPr>
          <w:rFonts w:ascii="Arial" w:hAnsi="Arial" w:cs="Arial"/>
          <w:b/>
          <w:bCs/>
          <w:sz w:val="22"/>
          <w:szCs w:val="22"/>
        </w:rPr>
        <w:t>Date due for State adoption: 7/11/08</w:t>
      </w:r>
    </w:p>
    <w:p w:rsidR="00256B5B" w:rsidRDefault="00256B5B"/>
    <w:tbl>
      <w:tblPr>
        <w:tblW w:w="15210" w:type="dxa"/>
        <w:tblInd w:w="-4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170"/>
        <w:gridCol w:w="1440"/>
        <w:gridCol w:w="1080"/>
        <w:gridCol w:w="1710"/>
        <w:gridCol w:w="3870"/>
        <w:gridCol w:w="1350"/>
        <w:gridCol w:w="1440"/>
        <w:gridCol w:w="3150"/>
      </w:tblGrid>
      <w:tr w:rsidR="00013B5A" w:rsidTr="00256B5B">
        <w:tblPrEx>
          <w:tblCellMar>
            <w:top w:w="0" w:type="dxa"/>
            <w:bottom w:w="0" w:type="dxa"/>
          </w:tblCellMar>
        </w:tblPrEx>
        <w:trPr>
          <w:tblHeader/>
        </w:trPr>
        <w:tc>
          <w:tcPr>
            <w:tcW w:w="117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2"/>
              </w:rPr>
            </w:pP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Change to NRC</w:t>
            </w: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Section</w:t>
            </w:r>
          </w:p>
        </w:tc>
        <w:tc>
          <w:tcPr>
            <w:tcW w:w="144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tabs>
                <w:tab w:val="center" w:pos="825"/>
              </w:tabs>
              <w:jc w:val="center"/>
              <w:rPr>
                <w:rFonts w:ascii="Arial" w:hAnsi="Arial" w:cs="Arial"/>
                <w:b/>
                <w:bCs/>
                <w:sz w:val="22"/>
                <w:szCs w:val="20"/>
              </w:rPr>
            </w:pPr>
            <w:r w:rsidRPr="00256B5B">
              <w:rPr>
                <w:rFonts w:ascii="Arial" w:hAnsi="Arial" w:cs="Arial"/>
                <w:b/>
                <w:bCs/>
                <w:sz w:val="22"/>
                <w:szCs w:val="20"/>
              </w:rPr>
              <w:t>Title</w:t>
            </w:r>
          </w:p>
        </w:tc>
        <w:tc>
          <w:tcPr>
            <w:tcW w:w="108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tabs>
                <w:tab w:val="center" w:pos="375"/>
              </w:tabs>
              <w:jc w:val="center"/>
              <w:rPr>
                <w:rFonts w:ascii="Arial" w:hAnsi="Arial" w:cs="Arial"/>
                <w:b/>
                <w:bCs/>
                <w:sz w:val="22"/>
                <w:szCs w:val="20"/>
              </w:rPr>
            </w:pPr>
            <w:r w:rsidRPr="00256B5B">
              <w:rPr>
                <w:rFonts w:ascii="Arial" w:hAnsi="Arial" w:cs="Arial"/>
                <w:b/>
                <w:bCs/>
                <w:sz w:val="22"/>
                <w:szCs w:val="20"/>
              </w:rPr>
              <w:t xml:space="preserve">State </w:t>
            </w: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Section</w:t>
            </w:r>
          </w:p>
        </w:tc>
        <w:tc>
          <w:tcPr>
            <w:tcW w:w="171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 xml:space="preserve">Compatibility </w:t>
            </w: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Category</w:t>
            </w:r>
          </w:p>
        </w:tc>
        <w:tc>
          <w:tcPr>
            <w:tcW w:w="387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tabs>
                <w:tab w:val="center" w:pos="1815"/>
              </w:tabs>
              <w:jc w:val="center"/>
              <w:rPr>
                <w:rFonts w:ascii="Arial" w:hAnsi="Arial" w:cs="Arial"/>
                <w:b/>
                <w:bCs/>
                <w:sz w:val="22"/>
                <w:szCs w:val="20"/>
              </w:rPr>
            </w:pPr>
            <w:r w:rsidRPr="00256B5B">
              <w:rPr>
                <w:rFonts w:ascii="Arial" w:hAnsi="Arial" w:cs="Arial"/>
                <w:b/>
                <w:bCs/>
                <w:sz w:val="22"/>
                <w:szCs w:val="20"/>
              </w:rPr>
              <w:t>Summary of Change to CFR</w:t>
            </w:r>
          </w:p>
          <w:p w:rsidR="00013B5A" w:rsidRPr="00256B5B" w:rsidRDefault="00013B5A" w:rsidP="00256B5B">
            <w:pPr>
              <w:widowControl/>
              <w:tabs>
                <w:tab w:val="right" w:pos="3630"/>
              </w:tabs>
              <w:jc w:val="center"/>
              <w:rPr>
                <w:rFonts w:ascii="Arial" w:hAnsi="Arial" w:cs="Arial"/>
                <w:b/>
                <w:bCs/>
                <w:sz w:val="22"/>
                <w:szCs w:val="20"/>
              </w:rPr>
            </w:pPr>
            <w:r w:rsidRPr="00256B5B">
              <w:rPr>
                <w:rFonts w:ascii="Arial" w:hAnsi="Arial" w:cs="Arial"/>
                <w:b/>
                <w:bCs/>
                <w:sz w:val="22"/>
                <w:szCs w:val="20"/>
              </w:rPr>
              <w:tab/>
            </w:r>
          </w:p>
        </w:tc>
        <w:tc>
          <w:tcPr>
            <w:tcW w:w="135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Difference</w:t>
            </w: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Yes/No</w:t>
            </w:r>
          </w:p>
        </w:tc>
        <w:tc>
          <w:tcPr>
            <w:tcW w:w="144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Significant</w:t>
            </w:r>
          </w:p>
          <w:p w:rsidR="00013B5A" w:rsidRPr="00256B5B" w:rsidRDefault="00013B5A" w:rsidP="00256B5B">
            <w:pPr>
              <w:widowControl/>
              <w:jc w:val="center"/>
              <w:rPr>
                <w:rFonts w:ascii="Arial" w:hAnsi="Arial" w:cs="Arial"/>
                <w:b/>
                <w:bCs/>
                <w:sz w:val="22"/>
                <w:szCs w:val="20"/>
              </w:rPr>
            </w:pPr>
            <w:r w:rsidRPr="00256B5B">
              <w:rPr>
                <w:rFonts w:ascii="Arial" w:hAnsi="Arial" w:cs="Arial"/>
                <w:b/>
                <w:bCs/>
                <w:sz w:val="22"/>
                <w:szCs w:val="20"/>
              </w:rPr>
              <w:t>Yes/No</w:t>
            </w:r>
          </w:p>
        </w:tc>
        <w:tc>
          <w:tcPr>
            <w:tcW w:w="3150" w:type="dxa"/>
            <w:tcBorders>
              <w:top w:val="double" w:sz="4" w:space="0" w:color="auto"/>
              <w:bottom w:val="double" w:sz="6" w:space="0" w:color="auto"/>
            </w:tcBorders>
          </w:tcPr>
          <w:p w:rsidR="00013B5A" w:rsidRPr="00256B5B" w:rsidRDefault="00013B5A" w:rsidP="00256B5B">
            <w:pPr>
              <w:jc w:val="center"/>
              <w:rPr>
                <w:rFonts w:ascii="Arial" w:hAnsi="Arial" w:cs="Arial"/>
                <w:b/>
                <w:bCs/>
                <w:sz w:val="22"/>
                <w:szCs w:val="20"/>
              </w:rPr>
            </w:pPr>
          </w:p>
          <w:p w:rsidR="00013B5A" w:rsidRPr="00256B5B" w:rsidRDefault="00013B5A" w:rsidP="00256B5B">
            <w:pPr>
              <w:widowControl/>
              <w:jc w:val="center"/>
              <w:rPr>
                <w:rFonts w:ascii="Arial" w:hAnsi="Arial" w:cs="Arial"/>
                <w:b/>
                <w:bCs/>
                <w:sz w:val="22"/>
                <w:szCs w:val="22"/>
              </w:rPr>
            </w:pPr>
            <w:r w:rsidRPr="00256B5B">
              <w:rPr>
                <w:rFonts w:ascii="Arial" w:hAnsi="Arial" w:cs="Arial"/>
                <w:b/>
                <w:bCs/>
                <w:sz w:val="22"/>
                <w:szCs w:val="20"/>
              </w:rPr>
              <w:t>If Difference, Why or Why Not Was a Comment Generated</w:t>
            </w:r>
          </w:p>
        </w:tc>
      </w:tr>
      <w:tr w:rsidR="00013B5A" w:rsidTr="00256B5B">
        <w:tblPrEx>
          <w:tblCellMar>
            <w:top w:w="0" w:type="dxa"/>
            <w:bottom w:w="0" w:type="dxa"/>
          </w:tblCellMar>
        </w:tblPrEx>
        <w:tc>
          <w:tcPr>
            <w:tcW w:w="1170" w:type="dxa"/>
            <w:tcBorders>
              <w:top w:val="double" w:sz="6" w:space="0" w:color="auto"/>
            </w:tcBorders>
          </w:tcPr>
          <w:p w:rsidR="00013B5A" w:rsidRPr="00256B5B" w:rsidRDefault="00013B5A" w:rsidP="00256B5B">
            <w:pPr>
              <w:rPr>
                <w:rFonts w:ascii="Arial" w:hAnsi="Arial" w:cs="Arial"/>
                <w:b/>
                <w:bCs/>
                <w:sz w:val="22"/>
                <w:szCs w:val="22"/>
              </w:rPr>
            </w:pPr>
          </w:p>
          <w:p w:rsidR="00013B5A" w:rsidRPr="00256B5B" w:rsidRDefault="00013B5A" w:rsidP="00256B5B">
            <w:pPr>
              <w:widowControl/>
              <w:rPr>
                <w:rFonts w:ascii="Arial" w:hAnsi="Arial" w:cs="Arial"/>
                <w:sz w:val="22"/>
                <w:szCs w:val="22"/>
              </w:rPr>
            </w:pPr>
            <w:r w:rsidRPr="00256B5B">
              <w:rPr>
                <w:rFonts w:ascii="Arial" w:hAnsi="Arial" w:cs="Arial"/>
                <w:sz w:val="22"/>
                <w:szCs w:val="22"/>
              </w:rPr>
              <w:sym w:font="WP TypographicSymbols" w:char="0027"/>
            </w:r>
            <w:r w:rsidRPr="00256B5B">
              <w:rPr>
                <w:rFonts w:ascii="Arial" w:hAnsi="Arial" w:cs="Arial"/>
                <w:sz w:val="22"/>
                <w:szCs w:val="22"/>
              </w:rPr>
              <w:t xml:space="preserve"> 30.34</w:t>
            </w:r>
          </w:p>
        </w:tc>
        <w:tc>
          <w:tcPr>
            <w:tcW w:w="144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rPr>
                <w:rFonts w:ascii="Arial" w:hAnsi="Arial" w:cs="Arial"/>
                <w:sz w:val="22"/>
                <w:szCs w:val="22"/>
              </w:rPr>
            </w:pPr>
            <w:r w:rsidRPr="00256B5B">
              <w:rPr>
                <w:rFonts w:ascii="Arial" w:hAnsi="Arial" w:cs="Arial"/>
                <w:sz w:val="22"/>
                <w:szCs w:val="22"/>
              </w:rPr>
              <w:t>Terms and conditions of licenses.</w:t>
            </w:r>
          </w:p>
        </w:tc>
        <w:tc>
          <w:tcPr>
            <w:tcW w:w="108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jc w:val="center"/>
              <w:rPr>
                <w:rFonts w:ascii="Arial" w:hAnsi="Arial" w:cs="Arial"/>
                <w:sz w:val="22"/>
                <w:szCs w:val="22"/>
              </w:rPr>
            </w:pPr>
          </w:p>
        </w:tc>
        <w:tc>
          <w:tcPr>
            <w:tcW w:w="171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jc w:val="center"/>
              <w:rPr>
                <w:rFonts w:ascii="Arial" w:hAnsi="Arial" w:cs="Arial"/>
                <w:sz w:val="22"/>
                <w:szCs w:val="22"/>
              </w:rPr>
            </w:pPr>
            <w:r w:rsidRPr="00256B5B">
              <w:rPr>
                <w:rFonts w:ascii="Arial" w:hAnsi="Arial" w:cs="Arial"/>
                <w:sz w:val="22"/>
                <w:szCs w:val="22"/>
              </w:rPr>
              <w:t>C</w:t>
            </w:r>
          </w:p>
        </w:tc>
        <w:tc>
          <w:tcPr>
            <w:tcW w:w="387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rPr>
                <w:rFonts w:ascii="Arial" w:hAnsi="Arial" w:cs="Shruti"/>
                <w:sz w:val="22"/>
                <w:szCs w:val="18"/>
              </w:rPr>
            </w:pPr>
            <w:r w:rsidRPr="00256B5B">
              <w:rPr>
                <w:rFonts w:ascii="Arial" w:hAnsi="Arial" w:cs="Shruti"/>
                <w:b/>
                <w:bCs/>
                <w:sz w:val="22"/>
                <w:szCs w:val="18"/>
              </w:rPr>
              <w:t>The final rule requires a portable gauge licensee to use a minimum of two independent physical controls that form tangible barriers to secure portable gauges from unauthorized removal whenever the portable gauges are not under the control and constant surveillance of the licensee. The primary intent of</w:t>
            </w:r>
            <w:r w:rsidR="00256B5B">
              <w:rPr>
                <w:rFonts w:ascii="Arial" w:hAnsi="Arial" w:cs="Shruti"/>
                <w:b/>
                <w:bCs/>
                <w:sz w:val="22"/>
                <w:szCs w:val="18"/>
              </w:rPr>
              <w:t xml:space="preserve"> this rulemaking is to increase </w:t>
            </w:r>
            <w:r w:rsidR="00256B5B" w:rsidRPr="00256B5B">
              <w:rPr>
                <w:rFonts w:ascii="Arial" w:hAnsi="Arial" w:cs="Shruti"/>
                <w:b/>
                <w:bCs/>
                <w:sz w:val="22"/>
                <w:szCs w:val="18"/>
              </w:rPr>
              <w:t>licensees’</w:t>
            </w:r>
            <w:r w:rsidR="00256B5B">
              <w:rPr>
                <w:rFonts w:ascii="Arial" w:hAnsi="Arial" w:cs="Shruti"/>
                <w:b/>
                <w:bCs/>
                <w:sz w:val="22"/>
                <w:szCs w:val="18"/>
              </w:rPr>
              <w:t xml:space="preserve"> </w:t>
            </w:r>
            <w:r w:rsidRPr="00256B5B">
              <w:rPr>
                <w:rFonts w:ascii="Arial" w:hAnsi="Arial" w:cs="Shruti"/>
                <w:b/>
                <w:bCs/>
                <w:sz w:val="22"/>
                <w:szCs w:val="18"/>
              </w:rPr>
              <w:t>control of portable gauges to reduce the opportunity for unauthorized removal or theft.</w:t>
            </w:r>
          </w:p>
          <w:p w:rsidR="00013B5A" w:rsidRPr="00256B5B" w:rsidRDefault="00013B5A" w:rsidP="00256B5B">
            <w:pPr>
              <w:widowControl/>
              <w:rPr>
                <w:rFonts w:ascii="Arial" w:hAnsi="Arial" w:cs="Mona Lisa Recut"/>
                <w:sz w:val="22"/>
                <w:szCs w:val="22"/>
              </w:rPr>
            </w:pPr>
          </w:p>
          <w:p w:rsidR="00013B5A" w:rsidRPr="00256B5B" w:rsidRDefault="00013B5A" w:rsidP="00256B5B">
            <w:pPr>
              <w:widowControl/>
              <w:rPr>
                <w:rFonts w:ascii="Arial" w:hAnsi="Arial" w:cs="Shruti"/>
                <w:sz w:val="22"/>
                <w:szCs w:val="22"/>
              </w:rPr>
            </w:pPr>
            <w:r w:rsidRPr="00256B5B">
              <w:rPr>
                <w:rFonts w:ascii="Arial" w:hAnsi="Arial" w:cs="Shruti"/>
                <w:sz w:val="22"/>
                <w:szCs w:val="22"/>
              </w:rPr>
              <w:t xml:space="preserve">    (</w:t>
            </w:r>
            <w:proofErr w:type="spellStart"/>
            <w:r w:rsidRPr="00256B5B">
              <w:rPr>
                <w:rFonts w:ascii="Arial" w:hAnsi="Arial" w:cs="Shruti"/>
                <w:sz w:val="22"/>
                <w:szCs w:val="22"/>
              </w:rPr>
              <w:t>i</w:t>
            </w:r>
            <w:proofErr w:type="spellEnd"/>
            <w:r w:rsidRPr="00256B5B">
              <w:rPr>
                <w:rFonts w:ascii="Arial" w:hAnsi="Arial" w:cs="Shruti"/>
                <w:sz w:val="22"/>
                <w:szCs w:val="22"/>
              </w:rPr>
              <w:t>) Security requirements for portable gauges.</w:t>
            </w:r>
          </w:p>
          <w:p w:rsidR="00013B5A" w:rsidRPr="00256B5B" w:rsidRDefault="00013B5A" w:rsidP="00256B5B">
            <w:pPr>
              <w:widowControl/>
              <w:rPr>
                <w:rFonts w:ascii="Arial" w:hAnsi="Arial" w:cs="Shruti"/>
                <w:sz w:val="22"/>
                <w:szCs w:val="22"/>
              </w:rPr>
            </w:pPr>
          </w:p>
          <w:p w:rsidR="00013B5A" w:rsidRPr="00256B5B" w:rsidRDefault="00013B5A" w:rsidP="00256B5B">
            <w:pPr>
              <w:widowControl/>
              <w:rPr>
                <w:rFonts w:ascii="Arial" w:hAnsi="Arial" w:cs="Shruti"/>
                <w:sz w:val="22"/>
                <w:szCs w:val="22"/>
              </w:rPr>
            </w:pPr>
            <w:r w:rsidRPr="00256B5B">
              <w:rPr>
                <w:rFonts w:ascii="Arial" w:hAnsi="Arial" w:cs="Shruti"/>
                <w:sz w:val="22"/>
                <w:szCs w:val="22"/>
              </w:rPr>
              <w:t>Each portable gauge licensee shall use a minimum of two independent physical controls that form tangible barriers to secure portable gauges from unauthorized removal, whenever portable gauges are not under the control and constant surveillance of the licensee.</w:t>
            </w:r>
          </w:p>
          <w:p w:rsidR="00013B5A" w:rsidRPr="00256B5B" w:rsidRDefault="00013B5A" w:rsidP="00256B5B">
            <w:pPr>
              <w:widowControl/>
              <w:rPr>
                <w:rFonts w:ascii="Arial" w:hAnsi="Arial" w:cs="Arial"/>
                <w:sz w:val="22"/>
                <w:szCs w:val="22"/>
              </w:rPr>
            </w:pPr>
          </w:p>
        </w:tc>
        <w:tc>
          <w:tcPr>
            <w:tcW w:w="135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rPr>
                <w:rFonts w:ascii="Arial" w:hAnsi="Arial" w:cs="Arial"/>
                <w:sz w:val="22"/>
                <w:szCs w:val="22"/>
              </w:rPr>
            </w:pPr>
          </w:p>
        </w:tc>
        <w:tc>
          <w:tcPr>
            <w:tcW w:w="144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rPr>
                <w:rFonts w:ascii="Arial" w:hAnsi="Arial" w:cs="Arial"/>
                <w:sz w:val="22"/>
                <w:szCs w:val="22"/>
              </w:rPr>
            </w:pPr>
          </w:p>
        </w:tc>
        <w:tc>
          <w:tcPr>
            <w:tcW w:w="3150" w:type="dxa"/>
            <w:tcBorders>
              <w:top w:val="double" w:sz="6" w:space="0" w:color="auto"/>
            </w:tcBorders>
          </w:tcPr>
          <w:p w:rsidR="00013B5A" w:rsidRPr="00256B5B" w:rsidRDefault="00013B5A" w:rsidP="00256B5B">
            <w:pPr>
              <w:rPr>
                <w:rFonts w:ascii="Arial" w:hAnsi="Arial" w:cs="Arial"/>
                <w:sz w:val="22"/>
                <w:szCs w:val="22"/>
              </w:rPr>
            </w:pPr>
          </w:p>
          <w:p w:rsidR="00013B5A" w:rsidRPr="00256B5B" w:rsidRDefault="00013B5A" w:rsidP="00256B5B">
            <w:pPr>
              <w:widowControl/>
              <w:rPr>
                <w:rFonts w:ascii="Arial" w:hAnsi="Arial" w:cs="Arial"/>
                <w:sz w:val="22"/>
                <w:szCs w:val="22"/>
              </w:rPr>
            </w:pPr>
          </w:p>
        </w:tc>
      </w:tr>
    </w:tbl>
    <w:p w:rsidR="00013B5A" w:rsidRDefault="00013B5A">
      <w:pPr>
        <w:widowControl/>
        <w:rPr>
          <w:rFonts w:ascii="Arial" w:hAnsi="Arial" w:cs="Arial"/>
          <w:sz w:val="22"/>
          <w:szCs w:val="22"/>
        </w:rPr>
      </w:pPr>
    </w:p>
    <w:sectPr w:rsidR="00013B5A" w:rsidSect="00013B5A">
      <w:footerReference w:type="default" r:id="rId6"/>
      <w:pgSz w:w="15840" w:h="12240" w:orient="landscape"/>
      <w:pgMar w:top="450" w:right="1440" w:bottom="540" w:left="900" w:header="45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B7" w:rsidRDefault="00AC4EB7" w:rsidP="00AC4EB7">
      <w:r>
        <w:separator/>
      </w:r>
    </w:p>
  </w:endnote>
  <w:endnote w:type="continuationSeparator" w:id="0">
    <w:p w:rsidR="00AC4EB7" w:rsidRDefault="00AC4EB7" w:rsidP="00AC4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Mona Lisa Recut">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B7" w:rsidRDefault="00AC4EB7">
    <w:pPr>
      <w:pStyle w:val="Footer"/>
      <w:jc w:val="center"/>
    </w:pPr>
    <w:fldSimple w:instr=" PAGE   \* MERGEFORMAT ">
      <w:r>
        <w:rPr>
          <w:noProof/>
        </w:rPr>
        <w:t>1</w:t>
      </w:r>
    </w:fldSimple>
  </w:p>
  <w:p w:rsidR="00AC4EB7" w:rsidRDefault="00AC4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B7" w:rsidRDefault="00AC4EB7" w:rsidP="00AC4EB7">
      <w:r>
        <w:separator/>
      </w:r>
    </w:p>
  </w:footnote>
  <w:footnote w:type="continuationSeparator" w:id="0">
    <w:p w:rsidR="00AC4EB7" w:rsidRDefault="00AC4EB7" w:rsidP="00AC4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13B5A"/>
    <w:rsid w:val="00013B5A"/>
    <w:rsid w:val="00256B5B"/>
    <w:rsid w:val="00AC4EB7"/>
    <w:rsid w:val="00DD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AC4EB7"/>
    <w:pPr>
      <w:tabs>
        <w:tab w:val="center" w:pos="4680"/>
        <w:tab w:val="right" w:pos="9360"/>
      </w:tabs>
    </w:pPr>
  </w:style>
  <w:style w:type="character" w:customStyle="1" w:styleId="HeaderChar">
    <w:name w:val="Header Char"/>
    <w:basedOn w:val="DefaultParagraphFont"/>
    <w:link w:val="Header"/>
    <w:rsid w:val="00AC4EB7"/>
    <w:rPr>
      <w:sz w:val="24"/>
      <w:szCs w:val="24"/>
    </w:rPr>
  </w:style>
  <w:style w:type="paragraph" w:styleId="Footer">
    <w:name w:val="footer"/>
    <w:basedOn w:val="Normal"/>
    <w:link w:val="FooterChar"/>
    <w:uiPriority w:val="99"/>
    <w:rsid w:val="00AC4EB7"/>
    <w:pPr>
      <w:tabs>
        <w:tab w:val="center" w:pos="4680"/>
        <w:tab w:val="right" w:pos="9360"/>
      </w:tabs>
    </w:pPr>
  </w:style>
  <w:style w:type="character" w:customStyle="1" w:styleId="FooterChar">
    <w:name w:val="Footer Char"/>
    <w:basedOn w:val="DefaultParagraphFont"/>
    <w:link w:val="Footer"/>
    <w:uiPriority w:val="99"/>
    <w:rsid w:val="00AC4EB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Security Requirements for Portable Gauges Containing Byproduct Material - Part 30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for Portable Gauges Containing Byproduct Material - Part 30 </dc:title>
  <dc:subject/>
  <dc:creator>KNM1</dc:creator>
  <cp:keywords/>
  <dc:description/>
  <cp:lastModifiedBy>KNM1</cp:lastModifiedBy>
  <cp:revision>2</cp:revision>
  <dcterms:created xsi:type="dcterms:W3CDTF">2011-05-02T15:25:00Z</dcterms:created>
  <dcterms:modified xsi:type="dcterms:W3CDTF">2011-05-02T15:25:00Z</dcterms:modified>
</cp:coreProperties>
</file>