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7CC" w:rsidRPr="00F72760" w:rsidRDefault="00B327CC">
      <w:pPr>
        <w:widowControl/>
        <w:jc w:val="center"/>
        <w:rPr>
          <w:rFonts w:ascii="Arial" w:hAnsi="Arial" w:cs="Arial"/>
          <w:b/>
          <w:bCs/>
          <w:sz w:val="22"/>
          <w:szCs w:val="22"/>
        </w:rPr>
      </w:pPr>
      <w:r w:rsidRPr="00F72760">
        <w:rPr>
          <w:rFonts w:ascii="Arial" w:hAnsi="Arial" w:cs="Arial"/>
          <w:b/>
          <w:bCs/>
          <w:sz w:val="22"/>
          <w:szCs w:val="22"/>
        </w:rPr>
        <w:t>Minor Corrections, Clarifying Changes, and a Minor Policy Change</w:t>
      </w:r>
    </w:p>
    <w:p w:rsidR="00B327CC" w:rsidRDefault="00B327CC">
      <w:pPr>
        <w:widowControl/>
        <w:jc w:val="center"/>
        <w:rPr>
          <w:rFonts w:ascii="Arial" w:hAnsi="Arial" w:cs="Arial"/>
          <w:b/>
          <w:sz w:val="22"/>
          <w:szCs w:val="22"/>
        </w:rPr>
      </w:pPr>
      <w:r w:rsidRPr="00F72760">
        <w:rPr>
          <w:rFonts w:ascii="Arial" w:hAnsi="Arial" w:cs="Arial"/>
          <w:b/>
          <w:bCs/>
          <w:sz w:val="22"/>
          <w:szCs w:val="22"/>
        </w:rPr>
        <w:t xml:space="preserve"> </w:t>
      </w:r>
      <w:r w:rsidRPr="00F72760">
        <w:rPr>
          <w:rFonts w:ascii="Arial" w:hAnsi="Arial" w:cs="Arial"/>
          <w:b/>
          <w:sz w:val="22"/>
          <w:szCs w:val="22"/>
        </w:rPr>
        <w:t xml:space="preserve">(63 FR 39477, 63 FR 45393) </w:t>
      </w:r>
      <w:r w:rsidRPr="00F72760">
        <w:rPr>
          <w:rFonts w:ascii="Arial" w:hAnsi="Arial" w:cs="Arial"/>
          <w:b/>
          <w:bCs/>
          <w:sz w:val="22"/>
          <w:szCs w:val="22"/>
        </w:rPr>
        <w:t>RATS ID 1998</w:t>
      </w:r>
      <w:r w:rsidRPr="00F72760">
        <w:rPr>
          <w:rFonts w:ascii="Arial" w:hAnsi="Arial" w:cs="Arial"/>
          <w:b/>
          <w:bCs/>
          <w:sz w:val="22"/>
          <w:szCs w:val="22"/>
        </w:rPr>
        <w:noBreakHyphen/>
        <w:t xml:space="preserve">5   </w:t>
      </w:r>
      <w:r w:rsidRPr="00F72760">
        <w:rPr>
          <w:rFonts w:ascii="Arial" w:hAnsi="Arial" w:cs="Arial"/>
          <w:b/>
          <w:sz w:val="22"/>
          <w:szCs w:val="22"/>
        </w:rPr>
        <w:t>Effective 10/26/98</w:t>
      </w:r>
    </w:p>
    <w:p w:rsidR="00F72760" w:rsidRPr="00F72760" w:rsidRDefault="00F72760">
      <w:pPr>
        <w:widowControl/>
        <w:jc w:val="center"/>
        <w:rPr>
          <w:rFonts w:ascii="Arial" w:hAnsi="Arial" w:cs="Arial"/>
          <w:b/>
          <w:sz w:val="22"/>
          <w:szCs w:val="22"/>
        </w:rPr>
      </w:pPr>
    </w:p>
    <w:p w:rsidR="00B327CC" w:rsidRDefault="00B327CC">
      <w:pPr>
        <w:widowControl/>
        <w:rPr>
          <w:rFonts w:ascii="Arial" w:hAnsi="Arial" w:cs="Arial"/>
          <w:sz w:val="22"/>
          <w:szCs w:val="22"/>
        </w:rPr>
      </w:pPr>
    </w:p>
    <w:tbl>
      <w:tblPr>
        <w:tblW w:w="15120" w:type="dxa"/>
        <w:tblInd w:w="-690" w:type="dxa"/>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left w:w="120" w:type="dxa"/>
          <w:right w:w="120" w:type="dxa"/>
        </w:tblCellMar>
        <w:tblLook w:val="0000"/>
      </w:tblPr>
      <w:tblGrid>
        <w:gridCol w:w="1170"/>
        <w:gridCol w:w="1620"/>
        <w:gridCol w:w="1080"/>
        <w:gridCol w:w="1710"/>
        <w:gridCol w:w="3510"/>
        <w:gridCol w:w="1350"/>
        <w:gridCol w:w="1440"/>
        <w:gridCol w:w="3240"/>
      </w:tblGrid>
      <w:tr w:rsidR="00B327CC" w:rsidTr="00F72760">
        <w:tblPrEx>
          <w:tblCellMar>
            <w:top w:w="0" w:type="dxa"/>
            <w:bottom w:w="0" w:type="dxa"/>
          </w:tblCellMar>
        </w:tblPrEx>
        <w:trPr>
          <w:tblHeader/>
        </w:trPr>
        <w:tc>
          <w:tcPr>
            <w:tcW w:w="1170" w:type="dxa"/>
            <w:tcBorders>
              <w:top w:val="double" w:sz="6" w:space="0" w:color="000000"/>
              <w:bottom w:val="double" w:sz="6" w:space="0" w:color="000000"/>
            </w:tcBorders>
          </w:tcPr>
          <w:p w:rsidR="00B327CC" w:rsidRPr="00F72760" w:rsidRDefault="00B327CC" w:rsidP="00F72760">
            <w:pPr>
              <w:jc w:val="center"/>
              <w:rPr>
                <w:rFonts w:ascii="Arial" w:hAnsi="Arial" w:cs="Arial"/>
                <w:sz w:val="22"/>
                <w:szCs w:val="22"/>
              </w:rPr>
            </w:pPr>
          </w:p>
          <w:p w:rsidR="00B327CC" w:rsidRPr="00F72760" w:rsidRDefault="00B327CC" w:rsidP="00F72760">
            <w:pPr>
              <w:widowControl/>
              <w:jc w:val="center"/>
              <w:rPr>
                <w:rFonts w:ascii="Arial" w:hAnsi="Arial" w:cs="Arial"/>
                <w:b/>
                <w:bCs/>
                <w:sz w:val="22"/>
                <w:szCs w:val="22"/>
              </w:rPr>
            </w:pPr>
            <w:r w:rsidRPr="00F72760">
              <w:rPr>
                <w:rFonts w:ascii="Arial" w:hAnsi="Arial" w:cs="Arial"/>
                <w:b/>
                <w:bCs/>
                <w:sz w:val="22"/>
                <w:szCs w:val="22"/>
              </w:rPr>
              <w:t>Change to NRC</w:t>
            </w:r>
          </w:p>
          <w:p w:rsidR="00B327CC" w:rsidRPr="00F72760" w:rsidRDefault="00B327CC" w:rsidP="00F72760">
            <w:pPr>
              <w:widowControl/>
              <w:jc w:val="center"/>
              <w:rPr>
                <w:rFonts w:ascii="Arial" w:hAnsi="Arial" w:cs="Arial"/>
                <w:b/>
                <w:bCs/>
                <w:sz w:val="22"/>
                <w:szCs w:val="22"/>
              </w:rPr>
            </w:pPr>
            <w:r w:rsidRPr="00F72760">
              <w:rPr>
                <w:rFonts w:ascii="Arial" w:hAnsi="Arial" w:cs="Arial"/>
                <w:b/>
                <w:bCs/>
                <w:sz w:val="22"/>
                <w:szCs w:val="22"/>
              </w:rPr>
              <w:t>Section</w:t>
            </w:r>
          </w:p>
        </w:tc>
        <w:tc>
          <w:tcPr>
            <w:tcW w:w="1620" w:type="dxa"/>
            <w:tcBorders>
              <w:top w:val="double" w:sz="6" w:space="0" w:color="000000"/>
              <w:bottom w:val="double" w:sz="6" w:space="0" w:color="000000"/>
            </w:tcBorders>
          </w:tcPr>
          <w:p w:rsidR="00B327CC" w:rsidRPr="00F72760" w:rsidRDefault="00B327CC" w:rsidP="00F72760">
            <w:pPr>
              <w:jc w:val="center"/>
              <w:rPr>
                <w:rFonts w:ascii="Arial" w:hAnsi="Arial" w:cs="Arial"/>
                <w:b/>
                <w:bCs/>
                <w:sz w:val="22"/>
                <w:szCs w:val="22"/>
              </w:rPr>
            </w:pPr>
          </w:p>
          <w:p w:rsidR="00B327CC" w:rsidRPr="00F72760" w:rsidRDefault="00B327CC" w:rsidP="00F72760">
            <w:pPr>
              <w:widowControl/>
              <w:tabs>
                <w:tab w:val="center" w:pos="825"/>
              </w:tabs>
              <w:jc w:val="center"/>
              <w:rPr>
                <w:rFonts w:ascii="Arial" w:hAnsi="Arial" w:cs="Arial"/>
                <w:b/>
                <w:bCs/>
                <w:sz w:val="22"/>
                <w:szCs w:val="22"/>
              </w:rPr>
            </w:pPr>
            <w:r w:rsidRPr="00F72760">
              <w:rPr>
                <w:rFonts w:ascii="Arial" w:hAnsi="Arial" w:cs="Arial"/>
                <w:b/>
                <w:bCs/>
                <w:sz w:val="22"/>
                <w:szCs w:val="22"/>
              </w:rPr>
              <w:t>Title</w:t>
            </w:r>
          </w:p>
        </w:tc>
        <w:tc>
          <w:tcPr>
            <w:tcW w:w="1080" w:type="dxa"/>
            <w:tcBorders>
              <w:top w:val="double" w:sz="6" w:space="0" w:color="000000"/>
              <w:bottom w:val="double" w:sz="6" w:space="0" w:color="000000"/>
            </w:tcBorders>
          </w:tcPr>
          <w:p w:rsidR="00B327CC" w:rsidRPr="00F72760" w:rsidRDefault="00B327CC" w:rsidP="00F72760">
            <w:pPr>
              <w:jc w:val="center"/>
              <w:rPr>
                <w:rFonts w:ascii="Arial" w:hAnsi="Arial" w:cs="Arial"/>
                <w:b/>
                <w:bCs/>
                <w:sz w:val="22"/>
                <w:szCs w:val="22"/>
              </w:rPr>
            </w:pPr>
          </w:p>
          <w:p w:rsidR="00B327CC" w:rsidRPr="00F72760" w:rsidRDefault="00B327CC" w:rsidP="00F72760">
            <w:pPr>
              <w:widowControl/>
              <w:tabs>
                <w:tab w:val="center" w:pos="375"/>
              </w:tabs>
              <w:jc w:val="center"/>
              <w:rPr>
                <w:rFonts w:ascii="Arial" w:hAnsi="Arial" w:cs="Arial"/>
                <w:b/>
                <w:bCs/>
                <w:sz w:val="22"/>
                <w:szCs w:val="22"/>
              </w:rPr>
            </w:pPr>
            <w:r w:rsidRPr="00F72760">
              <w:rPr>
                <w:rFonts w:ascii="Arial" w:hAnsi="Arial" w:cs="Arial"/>
                <w:b/>
                <w:bCs/>
                <w:sz w:val="22"/>
                <w:szCs w:val="22"/>
              </w:rPr>
              <w:t xml:space="preserve">State </w:t>
            </w:r>
          </w:p>
          <w:p w:rsidR="00B327CC" w:rsidRPr="00F72760" w:rsidRDefault="00B327CC" w:rsidP="00F72760">
            <w:pPr>
              <w:widowControl/>
              <w:jc w:val="center"/>
              <w:rPr>
                <w:rFonts w:ascii="Arial" w:hAnsi="Arial" w:cs="Arial"/>
                <w:b/>
                <w:bCs/>
                <w:sz w:val="22"/>
                <w:szCs w:val="22"/>
              </w:rPr>
            </w:pPr>
            <w:r w:rsidRPr="00F72760">
              <w:rPr>
                <w:rFonts w:ascii="Arial" w:hAnsi="Arial" w:cs="Arial"/>
                <w:b/>
                <w:bCs/>
                <w:sz w:val="22"/>
                <w:szCs w:val="22"/>
              </w:rPr>
              <w:t>Section</w:t>
            </w:r>
          </w:p>
        </w:tc>
        <w:tc>
          <w:tcPr>
            <w:tcW w:w="1710" w:type="dxa"/>
            <w:tcBorders>
              <w:top w:val="double" w:sz="6" w:space="0" w:color="000000"/>
              <w:bottom w:val="double" w:sz="6" w:space="0" w:color="000000"/>
            </w:tcBorders>
          </w:tcPr>
          <w:p w:rsidR="00B327CC" w:rsidRPr="00F72760" w:rsidRDefault="00B327CC" w:rsidP="00F72760">
            <w:pPr>
              <w:jc w:val="center"/>
              <w:rPr>
                <w:rFonts w:ascii="Arial" w:hAnsi="Arial" w:cs="Arial"/>
                <w:b/>
                <w:bCs/>
                <w:sz w:val="22"/>
                <w:szCs w:val="22"/>
              </w:rPr>
            </w:pPr>
          </w:p>
          <w:p w:rsidR="00B327CC" w:rsidRPr="00F72760" w:rsidRDefault="00B327CC" w:rsidP="00F72760">
            <w:pPr>
              <w:widowControl/>
              <w:jc w:val="center"/>
              <w:rPr>
                <w:rFonts w:ascii="Arial" w:hAnsi="Arial" w:cs="Arial"/>
                <w:b/>
                <w:bCs/>
                <w:sz w:val="22"/>
                <w:szCs w:val="22"/>
              </w:rPr>
            </w:pPr>
            <w:r w:rsidRPr="00F72760">
              <w:rPr>
                <w:rFonts w:ascii="Arial" w:hAnsi="Arial" w:cs="Arial"/>
                <w:b/>
                <w:bCs/>
                <w:sz w:val="22"/>
                <w:szCs w:val="22"/>
              </w:rPr>
              <w:t xml:space="preserve">Compatibility </w:t>
            </w:r>
          </w:p>
          <w:p w:rsidR="00B327CC" w:rsidRPr="00F72760" w:rsidRDefault="00B327CC" w:rsidP="00F72760">
            <w:pPr>
              <w:widowControl/>
              <w:jc w:val="center"/>
              <w:rPr>
                <w:rFonts w:ascii="Arial" w:hAnsi="Arial" w:cs="Arial"/>
                <w:b/>
                <w:bCs/>
                <w:sz w:val="22"/>
                <w:szCs w:val="22"/>
              </w:rPr>
            </w:pPr>
            <w:r w:rsidRPr="00F72760">
              <w:rPr>
                <w:rFonts w:ascii="Arial" w:hAnsi="Arial" w:cs="Arial"/>
                <w:b/>
                <w:bCs/>
                <w:sz w:val="22"/>
                <w:szCs w:val="22"/>
              </w:rPr>
              <w:t>Category</w:t>
            </w:r>
          </w:p>
        </w:tc>
        <w:tc>
          <w:tcPr>
            <w:tcW w:w="3510" w:type="dxa"/>
            <w:tcBorders>
              <w:top w:val="double" w:sz="6" w:space="0" w:color="000000"/>
              <w:bottom w:val="double" w:sz="6" w:space="0" w:color="000000"/>
            </w:tcBorders>
          </w:tcPr>
          <w:p w:rsidR="00B327CC" w:rsidRPr="00F72760" w:rsidRDefault="00B327CC" w:rsidP="00F72760">
            <w:pPr>
              <w:jc w:val="center"/>
              <w:rPr>
                <w:rFonts w:ascii="Arial" w:hAnsi="Arial" w:cs="Arial"/>
                <w:b/>
                <w:bCs/>
                <w:sz w:val="22"/>
                <w:szCs w:val="22"/>
              </w:rPr>
            </w:pPr>
          </w:p>
          <w:p w:rsidR="00B327CC" w:rsidRPr="00F72760" w:rsidRDefault="00B327CC" w:rsidP="00F72760">
            <w:pPr>
              <w:widowControl/>
              <w:tabs>
                <w:tab w:val="center" w:pos="1815"/>
              </w:tabs>
              <w:jc w:val="center"/>
              <w:rPr>
                <w:rFonts w:ascii="Arial" w:hAnsi="Arial" w:cs="Arial"/>
                <w:b/>
                <w:bCs/>
                <w:sz w:val="22"/>
                <w:szCs w:val="22"/>
              </w:rPr>
            </w:pPr>
            <w:r w:rsidRPr="00F72760">
              <w:rPr>
                <w:rFonts w:ascii="Arial" w:hAnsi="Arial" w:cs="Arial"/>
                <w:b/>
                <w:bCs/>
                <w:sz w:val="22"/>
                <w:szCs w:val="22"/>
              </w:rPr>
              <w:t>Summary of Change to CFR</w:t>
            </w:r>
          </w:p>
        </w:tc>
        <w:tc>
          <w:tcPr>
            <w:tcW w:w="1350" w:type="dxa"/>
            <w:tcBorders>
              <w:top w:val="double" w:sz="6" w:space="0" w:color="000000"/>
              <w:bottom w:val="double" w:sz="6" w:space="0" w:color="000000"/>
            </w:tcBorders>
          </w:tcPr>
          <w:p w:rsidR="00B327CC" w:rsidRPr="00F72760" w:rsidRDefault="00B327CC" w:rsidP="00F72760">
            <w:pPr>
              <w:jc w:val="center"/>
              <w:rPr>
                <w:rFonts w:ascii="Arial" w:hAnsi="Arial" w:cs="Arial"/>
                <w:b/>
                <w:bCs/>
                <w:sz w:val="22"/>
                <w:szCs w:val="22"/>
              </w:rPr>
            </w:pPr>
          </w:p>
          <w:p w:rsidR="00B327CC" w:rsidRPr="00F72760" w:rsidRDefault="00B327CC" w:rsidP="00F72760">
            <w:pPr>
              <w:widowControl/>
              <w:jc w:val="center"/>
              <w:rPr>
                <w:rFonts w:ascii="Arial" w:hAnsi="Arial" w:cs="Arial"/>
                <w:b/>
                <w:bCs/>
                <w:sz w:val="22"/>
                <w:szCs w:val="22"/>
              </w:rPr>
            </w:pPr>
            <w:r w:rsidRPr="00F72760">
              <w:rPr>
                <w:rFonts w:ascii="Arial" w:hAnsi="Arial" w:cs="Arial"/>
                <w:b/>
                <w:bCs/>
                <w:sz w:val="22"/>
                <w:szCs w:val="22"/>
              </w:rPr>
              <w:t>Difference</w:t>
            </w:r>
          </w:p>
          <w:p w:rsidR="00B327CC" w:rsidRPr="00F72760" w:rsidRDefault="00B327CC" w:rsidP="00F72760">
            <w:pPr>
              <w:widowControl/>
              <w:jc w:val="center"/>
              <w:rPr>
                <w:rFonts w:ascii="Arial" w:hAnsi="Arial" w:cs="Arial"/>
                <w:b/>
                <w:bCs/>
                <w:sz w:val="22"/>
                <w:szCs w:val="22"/>
              </w:rPr>
            </w:pPr>
            <w:r w:rsidRPr="00F72760">
              <w:rPr>
                <w:rFonts w:ascii="Arial" w:hAnsi="Arial" w:cs="Arial"/>
                <w:b/>
                <w:bCs/>
                <w:sz w:val="22"/>
                <w:szCs w:val="22"/>
              </w:rPr>
              <w:t>Yes/No</w:t>
            </w:r>
          </w:p>
        </w:tc>
        <w:tc>
          <w:tcPr>
            <w:tcW w:w="1440" w:type="dxa"/>
            <w:tcBorders>
              <w:top w:val="double" w:sz="6" w:space="0" w:color="000000"/>
              <w:bottom w:val="double" w:sz="6" w:space="0" w:color="000000"/>
            </w:tcBorders>
          </w:tcPr>
          <w:p w:rsidR="00B327CC" w:rsidRPr="00F72760" w:rsidRDefault="00B327CC" w:rsidP="00F72760">
            <w:pPr>
              <w:jc w:val="center"/>
              <w:rPr>
                <w:rFonts w:ascii="Arial" w:hAnsi="Arial" w:cs="Arial"/>
                <w:b/>
                <w:bCs/>
                <w:sz w:val="22"/>
                <w:szCs w:val="22"/>
              </w:rPr>
            </w:pPr>
          </w:p>
          <w:p w:rsidR="00B327CC" w:rsidRPr="00F72760" w:rsidRDefault="00B327CC" w:rsidP="00F72760">
            <w:pPr>
              <w:widowControl/>
              <w:jc w:val="center"/>
              <w:rPr>
                <w:rFonts w:ascii="Arial" w:hAnsi="Arial" w:cs="Arial"/>
                <w:b/>
                <w:bCs/>
                <w:sz w:val="22"/>
                <w:szCs w:val="22"/>
              </w:rPr>
            </w:pPr>
            <w:r w:rsidRPr="00F72760">
              <w:rPr>
                <w:rFonts w:ascii="Arial" w:hAnsi="Arial" w:cs="Arial"/>
                <w:b/>
                <w:bCs/>
                <w:sz w:val="22"/>
                <w:szCs w:val="22"/>
              </w:rPr>
              <w:t>Significant</w:t>
            </w:r>
          </w:p>
          <w:p w:rsidR="00B327CC" w:rsidRPr="00F72760" w:rsidRDefault="00B327CC" w:rsidP="00F72760">
            <w:pPr>
              <w:widowControl/>
              <w:jc w:val="center"/>
              <w:rPr>
                <w:rFonts w:ascii="Arial" w:hAnsi="Arial" w:cs="Arial"/>
                <w:b/>
                <w:bCs/>
                <w:sz w:val="22"/>
                <w:szCs w:val="22"/>
              </w:rPr>
            </w:pPr>
            <w:r w:rsidRPr="00F72760">
              <w:rPr>
                <w:rFonts w:ascii="Arial" w:hAnsi="Arial" w:cs="Arial"/>
                <w:b/>
                <w:bCs/>
                <w:sz w:val="22"/>
                <w:szCs w:val="22"/>
              </w:rPr>
              <w:t>Yes/No</w:t>
            </w:r>
          </w:p>
        </w:tc>
        <w:tc>
          <w:tcPr>
            <w:tcW w:w="3240" w:type="dxa"/>
            <w:tcBorders>
              <w:top w:val="double" w:sz="6" w:space="0" w:color="000000"/>
              <w:bottom w:val="double" w:sz="6" w:space="0" w:color="000000"/>
            </w:tcBorders>
          </w:tcPr>
          <w:p w:rsidR="00B327CC" w:rsidRPr="00F72760" w:rsidRDefault="00B327CC" w:rsidP="00F72760">
            <w:pPr>
              <w:jc w:val="center"/>
              <w:rPr>
                <w:rFonts w:ascii="Arial" w:hAnsi="Arial" w:cs="Arial"/>
                <w:b/>
                <w:bCs/>
                <w:sz w:val="22"/>
                <w:szCs w:val="22"/>
              </w:rPr>
            </w:pPr>
          </w:p>
          <w:p w:rsidR="00B327CC" w:rsidRPr="00F72760" w:rsidRDefault="00B327CC" w:rsidP="00F72760">
            <w:pPr>
              <w:widowControl/>
              <w:jc w:val="center"/>
              <w:rPr>
                <w:rFonts w:ascii="Arial" w:hAnsi="Arial" w:cs="Arial"/>
                <w:b/>
                <w:bCs/>
                <w:sz w:val="22"/>
                <w:szCs w:val="22"/>
              </w:rPr>
            </w:pPr>
            <w:r w:rsidRPr="00F72760">
              <w:rPr>
                <w:rFonts w:ascii="Arial" w:hAnsi="Arial" w:cs="Arial"/>
                <w:b/>
                <w:bCs/>
                <w:sz w:val="22"/>
                <w:szCs w:val="22"/>
              </w:rPr>
              <w:t>If Difference, Why or Why Not Was a Comment Generated</w:t>
            </w:r>
          </w:p>
        </w:tc>
      </w:tr>
      <w:tr w:rsidR="00B327CC" w:rsidTr="00F72760">
        <w:tblPrEx>
          <w:tblCellMar>
            <w:top w:w="0" w:type="dxa"/>
            <w:bottom w:w="0" w:type="dxa"/>
          </w:tblCellMar>
        </w:tblPrEx>
        <w:tc>
          <w:tcPr>
            <w:tcW w:w="1170" w:type="dxa"/>
            <w:tcBorders>
              <w:top w:val="double" w:sz="6" w:space="0" w:color="000000"/>
            </w:tcBorders>
          </w:tcPr>
          <w:p w:rsidR="00B327CC" w:rsidRPr="00F72760" w:rsidRDefault="00B327CC" w:rsidP="00F72760">
            <w:pPr>
              <w:rPr>
                <w:rFonts w:ascii="Arial" w:hAnsi="Arial" w:cs="Arial"/>
                <w:b/>
                <w:bCs/>
                <w:sz w:val="22"/>
                <w:szCs w:val="22"/>
              </w:rPr>
            </w:pPr>
          </w:p>
          <w:p w:rsidR="00B327CC" w:rsidRPr="00F72760" w:rsidRDefault="00B327CC" w:rsidP="00F72760">
            <w:pPr>
              <w:widowControl/>
              <w:jc w:val="center"/>
              <w:rPr>
                <w:rFonts w:ascii="Arial" w:hAnsi="Arial" w:cs="Arial"/>
                <w:sz w:val="22"/>
                <w:szCs w:val="22"/>
              </w:rPr>
            </w:pPr>
            <w:r w:rsidRPr="00F72760">
              <w:rPr>
                <w:rFonts w:ascii="Arial" w:hAnsi="Arial" w:cs="Arial"/>
                <w:sz w:val="22"/>
                <w:szCs w:val="22"/>
              </w:rPr>
              <w:sym w:font="WP TypographicSymbols" w:char="0027"/>
            </w:r>
            <w:r w:rsidRPr="00F72760">
              <w:rPr>
                <w:rFonts w:ascii="Arial" w:hAnsi="Arial" w:cs="Arial"/>
                <w:sz w:val="22"/>
                <w:szCs w:val="22"/>
              </w:rPr>
              <w:t>20.1003</w:t>
            </w:r>
          </w:p>
        </w:tc>
        <w:tc>
          <w:tcPr>
            <w:tcW w:w="1620" w:type="dxa"/>
            <w:tcBorders>
              <w:top w:val="double" w:sz="6" w:space="0" w:color="000000"/>
            </w:tcBorders>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r w:rsidRPr="00F72760">
              <w:rPr>
                <w:rFonts w:ascii="Arial" w:hAnsi="Arial" w:cs="Arial"/>
                <w:sz w:val="22"/>
                <w:szCs w:val="22"/>
              </w:rPr>
              <w:t>Definitions</w:t>
            </w:r>
          </w:p>
        </w:tc>
        <w:tc>
          <w:tcPr>
            <w:tcW w:w="1080" w:type="dxa"/>
            <w:tcBorders>
              <w:top w:val="double" w:sz="6" w:space="0" w:color="000000"/>
            </w:tcBorders>
          </w:tcPr>
          <w:p w:rsidR="00B327CC" w:rsidRPr="00F72760" w:rsidRDefault="00B327CC" w:rsidP="00F72760">
            <w:pPr>
              <w:rPr>
                <w:rFonts w:ascii="Arial" w:hAnsi="Arial" w:cs="Arial"/>
                <w:sz w:val="22"/>
                <w:szCs w:val="22"/>
              </w:rPr>
            </w:pPr>
          </w:p>
          <w:p w:rsidR="00B327CC" w:rsidRPr="00F72760" w:rsidRDefault="00B327CC" w:rsidP="00F72760">
            <w:pPr>
              <w:widowControl/>
              <w:jc w:val="center"/>
              <w:rPr>
                <w:rFonts w:ascii="Arial" w:hAnsi="Arial" w:cs="Arial"/>
                <w:sz w:val="22"/>
                <w:szCs w:val="22"/>
              </w:rPr>
            </w:pPr>
          </w:p>
        </w:tc>
        <w:tc>
          <w:tcPr>
            <w:tcW w:w="1710" w:type="dxa"/>
            <w:tcBorders>
              <w:top w:val="double" w:sz="6" w:space="0" w:color="000000"/>
            </w:tcBorders>
          </w:tcPr>
          <w:p w:rsidR="00B327CC" w:rsidRPr="00F72760" w:rsidRDefault="00B327CC" w:rsidP="00F72760">
            <w:pPr>
              <w:rPr>
                <w:rFonts w:ascii="Arial" w:hAnsi="Arial" w:cs="Arial"/>
                <w:sz w:val="22"/>
                <w:szCs w:val="22"/>
              </w:rPr>
            </w:pPr>
          </w:p>
          <w:p w:rsidR="00B327CC" w:rsidRPr="00F72760" w:rsidRDefault="00B327CC" w:rsidP="00F72760">
            <w:pPr>
              <w:widowControl/>
              <w:jc w:val="center"/>
              <w:rPr>
                <w:rFonts w:ascii="Arial" w:hAnsi="Arial" w:cs="Arial"/>
                <w:sz w:val="22"/>
                <w:szCs w:val="22"/>
              </w:rPr>
            </w:pPr>
            <w:r w:rsidRPr="00F72760">
              <w:rPr>
                <w:rFonts w:ascii="Arial" w:hAnsi="Arial" w:cs="Arial"/>
                <w:sz w:val="22"/>
                <w:szCs w:val="22"/>
              </w:rPr>
              <w:t>A</w:t>
            </w:r>
          </w:p>
          <w:p w:rsidR="00B327CC" w:rsidRPr="00F72760" w:rsidRDefault="00B327CC" w:rsidP="00F72760">
            <w:pPr>
              <w:widowControl/>
              <w:jc w:val="center"/>
              <w:rPr>
                <w:rFonts w:ascii="Arial" w:hAnsi="Arial" w:cs="Arial"/>
                <w:sz w:val="22"/>
                <w:szCs w:val="22"/>
              </w:rPr>
            </w:pPr>
          </w:p>
        </w:tc>
        <w:tc>
          <w:tcPr>
            <w:tcW w:w="3510" w:type="dxa"/>
            <w:tcBorders>
              <w:top w:val="double" w:sz="6" w:space="0" w:color="000000"/>
            </w:tcBorders>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b/>
                <w:bCs/>
                <w:sz w:val="22"/>
                <w:szCs w:val="22"/>
              </w:rPr>
            </w:pPr>
            <w:r w:rsidRPr="00F72760">
              <w:rPr>
                <w:rFonts w:ascii="Arial" w:hAnsi="Arial" w:cs="Arial"/>
                <w:b/>
                <w:bCs/>
                <w:sz w:val="22"/>
                <w:szCs w:val="22"/>
              </w:rPr>
              <w:t>Amended Definition:</w:t>
            </w:r>
          </w:p>
          <w:p w:rsidR="00B327CC" w:rsidRPr="00F72760" w:rsidRDefault="00B327CC" w:rsidP="00F72760">
            <w:pPr>
              <w:widowControl/>
              <w:rPr>
                <w:rFonts w:ascii="Arial" w:hAnsi="Arial" w:cs="Arial"/>
                <w:sz w:val="22"/>
                <w:szCs w:val="22"/>
              </w:rPr>
            </w:pPr>
            <w:r w:rsidRPr="00F72760">
              <w:rPr>
                <w:rFonts w:ascii="Arial" w:hAnsi="Arial" w:cs="Arial"/>
                <w:sz w:val="22"/>
                <w:szCs w:val="22"/>
              </w:rPr>
              <w:t>Declared pregnant woman means a woman who has voluntarily informed the licensee, in writing, of her pregnancy and the estimated date of conception. The declaration remains in effect until the declared pregnant woman withdraws the declaration in writing or is no longer pregnant.</w:t>
            </w:r>
          </w:p>
        </w:tc>
        <w:tc>
          <w:tcPr>
            <w:tcW w:w="1350" w:type="dxa"/>
            <w:tcBorders>
              <w:top w:val="double" w:sz="6" w:space="0" w:color="000000"/>
            </w:tcBorders>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p>
        </w:tc>
        <w:tc>
          <w:tcPr>
            <w:tcW w:w="1440" w:type="dxa"/>
            <w:tcBorders>
              <w:top w:val="double" w:sz="6" w:space="0" w:color="000000"/>
            </w:tcBorders>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p>
        </w:tc>
        <w:tc>
          <w:tcPr>
            <w:tcW w:w="3240" w:type="dxa"/>
            <w:tcBorders>
              <w:top w:val="double" w:sz="6" w:space="0" w:color="000000"/>
            </w:tcBorders>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p>
        </w:tc>
      </w:tr>
      <w:tr w:rsidR="00B327CC" w:rsidTr="00F72760">
        <w:tblPrEx>
          <w:tblCellMar>
            <w:top w:w="0" w:type="dxa"/>
            <w:bottom w:w="0" w:type="dxa"/>
          </w:tblCellMar>
        </w:tblPrEx>
        <w:tc>
          <w:tcPr>
            <w:tcW w:w="1170" w:type="dxa"/>
          </w:tcPr>
          <w:p w:rsidR="00B327CC" w:rsidRPr="00F72760" w:rsidRDefault="00B327CC" w:rsidP="00F72760">
            <w:pPr>
              <w:rPr>
                <w:rFonts w:ascii="Arial" w:hAnsi="Arial" w:cs="Arial"/>
                <w:sz w:val="22"/>
                <w:szCs w:val="22"/>
              </w:rPr>
            </w:pPr>
          </w:p>
          <w:p w:rsidR="00B327CC" w:rsidRPr="00F72760" w:rsidRDefault="00B327CC" w:rsidP="00F72760">
            <w:pPr>
              <w:widowControl/>
              <w:jc w:val="center"/>
              <w:rPr>
                <w:rFonts w:ascii="Arial" w:hAnsi="Arial" w:cs="Arial"/>
                <w:sz w:val="22"/>
                <w:szCs w:val="22"/>
              </w:rPr>
            </w:pPr>
            <w:r w:rsidRPr="00F72760">
              <w:rPr>
                <w:rFonts w:ascii="Arial" w:hAnsi="Arial" w:cs="Arial"/>
                <w:sz w:val="22"/>
                <w:szCs w:val="22"/>
              </w:rPr>
              <w:sym w:font="WP TypographicSymbols" w:char="0027"/>
            </w:r>
            <w:r w:rsidRPr="00F72760">
              <w:rPr>
                <w:rFonts w:ascii="Arial" w:hAnsi="Arial" w:cs="Arial"/>
                <w:sz w:val="22"/>
                <w:szCs w:val="22"/>
              </w:rPr>
              <w:t>20.1003</w:t>
            </w:r>
          </w:p>
        </w:tc>
        <w:tc>
          <w:tcPr>
            <w:tcW w:w="162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r w:rsidRPr="00F72760">
              <w:rPr>
                <w:rFonts w:ascii="Arial" w:hAnsi="Arial" w:cs="Arial"/>
                <w:sz w:val="22"/>
                <w:szCs w:val="22"/>
              </w:rPr>
              <w:t>Definitions</w:t>
            </w:r>
          </w:p>
        </w:tc>
        <w:tc>
          <w:tcPr>
            <w:tcW w:w="1080" w:type="dxa"/>
          </w:tcPr>
          <w:p w:rsidR="00B327CC" w:rsidRPr="00F72760" w:rsidRDefault="00B327CC" w:rsidP="00F72760">
            <w:pPr>
              <w:rPr>
                <w:rFonts w:ascii="Arial" w:hAnsi="Arial" w:cs="Arial"/>
                <w:sz w:val="22"/>
                <w:szCs w:val="22"/>
              </w:rPr>
            </w:pPr>
          </w:p>
          <w:p w:rsidR="00B327CC" w:rsidRPr="00F72760" w:rsidRDefault="00B327CC" w:rsidP="00F72760">
            <w:pPr>
              <w:widowControl/>
              <w:jc w:val="center"/>
              <w:rPr>
                <w:rFonts w:ascii="Arial" w:hAnsi="Arial" w:cs="Arial"/>
                <w:sz w:val="22"/>
                <w:szCs w:val="22"/>
              </w:rPr>
            </w:pPr>
          </w:p>
        </w:tc>
        <w:tc>
          <w:tcPr>
            <w:tcW w:w="1710" w:type="dxa"/>
          </w:tcPr>
          <w:p w:rsidR="00B327CC" w:rsidRPr="00F72760" w:rsidRDefault="00B327CC" w:rsidP="00F72760">
            <w:pPr>
              <w:rPr>
                <w:rFonts w:ascii="Arial" w:hAnsi="Arial" w:cs="Arial"/>
                <w:sz w:val="22"/>
                <w:szCs w:val="22"/>
              </w:rPr>
            </w:pPr>
          </w:p>
          <w:p w:rsidR="00B327CC" w:rsidRPr="00F72760" w:rsidRDefault="00B327CC" w:rsidP="00F72760">
            <w:pPr>
              <w:widowControl/>
              <w:jc w:val="center"/>
              <w:rPr>
                <w:rFonts w:ascii="Arial" w:hAnsi="Arial" w:cs="Arial"/>
                <w:sz w:val="22"/>
                <w:szCs w:val="22"/>
              </w:rPr>
            </w:pPr>
            <w:r w:rsidRPr="00F72760">
              <w:rPr>
                <w:rFonts w:ascii="Arial" w:hAnsi="Arial" w:cs="Arial"/>
                <w:sz w:val="22"/>
                <w:szCs w:val="22"/>
              </w:rPr>
              <w:t>A</w:t>
            </w:r>
          </w:p>
        </w:tc>
        <w:tc>
          <w:tcPr>
            <w:tcW w:w="351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b/>
                <w:bCs/>
                <w:sz w:val="22"/>
                <w:szCs w:val="22"/>
              </w:rPr>
            </w:pPr>
            <w:r w:rsidRPr="00F72760">
              <w:rPr>
                <w:rFonts w:ascii="Arial" w:hAnsi="Arial" w:cs="Arial"/>
                <w:b/>
                <w:bCs/>
                <w:sz w:val="22"/>
                <w:szCs w:val="22"/>
              </w:rPr>
              <w:t>Amended Definition:</w:t>
            </w:r>
          </w:p>
          <w:p w:rsidR="00B327CC" w:rsidRPr="00F72760" w:rsidRDefault="00B327CC" w:rsidP="00F72760">
            <w:pPr>
              <w:widowControl/>
              <w:rPr>
                <w:rFonts w:ascii="Arial" w:hAnsi="Arial" w:cs="Arial"/>
                <w:sz w:val="22"/>
                <w:szCs w:val="22"/>
              </w:rPr>
            </w:pPr>
            <w:r w:rsidRPr="00F72760">
              <w:rPr>
                <w:rFonts w:ascii="Arial" w:hAnsi="Arial" w:cs="Arial"/>
                <w:sz w:val="22"/>
                <w:szCs w:val="22"/>
              </w:rPr>
              <w:t>High radiation area means an area, accessible to individuals, in which radiation levels from radiation sources external to the body could result in an individual receiving a dose equivalent in excess of 0.1 rem (1 mSv) in 1 hour at 30 centimeters from the radiation source or 30 centimeters from any surface that the radiation penetrates.</w:t>
            </w:r>
          </w:p>
        </w:tc>
        <w:tc>
          <w:tcPr>
            <w:tcW w:w="135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p>
        </w:tc>
        <w:tc>
          <w:tcPr>
            <w:tcW w:w="144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p>
        </w:tc>
        <w:tc>
          <w:tcPr>
            <w:tcW w:w="324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p>
        </w:tc>
      </w:tr>
      <w:tr w:rsidR="00B327CC" w:rsidTr="00F72760">
        <w:tblPrEx>
          <w:tblCellMar>
            <w:top w:w="0" w:type="dxa"/>
            <w:bottom w:w="0" w:type="dxa"/>
          </w:tblCellMar>
        </w:tblPrEx>
        <w:tc>
          <w:tcPr>
            <w:tcW w:w="1170" w:type="dxa"/>
          </w:tcPr>
          <w:p w:rsidR="00B327CC" w:rsidRPr="00F72760" w:rsidRDefault="00B327CC" w:rsidP="00F72760">
            <w:pPr>
              <w:rPr>
                <w:rFonts w:ascii="Arial" w:hAnsi="Arial" w:cs="Arial"/>
                <w:sz w:val="22"/>
                <w:szCs w:val="22"/>
              </w:rPr>
            </w:pPr>
          </w:p>
          <w:p w:rsidR="00B327CC" w:rsidRPr="00F72760" w:rsidRDefault="00B327CC" w:rsidP="00F72760">
            <w:pPr>
              <w:widowControl/>
              <w:jc w:val="center"/>
              <w:rPr>
                <w:rFonts w:ascii="Arial" w:hAnsi="Arial" w:cs="Arial"/>
                <w:sz w:val="22"/>
                <w:szCs w:val="22"/>
              </w:rPr>
            </w:pPr>
            <w:r w:rsidRPr="00F72760">
              <w:rPr>
                <w:rFonts w:ascii="Arial" w:hAnsi="Arial" w:cs="Arial"/>
                <w:sz w:val="22"/>
                <w:szCs w:val="22"/>
              </w:rPr>
              <w:sym w:font="WP TypographicSymbols" w:char="0027"/>
            </w:r>
            <w:r w:rsidRPr="00F72760">
              <w:rPr>
                <w:rFonts w:ascii="Arial" w:hAnsi="Arial" w:cs="Arial"/>
                <w:sz w:val="22"/>
                <w:szCs w:val="22"/>
              </w:rPr>
              <w:t>20.1003</w:t>
            </w:r>
          </w:p>
        </w:tc>
        <w:tc>
          <w:tcPr>
            <w:tcW w:w="162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r w:rsidRPr="00F72760">
              <w:rPr>
                <w:rFonts w:ascii="Arial" w:hAnsi="Arial" w:cs="Arial"/>
                <w:sz w:val="22"/>
                <w:szCs w:val="22"/>
              </w:rPr>
              <w:t>Definitions</w:t>
            </w:r>
          </w:p>
        </w:tc>
        <w:tc>
          <w:tcPr>
            <w:tcW w:w="1080" w:type="dxa"/>
          </w:tcPr>
          <w:p w:rsidR="00B327CC" w:rsidRPr="00F72760" w:rsidRDefault="00B327CC" w:rsidP="00F72760">
            <w:pPr>
              <w:rPr>
                <w:rFonts w:ascii="Arial" w:hAnsi="Arial" w:cs="Arial"/>
                <w:sz w:val="22"/>
                <w:szCs w:val="22"/>
              </w:rPr>
            </w:pPr>
          </w:p>
          <w:p w:rsidR="00B327CC" w:rsidRPr="00F72760" w:rsidRDefault="00B327CC" w:rsidP="00F72760">
            <w:pPr>
              <w:widowControl/>
              <w:jc w:val="center"/>
              <w:rPr>
                <w:rFonts w:ascii="Arial" w:hAnsi="Arial" w:cs="Arial"/>
                <w:sz w:val="22"/>
                <w:szCs w:val="22"/>
              </w:rPr>
            </w:pPr>
          </w:p>
        </w:tc>
        <w:tc>
          <w:tcPr>
            <w:tcW w:w="1710" w:type="dxa"/>
          </w:tcPr>
          <w:p w:rsidR="00B327CC" w:rsidRPr="00F72760" w:rsidRDefault="00B327CC" w:rsidP="00F72760">
            <w:pPr>
              <w:rPr>
                <w:rFonts w:ascii="Arial" w:hAnsi="Arial" w:cs="Arial"/>
                <w:sz w:val="22"/>
                <w:szCs w:val="22"/>
              </w:rPr>
            </w:pPr>
          </w:p>
          <w:p w:rsidR="00B327CC" w:rsidRPr="00F72760" w:rsidRDefault="00B327CC" w:rsidP="00F72760">
            <w:pPr>
              <w:widowControl/>
              <w:jc w:val="center"/>
              <w:rPr>
                <w:rFonts w:ascii="Arial" w:hAnsi="Arial" w:cs="Arial"/>
                <w:sz w:val="22"/>
                <w:szCs w:val="22"/>
              </w:rPr>
            </w:pPr>
            <w:r w:rsidRPr="00F72760">
              <w:rPr>
                <w:rFonts w:ascii="Arial" w:hAnsi="Arial" w:cs="Arial"/>
                <w:sz w:val="22"/>
                <w:szCs w:val="22"/>
              </w:rPr>
              <w:t>C</w:t>
            </w:r>
          </w:p>
        </w:tc>
        <w:tc>
          <w:tcPr>
            <w:tcW w:w="351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r w:rsidRPr="00F72760">
              <w:rPr>
                <w:rFonts w:ascii="Arial" w:hAnsi="Arial" w:cs="Arial"/>
                <w:b/>
                <w:bCs/>
                <w:sz w:val="22"/>
                <w:szCs w:val="22"/>
              </w:rPr>
              <w:t>Amended Definition:</w:t>
            </w:r>
          </w:p>
          <w:p w:rsidR="00B327CC" w:rsidRPr="00F72760" w:rsidRDefault="00B327CC" w:rsidP="00F72760">
            <w:pPr>
              <w:widowControl/>
              <w:rPr>
                <w:rFonts w:ascii="Arial" w:hAnsi="Arial" w:cs="Arial"/>
                <w:sz w:val="22"/>
                <w:szCs w:val="22"/>
              </w:rPr>
            </w:pPr>
            <w:r w:rsidRPr="00F72760">
              <w:rPr>
                <w:rFonts w:ascii="Arial" w:hAnsi="Arial" w:cs="Arial"/>
                <w:sz w:val="22"/>
                <w:szCs w:val="22"/>
              </w:rPr>
              <w:t xml:space="preserve">Individual monitoring devices (individual monitoring equipment) means devices designed to be worn by a single individual for the assessment of dose equivalent such as film badges, </w:t>
            </w:r>
            <w:r w:rsidRPr="00F72760">
              <w:rPr>
                <w:rFonts w:ascii="Arial" w:hAnsi="Arial" w:cs="Arial"/>
                <w:sz w:val="22"/>
                <w:szCs w:val="22"/>
              </w:rPr>
              <w:lastRenderedPageBreak/>
              <w:t>thermoluminescence dosimeters (TLDs), pocket ionization chambers, and personal (``lapel'') air sampling devices.</w:t>
            </w:r>
          </w:p>
        </w:tc>
        <w:tc>
          <w:tcPr>
            <w:tcW w:w="135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p>
        </w:tc>
        <w:tc>
          <w:tcPr>
            <w:tcW w:w="144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p>
        </w:tc>
        <w:tc>
          <w:tcPr>
            <w:tcW w:w="324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p>
        </w:tc>
      </w:tr>
      <w:tr w:rsidR="00B327CC" w:rsidTr="00F72760">
        <w:tblPrEx>
          <w:tblCellMar>
            <w:top w:w="0" w:type="dxa"/>
            <w:bottom w:w="0" w:type="dxa"/>
          </w:tblCellMar>
        </w:tblPrEx>
        <w:tc>
          <w:tcPr>
            <w:tcW w:w="1170" w:type="dxa"/>
          </w:tcPr>
          <w:p w:rsidR="00B327CC" w:rsidRPr="00F72760" w:rsidRDefault="00B327CC" w:rsidP="00F72760">
            <w:pPr>
              <w:rPr>
                <w:rFonts w:ascii="Arial" w:hAnsi="Arial" w:cs="Arial"/>
                <w:sz w:val="22"/>
                <w:szCs w:val="22"/>
              </w:rPr>
            </w:pPr>
          </w:p>
          <w:p w:rsidR="00B327CC" w:rsidRPr="00F72760" w:rsidRDefault="00B327CC" w:rsidP="00F72760">
            <w:pPr>
              <w:widowControl/>
              <w:jc w:val="center"/>
              <w:rPr>
                <w:rFonts w:ascii="Arial" w:hAnsi="Arial" w:cs="Arial"/>
                <w:sz w:val="22"/>
                <w:szCs w:val="22"/>
              </w:rPr>
            </w:pPr>
            <w:r w:rsidRPr="00F72760">
              <w:rPr>
                <w:rFonts w:ascii="Arial" w:hAnsi="Arial" w:cs="Arial"/>
                <w:sz w:val="22"/>
                <w:szCs w:val="22"/>
              </w:rPr>
              <w:sym w:font="WP TypographicSymbols" w:char="0027"/>
            </w:r>
            <w:r w:rsidRPr="00F72760">
              <w:rPr>
                <w:rFonts w:ascii="Arial" w:hAnsi="Arial" w:cs="Arial"/>
                <w:sz w:val="22"/>
                <w:szCs w:val="22"/>
              </w:rPr>
              <w:t>20.1003</w:t>
            </w:r>
          </w:p>
        </w:tc>
        <w:tc>
          <w:tcPr>
            <w:tcW w:w="162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r w:rsidRPr="00F72760">
              <w:rPr>
                <w:rFonts w:ascii="Arial" w:hAnsi="Arial" w:cs="Arial"/>
                <w:sz w:val="22"/>
                <w:szCs w:val="22"/>
              </w:rPr>
              <w:t>Definitions</w:t>
            </w:r>
          </w:p>
        </w:tc>
        <w:tc>
          <w:tcPr>
            <w:tcW w:w="1080" w:type="dxa"/>
          </w:tcPr>
          <w:p w:rsidR="00B327CC" w:rsidRPr="00F72760" w:rsidRDefault="00B327CC" w:rsidP="00F72760">
            <w:pPr>
              <w:rPr>
                <w:rFonts w:ascii="Arial" w:hAnsi="Arial" w:cs="Arial"/>
                <w:sz w:val="22"/>
                <w:szCs w:val="22"/>
              </w:rPr>
            </w:pPr>
          </w:p>
          <w:p w:rsidR="00B327CC" w:rsidRPr="00F72760" w:rsidRDefault="00B327CC" w:rsidP="00F72760">
            <w:pPr>
              <w:widowControl/>
              <w:jc w:val="center"/>
              <w:rPr>
                <w:rFonts w:ascii="Arial" w:hAnsi="Arial" w:cs="Arial"/>
                <w:sz w:val="22"/>
                <w:szCs w:val="22"/>
              </w:rPr>
            </w:pPr>
          </w:p>
        </w:tc>
        <w:tc>
          <w:tcPr>
            <w:tcW w:w="1710" w:type="dxa"/>
          </w:tcPr>
          <w:p w:rsidR="00B327CC" w:rsidRPr="00F72760" w:rsidRDefault="00B327CC" w:rsidP="00F72760">
            <w:pPr>
              <w:rPr>
                <w:rFonts w:ascii="Arial" w:hAnsi="Arial" w:cs="Arial"/>
                <w:sz w:val="22"/>
                <w:szCs w:val="22"/>
              </w:rPr>
            </w:pPr>
          </w:p>
          <w:p w:rsidR="00B327CC" w:rsidRPr="00F72760" w:rsidRDefault="00B327CC" w:rsidP="00F72760">
            <w:pPr>
              <w:widowControl/>
              <w:jc w:val="center"/>
              <w:rPr>
                <w:rFonts w:ascii="Arial" w:hAnsi="Arial" w:cs="Arial"/>
                <w:sz w:val="22"/>
                <w:szCs w:val="22"/>
              </w:rPr>
            </w:pPr>
            <w:r w:rsidRPr="00F72760">
              <w:rPr>
                <w:rFonts w:ascii="Arial" w:hAnsi="Arial" w:cs="Arial"/>
                <w:sz w:val="22"/>
                <w:szCs w:val="22"/>
              </w:rPr>
              <w:t>A</w:t>
            </w:r>
          </w:p>
        </w:tc>
        <w:tc>
          <w:tcPr>
            <w:tcW w:w="351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r w:rsidRPr="00F72760">
              <w:rPr>
                <w:rFonts w:ascii="Arial" w:hAnsi="Arial" w:cs="Arial"/>
                <w:b/>
                <w:bCs/>
                <w:sz w:val="22"/>
                <w:szCs w:val="22"/>
              </w:rPr>
              <w:t>Amended Definition:</w:t>
            </w:r>
          </w:p>
          <w:p w:rsidR="00B327CC" w:rsidRPr="00F72760" w:rsidRDefault="00B327CC" w:rsidP="00F72760">
            <w:pPr>
              <w:widowControl/>
              <w:rPr>
                <w:rFonts w:ascii="Arial" w:hAnsi="Arial" w:cs="Arial"/>
                <w:sz w:val="22"/>
                <w:szCs w:val="22"/>
              </w:rPr>
            </w:pPr>
            <w:r w:rsidRPr="00F72760">
              <w:rPr>
                <w:rFonts w:ascii="Arial" w:hAnsi="Arial" w:cs="Arial"/>
                <w:sz w:val="22"/>
                <w:szCs w:val="22"/>
              </w:rPr>
              <w:t>Lens dose equivalent (LDE) applies to the external exposure of the lens of the eye and is taken as the dose equivalent at a tissue depth of 0.3 centimeter (300 mg/cm</w:t>
            </w:r>
            <w:r w:rsidRPr="00F72760">
              <w:rPr>
                <w:rFonts w:ascii="Arial" w:hAnsi="Arial" w:cs="Arial"/>
                <w:sz w:val="22"/>
                <w:szCs w:val="22"/>
                <w:vertAlign w:val="superscript"/>
              </w:rPr>
              <w:t>2</w:t>
            </w:r>
            <w:r w:rsidRPr="00F72760">
              <w:rPr>
                <w:rFonts w:ascii="Arial" w:hAnsi="Arial" w:cs="Arial"/>
                <w:sz w:val="22"/>
                <w:szCs w:val="22"/>
              </w:rPr>
              <w:t>).</w:t>
            </w:r>
          </w:p>
        </w:tc>
        <w:tc>
          <w:tcPr>
            <w:tcW w:w="135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p>
        </w:tc>
        <w:tc>
          <w:tcPr>
            <w:tcW w:w="144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p>
        </w:tc>
        <w:tc>
          <w:tcPr>
            <w:tcW w:w="324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p>
        </w:tc>
      </w:tr>
      <w:tr w:rsidR="00B327CC" w:rsidTr="00F72760">
        <w:tblPrEx>
          <w:tblCellMar>
            <w:top w:w="0" w:type="dxa"/>
            <w:bottom w:w="0" w:type="dxa"/>
          </w:tblCellMar>
        </w:tblPrEx>
        <w:tc>
          <w:tcPr>
            <w:tcW w:w="1170" w:type="dxa"/>
          </w:tcPr>
          <w:p w:rsidR="00B327CC" w:rsidRPr="00F72760" w:rsidRDefault="00B327CC" w:rsidP="00F72760">
            <w:pPr>
              <w:rPr>
                <w:rFonts w:ascii="Arial" w:hAnsi="Arial" w:cs="Arial"/>
                <w:sz w:val="22"/>
                <w:szCs w:val="22"/>
              </w:rPr>
            </w:pPr>
          </w:p>
          <w:p w:rsidR="00B327CC" w:rsidRPr="00F72760" w:rsidRDefault="00B327CC" w:rsidP="00F72760">
            <w:pPr>
              <w:widowControl/>
              <w:jc w:val="center"/>
              <w:rPr>
                <w:rFonts w:ascii="Arial" w:hAnsi="Arial" w:cs="Arial"/>
                <w:sz w:val="22"/>
                <w:szCs w:val="22"/>
              </w:rPr>
            </w:pPr>
            <w:r w:rsidRPr="00F72760">
              <w:rPr>
                <w:rFonts w:ascii="Arial" w:hAnsi="Arial" w:cs="Arial"/>
                <w:sz w:val="22"/>
                <w:szCs w:val="22"/>
              </w:rPr>
              <w:sym w:font="WP TypographicSymbols" w:char="0027"/>
            </w:r>
            <w:r w:rsidRPr="00F72760">
              <w:rPr>
                <w:rFonts w:ascii="Arial" w:hAnsi="Arial" w:cs="Arial"/>
                <w:sz w:val="22"/>
                <w:szCs w:val="22"/>
              </w:rPr>
              <w:t>20.1003</w:t>
            </w:r>
          </w:p>
        </w:tc>
        <w:tc>
          <w:tcPr>
            <w:tcW w:w="162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r w:rsidRPr="00F72760">
              <w:rPr>
                <w:rFonts w:ascii="Arial" w:hAnsi="Arial" w:cs="Arial"/>
                <w:sz w:val="22"/>
                <w:szCs w:val="22"/>
              </w:rPr>
              <w:t>Definitions</w:t>
            </w:r>
          </w:p>
        </w:tc>
        <w:tc>
          <w:tcPr>
            <w:tcW w:w="1080" w:type="dxa"/>
          </w:tcPr>
          <w:p w:rsidR="00B327CC" w:rsidRPr="00F72760" w:rsidRDefault="00B327CC" w:rsidP="00F72760">
            <w:pPr>
              <w:rPr>
                <w:rFonts w:ascii="Arial" w:hAnsi="Arial" w:cs="Arial"/>
                <w:sz w:val="22"/>
                <w:szCs w:val="22"/>
              </w:rPr>
            </w:pPr>
          </w:p>
          <w:p w:rsidR="00B327CC" w:rsidRPr="00F72760" w:rsidRDefault="00B327CC" w:rsidP="00F72760">
            <w:pPr>
              <w:widowControl/>
              <w:jc w:val="center"/>
              <w:rPr>
                <w:rFonts w:ascii="Arial" w:hAnsi="Arial" w:cs="Arial"/>
                <w:sz w:val="22"/>
                <w:szCs w:val="22"/>
              </w:rPr>
            </w:pPr>
          </w:p>
        </w:tc>
        <w:tc>
          <w:tcPr>
            <w:tcW w:w="1710" w:type="dxa"/>
          </w:tcPr>
          <w:p w:rsidR="00B327CC" w:rsidRPr="00F72760" w:rsidRDefault="00B327CC" w:rsidP="00F72760">
            <w:pPr>
              <w:rPr>
                <w:rFonts w:ascii="Arial" w:hAnsi="Arial" w:cs="Arial"/>
                <w:sz w:val="22"/>
                <w:szCs w:val="22"/>
              </w:rPr>
            </w:pPr>
          </w:p>
          <w:p w:rsidR="00B327CC" w:rsidRPr="00F72760" w:rsidRDefault="00B327CC" w:rsidP="00F72760">
            <w:pPr>
              <w:widowControl/>
              <w:jc w:val="center"/>
              <w:rPr>
                <w:rFonts w:ascii="Arial" w:hAnsi="Arial" w:cs="Arial"/>
                <w:sz w:val="22"/>
                <w:szCs w:val="22"/>
              </w:rPr>
            </w:pPr>
            <w:r w:rsidRPr="00F72760">
              <w:rPr>
                <w:rFonts w:ascii="Arial" w:hAnsi="Arial" w:cs="Arial"/>
                <w:sz w:val="22"/>
                <w:szCs w:val="22"/>
              </w:rPr>
              <w:t>A</w:t>
            </w:r>
          </w:p>
        </w:tc>
        <w:tc>
          <w:tcPr>
            <w:tcW w:w="351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r w:rsidRPr="00F72760">
              <w:rPr>
                <w:rFonts w:ascii="Arial" w:hAnsi="Arial" w:cs="Arial"/>
                <w:b/>
                <w:bCs/>
                <w:sz w:val="22"/>
                <w:szCs w:val="22"/>
              </w:rPr>
              <w:t>Amended Definition:</w:t>
            </w:r>
          </w:p>
          <w:p w:rsidR="00B327CC" w:rsidRPr="00F72760" w:rsidRDefault="00B327CC" w:rsidP="00F72760">
            <w:pPr>
              <w:widowControl/>
              <w:rPr>
                <w:rFonts w:ascii="Arial" w:hAnsi="Arial" w:cs="Arial"/>
                <w:sz w:val="22"/>
                <w:szCs w:val="22"/>
              </w:rPr>
            </w:pPr>
            <w:r w:rsidRPr="00F72760">
              <w:rPr>
                <w:rFonts w:ascii="Arial" w:hAnsi="Arial" w:cs="Arial"/>
                <w:sz w:val="22"/>
                <w:szCs w:val="22"/>
              </w:rPr>
              <w:t>Very high radiation area means an area, accessible to individuals, in which radiation levels from radiation sources external to the body could result in an individual receiving an absorbed dose in excess of 500 rads (5 grays) in 1 hour at 1 meter from a radiation source or 1 meter from any surface that the radiation penetrates.</w:t>
            </w:r>
          </w:p>
        </w:tc>
        <w:tc>
          <w:tcPr>
            <w:tcW w:w="135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p>
        </w:tc>
        <w:tc>
          <w:tcPr>
            <w:tcW w:w="144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p>
        </w:tc>
        <w:tc>
          <w:tcPr>
            <w:tcW w:w="324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p>
        </w:tc>
      </w:tr>
      <w:tr w:rsidR="00B327CC" w:rsidTr="00F72760">
        <w:tblPrEx>
          <w:tblCellMar>
            <w:top w:w="0" w:type="dxa"/>
            <w:bottom w:w="0" w:type="dxa"/>
          </w:tblCellMar>
        </w:tblPrEx>
        <w:tc>
          <w:tcPr>
            <w:tcW w:w="1170" w:type="dxa"/>
          </w:tcPr>
          <w:p w:rsidR="00B327CC" w:rsidRPr="00F72760" w:rsidRDefault="00B327CC" w:rsidP="00F72760">
            <w:pPr>
              <w:rPr>
                <w:rFonts w:ascii="Arial" w:hAnsi="Arial" w:cs="Arial"/>
                <w:sz w:val="22"/>
                <w:szCs w:val="22"/>
              </w:rPr>
            </w:pPr>
          </w:p>
          <w:p w:rsidR="00B327CC" w:rsidRPr="00F72760" w:rsidRDefault="00B327CC" w:rsidP="00F72760">
            <w:pPr>
              <w:widowControl/>
              <w:jc w:val="center"/>
              <w:rPr>
                <w:rFonts w:ascii="Arial" w:hAnsi="Arial" w:cs="Arial"/>
                <w:sz w:val="22"/>
                <w:szCs w:val="22"/>
              </w:rPr>
            </w:pPr>
            <w:r w:rsidRPr="00F72760">
              <w:rPr>
                <w:rFonts w:ascii="Arial" w:hAnsi="Arial" w:cs="Arial"/>
                <w:sz w:val="22"/>
                <w:szCs w:val="22"/>
              </w:rPr>
              <w:sym w:font="WP TypographicSymbols" w:char="0027"/>
            </w:r>
            <w:r w:rsidRPr="00F72760">
              <w:rPr>
                <w:rFonts w:ascii="Arial" w:hAnsi="Arial" w:cs="Arial"/>
                <w:sz w:val="22"/>
                <w:szCs w:val="22"/>
              </w:rPr>
              <w:t>20.1101</w:t>
            </w:r>
          </w:p>
          <w:p w:rsidR="00B327CC" w:rsidRPr="00F72760" w:rsidRDefault="00B327CC" w:rsidP="00F72760">
            <w:pPr>
              <w:widowControl/>
              <w:jc w:val="center"/>
              <w:rPr>
                <w:rFonts w:ascii="Arial" w:hAnsi="Arial" w:cs="Arial"/>
                <w:sz w:val="22"/>
                <w:szCs w:val="22"/>
              </w:rPr>
            </w:pPr>
            <w:r w:rsidRPr="00F72760">
              <w:rPr>
                <w:rFonts w:ascii="Arial" w:hAnsi="Arial" w:cs="Arial"/>
                <w:sz w:val="22"/>
                <w:szCs w:val="22"/>
              </w:rPr>
              <w:t>(b)</w:t>
            </w:r>
          </w:p>
        </w:tc>
        <w:tc>
          <w:tcPr>
            <w:tcW w:w="162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r w:rsidRPr="00F72760">
              <w:rPr>
                <w:rFonts w:ascii="Arial" w:hAnsi="Arial" w:cs="Arial"/>
                <w:sz w:val="22"/>
                <w:szCs w:val="22"/>
              </w:rPr>
              <w:t>Radiation protection programs</w:t>
            </w:r>
          </w:p>
        </w:tc>
        <w:tc>
          <w:tcPr>
            <w:tcW w:w="1080" w:type="dxa"/>
          </w:tcPr>
          <w:p w:rsidR="00B327CC" w:rsidRPr="00F72760" w:rsidRDefault="00B327CC" w:rsidP="00F72760">
            <w:pPr>
              <w:rPr>
                <w:rFonts w:ascii="Arial" w:hAnsi="Arial" w:cs="Arial"/>
                <w:sz w:val="22"/>
                <w:szCs w:val="22"/>
              </w:rPr>
            </w:pPr>
          </w:p>
          <w:p w:rsidR="00B327CC" w:rsidRPr="00F72760" w:rsidRDefault="00B327CC" w:rsidP="00F72760">
            <w:pPr>
              <w:widowControl/>
              <w:jc w:val="center"/>
              <w:rPr>
                <w:rFonts w:ascii="Arial" w:hAnsi="Arial" w:cs="Arial"/>
                <w:sz w:val="22"/>
                <w:szCs w:val="22"/>
              </w:rPr>
            </w:pPr>
          </w:p>
        </w:tc>
        <w:tc>
          <w:tcPr>
            <w:tcW w:w="1710" w:type="dxa"/>
          </w:tcPr>
          <w:p w:rsidR="00B327CC" w:rsidRPr="00F72760" w:rsidRDefault="00B327CC" w:rsidP="00F72760">
            <w:pPr>
              <w:rPr>
                <w:rFonts w:ascii="Arial" w:hAnsi="Arial" w:cs="Arial"/>
                <w:sz w:val="22"/>
                <w:szCs w:val="22"/>
              </w:rPr>
            </w:pPr>
          </w:p>
          <w:p w:rsidR="00B327CC" w:rsidRPr="00F72760" w:rsidRDefault="00B327CC" w:rsidP="00F72760">
            <w:pPr>
              <w:widowControl/>
              <w:jc w:val="center"/>
              <w:rPr>
                <w:rFonts w:ascii="Arial" w:hAnsi="Arial" w:cs="Arial"/>
                <w:sz w:val="22"/>
                <w:szCs w:val="22"/>
              </w:rPr>
            </w:pPr>
            <w:r w:rsidRPr="00F72760">
              <w:rPr>
                <w:rFonts w:ascii="Arial" w:hAnsi="Arial" w:cs="Arial"/>
                <w:sz w:val="22"/>
                <w:szCs w:val="22"/>
              </w:rPr>
              <w:t>H&amp;S</w:t>
            </w:r>
          </w:p>
        </w:tc>
        <w:tc>
          <w:tcPr>
            <w:tcW w:w="351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r w:rsidRPr="00F72760">
              <w:rPr>
                <w:rFonts w:ascii="Arial" w:hAnsi="Arial" w:cs="Arial"/>
                <w:b/>
                <w:bCs/>
                <w:sz w:val="22"/>
                <w:szCs w:val="22"/>
              </w:rPr>
              <w:t>Revised Paragraph (b):</w:t>
            </w:r>
          </w:p>
          <w:p w:rsidR="00F72760" w:rsidRPr="00F72760" w:rsidRDefault="00B327CC" w:rsidP="00F72760">
            <w:pPr>
              <w:widowControl/>
              <w:rPr>
                <w:rFonts w:ascii="Arial" w:hAnsi="Arial" w:cs="Arial"/>
                <w:sz w:val="22"/>
                <w:szCs w:val="22"/>
              </w:rPr>
            </w:pPr>
            <w:r w:rsidRPr="00F72760">
              <w:rPr>
                <w:rFonts w:ascii="Arial" w:hAnsi="Arial" w:cs="Arial"/>
                <w:sz w:val="22"/>
                <w:szCs w:val="22"/>
              </w:rPr>
              <w:t>(b) The licensee shall use, to the extent practical, procedures and engineering controls based upon sound radiation protection principles to achieve occupational doses and doses to members of the public that are as low as is reasonably achievable (ALARA).</w:t>
            </w:r>
          </w:p>
        </w:tc>
        <w:tc>
          <w:tcPr>
            <w:tcW w:w="135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p>
        </w:tc>
        <w:tc>
          <w:tcPr>
            <w:tcW w:w="144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p>
        </w:tc>
        <w:tc>
          <w:tcPr>
            <w:tcW w:w="324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p>
        </w:tc>
      </w:tr>
      <w:tr w:rsidR="00B327CC" w:rsidTr="00F72760">
        <w:tblPrEx>
          <w:tblCellMar>
            <w:top w:w="0" w:type="dxa"/>
            <w:bottom w:w="0" w:type="dxa"/>
          </w:tblCellMar>
        </w:tblPrEx>
        <w:tc>
          <w:tcPr>
            <w:tcW w:w="1170" w:type="dxa"/>
          </w:tcPr>
          <w:p w:rsidR="00B327CC" w:rsidRPr="00F72760" w:rsidRDefault="00B327CC" w:rsidP="00F72760">
            <w:pPr>
              <w:rPr>
                <w:rFonts w:ascii="Arial" w:hAnsi="Arial" w:cs="Arial"/>
                <w:sz w:val="22"/>
                <w:szCs w:val="22"/>
              </w:rPr>
            </w:pPr>
          </w:p>
          <w:p w:rsidR="00B327CC" w:rsidRPr="00F72760" w:rsidRDefault="00B327CC" w:rsidP="00F72760">
            <w:pPr>
              <w:widowControl/>
              <w:jc w:val="center"/>
              <w:rPr>
                <w:rFonts w:ascii="Arial" w:hAnsi="Arial" w:cs="Arial"/>
                <w:sz w:val="22"/>
                <w:szCs w:val="22"/>
              </w:rPr>
            </w:pPr>
            <w:r w:rsidRPr="00F72760">
              <w:rPr>
                <w:rFonts w:ascii="Arial" w:hAnsi="Arial" w:cs="Arial"/>
                <w:sz w:val="22"/>
                <w:szCs w:val="22"/>
              </w:rPr>
              <w:lastRenderedPageBreak/>
              <w:sym w:font="WP TypographicSymbols" w:char="0027"/>
            </w:r>
            <w:r w:rsidRPr="00F72760">
              <w:rPr>
                <w:rFonts w:ascii="Arial" w:hAnsi="Arial" w:cs="Arial"/>
                <w:sz w:val="22"/>
                <w:szCs w:val="22"/>
              </w:rPr>
              <w:t>20.1201</w:t>
            </w:r>
          </w:p>
        </w:tc>
        <w:tc>
          <w:tcPr>
            <w:tcW w:w="162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r w:rsidRPr="00F72760">
              <w:rPr>
                <w:rFonts w:ascii="Arial" w:hAnsi="Arial" w:cs="Arial"/>
                <w:sz w:val="22"/>
                <w:szCs w:val="22"/>
              </w:rPr>
              <w:lastRenderedPageBreak/>
              <w:t>Occupational dose limits for adults</w:t>
            </w:r>
          </w:p>
        </w:tc>
        <w:tc>
          <w:tcPr>
            <w:tcW w:w="1080" w:type="dxa"/>
          </w:tcPr>
          <w:p w:rsidR="00B327CC" w:rsidRPr="00F72760" w:rsidRDefault="00B327CC" w:rsidP="00F72760">
            <w:pPr>
              <w:rPr>
                <w:rFonts w:ascii="Arial" w:hAnsi="Arial" w:cs="Arial"/>
                <w:sz w:val="22"/>
                <w:szCs w:val="22"/>
              </w:rPr>
            </w:pPr>
          </w:p>
          <w:p w:rsidR="00B327CC" w:rsidRPr="00F72760" w:rsidRDefault="00B327CC" w:rsidP="00F72760">
            <w:pPr>
              <w:widowControl/>
              <w:jc w:val="center"/>
              <w:rPr>
                <w:rFonts w:ascii="Arial" w:hAnsi="Arial" w:cs="Arial"/>
                <w:sz w:val="22"/>
                <w:szCs w:val="22"/>
              </w:rPr>
            </w:pPr>
          </w:p>
        </w:tc>
        <w:tc>
          <w:tcPr>
            <w:tcW w:w="1710" w:type="dxa"/>
          </w:tcPr>
          <w:p w:rsidR="00B327CC" w:rsidRPr="00F72760" w:rsidRDefault="00B327CC" w:rsidP="00F72760">
            <w:pPr>
              <w:rPr>
                <w:rFonts w:ascii="Arial" w:hAnsi="Arial" w:cs="Arial"/>
                <w:sz w:val="22"/>
                <w:szCs w:val="22"/>
              </w:rPr>
            </w:pPr>
          </w:p>
          <w:p w:rsidR="00B327CC" w:rsidRPr="00F72760" w:rsidRDefault="00B327CC" w:rsidP="00F72760">
            <w:pPr>
              <w:widowControl/>
              <w:jc w:val="center"/>
              <w:rPr>
                <w:rFonts w:ascii="Arial" w:hAnsi="Arial" w:cs="Arial"/>
                <w:sz w:val="22"/>
                <w:szCs w:val="22"/>
              </w:rPr>
            </w:pPr>
            <w:r w:rsidRPr="00F72760">
              <w:rPr>
                <w:rFonts w:ascii="Arial" w:hAnsi="Arial" w:cs="Arial"/>
                <w:sz w:val="22"/>
                <w:szCs w:val="22"/>
              </w:rPr>
              <w:lastRenderedPageBreak/>
              <w:t>A</w:t>
            </w:r>
          </w:p>
        </w:tc>
        <w:tc>
          <w:tcPr>
            <w:tcW w:w="351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r w:rsidRPr="00F72760">
              <w:rPr>
                <w:rFonts w:ascii="Arial" w:hAnsi="Arial" w:cs="Arial"/>
                <w:b/>
                <w:bCs/>
                <w:sz w:val="22"/>
                <w:szCs w:val="22"/>
              </w:rPr>
              <w:lastRenderedPageBreak/>
              <w:t>Revised Paragraphs (a)(2) and (c):</w:t>
            </w:r>
          </w:p>
          <w:p w:rsidR="00B327CC" w:rsidRPr="00F72760" w:rsidRDefault="00B327CC" w:rsidP="00F72760">
            <w:pPr>
              <w:widowControl/>
              <w:rPr>
                <w:rFonts w:ascii="Arial" w:hAnsi="Arial" w:cs="Arial"/>
                <w:sz w:val="22"/>
                <w:szCs w:val="22"/>
              </w:rPr>
            </w:pPr>
            <w:r w:rsidRPr="00F72760">
              <w:rPr>
                <w:rFonts w:ascii="Arial" w:hAnsi="Arial" w:cs="Arial"/>
                <w:sz w:val="22"/>
                <w:szCs w:val="22"/>
              </w:rPr>
              <w:t>(a)(2)(i) A lens dose equivalent of 15 rems (0.15 Sv), and</w:t>
            </w:r>
          </w:p>
          <w:p w:rsidR="00B327CC" w:rsidRPr="00F72760" w:rsidRDefault="00B327CC" w:rsidP="00F72760">
            <w:pPr>
              <w:widowControl/>
              <w:rPr>
                <w:rFonts w:ascii="Arial" w:hAnsi="Arial" w:cs="Arial"/>
                <w:sz w:val="22"/>
                <w:szCs w:val="22"/>
              </w:rPr>
            </w:pPr>
          </w:p>
          <w:p w:rsidR="00B327CC" w:rsidRPr="00F72760" w:rsidRDefault="00B327CC" w:rsidP="00F72760">
            <w:pPr>
              <w:widowControl/>
              <w:rPr>
                <w:rFonts w:ascii="Arial" w:hAnsi="Arial" w:cs="Arial"/>
                <w:sz w:val="22"/>
                <w:szCs w:val="22"/>
              </w:rPr>
            </w:pPr>
            <w:r w:rsidRPr="00F72760">
              <w:rPr>
                <w:rFonts w:ascii="Arial" w:hAnsi="Arial" w:cs="Arial"/>
                <w:sz w:val="22"/>
                <w:szCs w:val="22"/>
              </w:rPr>
              <w:t>(c) The assigned deep</w:t>
            </w:r>
            <w:r w:rsidRPr="00F72760">
              <w:rPr>
                <w:rFonts w:ascii="Arial" w:hAnsi="Arial" w:cs="Arial"/>
                <w:sz w:val="22"/>
                <w:szCs w:val="22"/>
              </w:rPr>
              <w:noBreakHyphen/>
              <w:t>dose equivalent and shallow</w:t>
            </w:r>
            <w:r w:rsidRPr="00F72760">
              <w:rPr>
                <w:rFonts w:ascii="Arial" w:hAnsi="Arial" w:cs="Arial"/>
                <w:sz w:val="22"/>
                <w:szCs w:val="22"/>
              </w:rPr>
              <w:noBreakHyphen/>
              <w:t>dose equivalent must be for the part of the body receiving the highest exposure. The deep</w:t>
            </w:r>
            <w:r w:rsidRPr="00F72760">
              <w:rPr>
                <w:rFonts w:ascii="Arial" w:hAnsi="Arial" w:cs="Arial"/>
                <w:sz w:val="22"/>
                <w:szCs w:val="22"/>
              </w:rPr>
              <w:noBreakHyphen/>
              <w:t>dose equivalent, lens dose equivalent, and shallow</w:t>
            </w:r>
            <w:r w:rsidRPr="00F72760">
              <w:rPr>
                <w:rFonts w:ascii="Arial" w:hAnsi="Arial" w:cs="Arial"/>
                <w:sz w:val="22"/>
                <w:szCs w:val="22"/>
              </w:rPr>
              <w:noBreakHyphen/>
              <w:t>dose equivalent may be assessed from surveys or other radiation measurements for the purpose of demonstrating compliance with the occupational dose limits, if the individual monitoring device was not in the region of highest potential exposure, or the results of individual monitoring are unavailable.</w:t>
            </w:r>
          </w:p>
        </w:tc>
        <w:tc>
          <w:tcPr>
            <w:tcW w:w="135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p>
        </w:tc>
        <w:tc>
          <w:tcPr>
            <w:tcW w:w="144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p>
        </w:tc>
        <w:tc>
          <w:tcPr>
            <w:tcW w:w="324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p>
        </w:tc>
      </w:tr>
      <w:tr w:rsidR="00B327CC" w:rsidTr="00F72760">
        <w:tblPrEx>
          <w:tblCellMar>
            <w:top w:w="0" w:type="dxa"/>
            <w:bottom w:w="0" w:type="dxa"/>
          </w:tblCellMar>
        </w:tblPrEx>
        <w:tc>
          <w:tcPr>
            <w:tcW w:w="1170" w:type="dxa"/>
          </w:tcPr>
          <w:p w:rsidR="00B327CC" w:rsidRPr="00F72760" w:rsidRDefault="00B327CC" w:rsidP="00F72760">
            <w:pPr>
              <w:rPr>
                <w:rFonts w:ascii="Arial" w:hAnsi="Arial" w:cs="Arial"/>
                <w:sz w:val="22"/>
                <w:szCs w:val="22"/>
              </w:rPr>
            </w:pPr>
          </w:p>
          <w:p w:rsidR="00B327CC" w:rsidRPr="00F72760" w:rsidRDefault="00B327CC" w:rsidP="00F72760">
            <w:pPr>
              <w:widowControl/>
              <w:jc w:val="center"/>
              <w:rPr>
                <w:rFonts w:ascii="Arial" w:hAnsi="Arial" w:cs="Arial"/>
                <w:sz w:val="22"/>
                <w:szCs w:val="22"/>
              </w:rPr>
            </w:pPr>
            <w:r w:rsidRPr="00F72760">
              <w:rPr>
                <w:rFonts w:ascii="Arial" w:hAnsi="Arial" w:cs="Arial"/>
                <w:sz w:val="22"/>
                <w:szCs w:val="22"/>
              </w:rPr>
              <w:sym w:font="WP TypographicSymbols" w:char="0027"/>
            </w:r>
            <w:r w:rsidRPr="00F72760">
              <w:rPr>
                <w:rFonts w:ascii="Arial" w:hAnsi="Arial" w:cs="Arial"/>
                <w:sz w:val="22"/>
                <w:szCs w:val="22"/>
              </w:rPr>
              <w:t>20.1203</w:t>
            </w:r>
          </w:p>
          <w:p w:rsidR="00B327CC" w:rsidRPr="00F72760" w:rsidRDefault="00B327CC" w:rsidP="00F72760">
            <w:pPr>
              <w:widowControl/>
              <w:jc w:val="center"/>
              <w:rPr>
                <w:rFonts w:ascii="Arial" w:hAnsi="Arial" w:cs="Arial"/>
                <w:sz w:val="22"/>
                <w:szCs w:val="22"/>
              </w:rPr>
            </w:pPr>
          </w:p>
          <w:p w:rsidR="00B327CC" w:rsidRPr="00F72760" w:rsidRDefault="00B327CC" w:rsidP="00F72760">
            <w:pPr>
              <w:widowControl/>
              <w:jc w:val="center"/>
              <w:rPr>
                <w:rFonts w:ascii="Arial" w:hAnsi="Arial" w:cs="Arial"/>
                <w:sz w:val="22"/>
                <w:szCs w:val="22"/>
              </w:rPr>
            </w:pPr>
          </w:p>
        </w:tc>
        <w:tc>
          <w:tcPr>
            <w:tcW w:w="162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r w:rsidRPr="00F72760">
              <w:rPr>
                <w:rFonts w:ascii="Arial" w:hAnsi="Arial" w:cs="Arial"/>
                <w:sz w:val="22"/>
                <w:szCs w:val="22"/>
              </w:rPr>
              <w:t xml:space="preserve">Determination of external dose from airborne radioactive </w:t>
            </w:r>
          </w:p>
          <w:p w:rsidR="00B327CC" w:rsidRPr="00F72760" w:rsidRDefault="00B327CC" w:rsidP="00F72760">
            <w:pPr>
              <w:widowControl/>
              <w:rPr>
                <w:rFonts w:ascii="Arial" w:hAnsi="Arial" w:cs="Arial"/>
                <w:sz w:val="22"/>
                <w:szCs w:val="22"/>
              </w:rPr>
            </w:pPr>
            <w:r w:rsidRPr="00F72760">
              <w:rPr>
                <w:rFonts w:ascii="Arial" w:hAnsi="Arial" w:cs="Arial"/>
                <w:sz w:val="22"/>
                <w:szCs w:val="22"/>
              </w:rPr>
              <w:t>material</w:t>
            </w:r>
          </w:p>
        </w:tc>
        <w:tc>
          <w:tcPr>
            <w:tcW w:w="1080" w:type="dxa"/>
          </w:tcPr>
          <w:p w:rsidR="00B327CC" w:rsidRPr="00F72760" w:rsidRDefault="00B327CC" w:rsidP="00F72760">
            <w:pPr>
              <w:rPr>
                <w:rFonts w:ascii="Arial" w:hAnsi="Arial" w:cs="Arial"/>
                <w:sz w:val="22"/>
                <w:szCs w:val="22"/>
              </w:rPr>
            </w:pPr>
          </w:p>
          <w:p w:rsidR="00B327CC" w:rsidRPr="00F72760" w:rsidRDefault="00B327CC" w:rsidP="00F72760">
            <w:pPr>
              <w:widowControl/>
              <w:jc w:val="center"/>
              <w:rPr>
                <w:rFonts w:ascii="Arial" w:hAnsi="Arial" w:cs="Arial"/>
                <w:sz w:val="22"/>
                <w:szCs w:val="22"/>
              </w:rPr>
            </w:pPr>
          </w:p>
        </w:tc>
        <w:tc>
          <w:tcPr>
            <w:tcW w:w="1710" w:type="dxa"/>
          </w:tcPr>
          <w:p w:rsidR="00B327CC" w:rsidRPr="00F72760" w:rsidRDefault="00B327CC" w:rsidP="00F72760">
            <w:pPr>
              <w:rPr>
                <w:rFonts w:ascii="Arial" w:hAnsi="Arial" w:cs="Arial"/>
                <w:sz w:val="22"/>
                <w:szCs w:val="22"/>
              </w:rPr>
            </w:pPr>
          </w:p>
          <w:p w:rsidR="00B327CC" w:rsidRPr="00F72760" w:rsidRDefault="00B327CC" w:rsidP="00F72760">
            <w:pPr>
              <w:widowControl/>
              <w:jc w:val="center"/>
              <w:rPr>
                <w:rFonts w:ascii="Arial" w:hAnsi="Arial" w:cs="Arial"/>
                <w:sz w:val="22"/>
                <w:szCs w:val="22"/>
              </w:rPr>
            </w:pPr>
            <w:r w:rsidRPr="00F72760">
              <w:rPr>
                <w:rFonts w:ascii="Arial" w:hAnsi="Arial" w:cs="Arial"/>
                <w:sz w:val="22"/>
                <w:szCs w:val="22"/>
              </w:rPr>
              <w:t>A</w:t>
            </w:r>
          </w:p>
        </w:tc>
        <w:tc>
          <w:tcPr>
            <w:tcW w:w="351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r w:rsidRPr="00F72760">
              <w:rPr>
                <w:rFonts w:ascii="Arial" w:hAnsi="Arial" w:cs="Arial"/>
                <w:b/>
                <w:bCs/>
                <w:sz w:val="22"/>
                <w:szCs w:val="22"/>
              </w:rPr>
              <w:t>Revised Introductory Text:</w:t>
            </w:r>
          </w:p>
          <w:p w:rsidR="00F72760" w:rsidRPr="00F72760" w:rsidRDefault="00B327CC" w:rsidP="00F72760">
            <w:pPr>
              <w:widowControl/>
              <w:rPr>
                <w:rFonts w:ascii="Arial" w:hAnsi="Arial" w:cs="Arial"/>
                <w:sz w:val="22"/>
                <w:szCs w:val="22"/>
              </w:rPr>
            </w:pPr>
            <w:r w:rsidRPr="00F72760">
              <w:rPr>
                <w:rFonts w:ascii="Arial" w:hAnsi="Arial" w:cs="Arial"/>
                <w:sz w:val="22"/>
                <w:szCs w:val="22"/>
              </w:rPr>
              <w:t>Licensees shall, when determining the dose from airborne radioactive material, include the contribution to the deep</w:t>
            </w:r>
            <w:r w:rsidRPr="00F72760">
              <w:rPr>
                <w:rFonts w:ascii="Arial" w:hAnsi="Arial" w:cs="Arial"/>
                <w:sz w:val="22"/>
                <w:szCs w:val="22"/>
              </w:rPr>
              <w:noBreakHyphen/>
              <w:t>dose equivalent, lens dose equivalent, and shallow</w:t>
            </w:r>
            <w:r w:rsidRPr="00F72760">
              <w:rPr>
                <w:rFonts w:ascii="Arial" w:hAnsi="Arial" w:cs="Arial"/>
                <w:sz w:val="22"/>
                <w:szCs w:val="22"/>
              </w:rPr>
              <w:noBreakHyphen/>
              <w:t>dose equivalent from external exposure to the radioactive cloud (see appendix B to part 20, footnotes 1 and 2).</w:t>
            </w:r>
          </w:p>
        </w:tc>
        <w:tc>
          <w:tcPr>
            <w:tcW w:w="135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p>
        </w:tc>
        <w:tc>
          <w:tcPr>
            <w:tcW w:w="144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p>
        </w:tc>
        <w:tc>
          <w:tcPr>
            <w:tcW w:w="324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p>
        </w:tc>
      </w:tr>
      <w:tr w:rsidR="00B327CC" w:rsidTr="00F72760">
        <w:tblPrEx>
          <w:tblCellMar>
            <w:top w:w="0" w:type="dxa"/>
            <w:bottom w:w="0" w:type="dxa"/>
          </w:tblCellMar>
        </w:tblPrEx>
        <w:tc>
          <w:tcPr>
            <w:tcW w:w="1170" w:type="dxa"/>
          </w:tcPr>
          <w:p w:rsidR="00B327CC" w:rsidRPr="00F72760" w:rsidRDefault="00B327CC" w:rsidP="00F72760">
            <w:pPr>
              <w:rPr>
                <w:rFonts w:ascii="Arial" w:hAnsi="Arial" w:cs="Arial"/>
                <w:sz w:val="22"/>
                <w:szCs w:val="22"/>
              </w:rPr>
            </w:pPr>
          </w:p>
          <w:p w:rsidR="00B327CC" w:rsidRPr="00F72760" w:rsidRDefault="00B327CC" w:rsidP="00F72760">
            <w:pPr>
              <w:widowControl/>
              <w:jc w:val="center"/>
              <w:rPr>
                <w:rFonts w:ascii="Arial" w:hAnsi="Arial" w:cs="Arial"/>
                <w:sz w:val="22"/>
                <w:szCs w:val="22"/>
              </w:rPr>
            </w:pPr>
            <w:r w:rsidRPr="00F72760">
              <w:rPr>
                <w:rFonts w:ascii="Arial" w:hAnsi="Arial" w:cs="Arial"/>
                <w:sz w:val="22"/>
                <w:szCs w:val="22"/>
              </w:rPr>
              <w:sym w:font="WP TypographicSymbols" w:char="0027"/>
            </w:r>
            <w:r w:rsidRPr="00F72760">
              <w:rPr>
                <w:rFonts w:ascii="Arial" w:hAnsi="Arial" w:cs="Arial"/>
                <w:sz w:val="22"/>
                <w:szCs w:val="22"/>
              </w:rPr>
              <w:t>20.1206</w:t>
            </w:r>
          </w:p>
          <w:p w:rsidR="00B327CC" w:rsidRPr="00F72760" w:rsidRDefault="00B327CC" w:rsidP="00F72760">
            <w:pPr>
              <w:widowControl/>
              <w:jc w:val="center"/>
              <w:rPr>
                <w:rFonts w:ascii="Arial" w:hAnsi="Arial" w:cs="Arial"/>
                <w:sz w:val="22"/>
                <w:szCs w:val="22"/>
              </w:rPr>
            </w:pPr>
          </w:p>
          <w:p w:rsidR="00B327CC" w:rsidRPr="00F72760" w:rsidRDefault="00B327CC" w:rsidP="00F72760">
            <w:pPr>
              <w:widowControl/>
              <w:rPr>
                <w:rFonts w:ascii="Arial" w:hAnsi="Arial" w:cs="Arial"/>
                <w:sz w:val="22"/>
                <w:szCs w:val="22"/>
              </w:rPr>
            </w:pPr>
          </w:p>
        </w:tc>
        <w:tc>
          <w:tcPr>
            <w:tcW w:w="162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r w:rsidRPr="00F72760">
              <w:rPr>
                <w:rFonts w:ascii="Arial" w:hAnsi="Arial" w:cs="Arial"/>
                <w:sz w:val="22"/>
                <w:szCs w:val="22"/>
              </w:rPr>
              <w:t xml:space="preserve">Planned special </w:t>
            </w:r>
            <w:r w:rsidRPr="00F72760">
              <w:rPr>
                <w:rFonts w:ascii="Arial" w:hAnsi="Arial" w:cs="Arial"/>
                <w:sz w:val="22"/>
                <w:szCs w:val="22"/>
              </w:rPr>
              <w:lastRenderedPageBreak/>
              <w:t>exposures</w:t>
            </w:r>
          </w:p>
        </w:tc>
        <w:tc>
          <w:tcPr>
            <w:tcW w:w="1080" w:type="dxa"/>
          </w:tcPr>
          <w:p w:rsidR="00B327CC" w:rsidRPr="00F72760" w:rsidRDefault="00B327CC" w:rsidP="00F72760">
            <w:pPr>
              <w:rPr>
                <w:rFonts w:ascii="Arial" w:hAnsi="Arial" w:cs="Arial"/>
                <w:sz w:val="22"/>
                <w:szCs w:val="22"/>
              </w:rPr>
            </w:pPr>
          </w:p>
          <w:p w:rsidR="00B327CC" w:rsidRPr="00F72760" w:rsidRDefault="00B327CC" w:rsidP="00F72760">
            <w:pPr>
              <w:widowControl/>
              <w:jc w:val="center"/>
              <w:rPr>
                <w:rFonts w:ascii="Arial" w:hAnsi="Arial" w:cs="Arial"/>
                <w:sz w:val="22"/>
                <w:szCs w:val="22"/>
              </w:rPr>
            </w:pPr>
          </w:p>
        </w:tc>
        <w:tc>
          <w:tcPr>
            <w:tcW w:w="1710" w:type="dxa"/>
          </w:tcPr>
          <w:p w:rsidR="00B327CC" w:rsidRPr="00F72760" w:rsidRDefault="00B327CC" w:rsidP="00F72760">
            <w:pPr>
              <w:rPr>
                <w:rFonts w:ascii="Arial" w:hAnsi="Arial" w:cs="Arial"/>
                <w:sz w:val="22"/>
                <w:szCs w:val="22"/>
              </w:rPr>
            </w:pPr>
          </w:p>
          <w:p w:rsidR="00B327CC" w:rsidRPr="00F72760" w:rsidRDefault="00B327CC" w:rsidP="00F72760">
            <w:pPr>
              <w:widowControl/>
              <w:jc w:val="center"/>
              <w:rPr>
                <w:rFonts w:ascii="Arial" w:hAnsi="Arial" w:cs="Arial"/>
                <w:sz w:val="22"/>
                <w:szCs w:val="22"/>
              </w:rPr>
            </w:pPr>
            <w:r w:rsidRPr="00F72760">
              <w:rPr>
                <w:rFonts w:ascii="Arial" w:hAnsi="Arial" w:cs="Arial"/>
                <w:sz w:val="22"/>
                <w:szCs w:val="22"/>
              </w:rPr>
              <w:t>D</w:t>
            </w:r>
          </w:p>
        </w:tc>
        <w:tc>
          <w:tcPr>
            <w:tcW w:w="3510" w:type="dxa"/>
          </w:tcPr>
          <w:p w:rsidR="00B327CC" w:rsidRPr="00F72760" w:rsidRDefault="00B327CC" w:rsidP="00F72760">
            <w:pPr>
              <w:rPr>
                <w:rFonts w:ascii="Arial" w:hAnsi="Arial" w:cs="Arial"/>
                <w:sz w:val="22"/>
                <w:szCs w:val="22"/>
              </w:rPr>
            </w:pPr>
          </w:p>
          <w:p w:rsidR="00B327CC" w:rsidRPr="00F72760" w:rsidRDefault="00F72760" w:rsidP="00F72760">
            <w:pPr>
              <w:widowControl/>
              <w:rPr>
                <w:rFonts w:ascii="Arial" w:hAnsi="Arial" w:cs="Arial"/>
                <w:sz w:val="22"/>
                <w:szCs w:val="22"/>
              </w:rPr>
            </w:pPr>
            <w:r>
              <w:rPr>
                <w:rFonts w:ascii="Arial" w:hAnsi="Arial" w:cs="Arial"/>
                <w:bCs/>
                <w:sz w:val="22"/>
                <w:szCs w:val="22"/>
              </w:rPr>
              <w:t>N/A</w:t>
            </w:r>
          </w:p>
        </w:tc>
        <w:tc>
          <w:tcPr>
            <w:tcW w:w="135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r w:rsidRPr="00F72760">
              <w:rPr>
                <w:rFonts w:ascii="Arial" w:hAnsi="Arial" w:cs="Arial"/>
                <w:sz w:val="22"/>
                <w:szCs w:val="22"/>
              </w:rPr>
              <w:t>N/A</w:t>
            </w:r>
          </w:p>
        </w:tc>
        <w:tc>
          <w:tcPr>
            <w:tcW w:w="144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p>
        </w:tc>
        <w:tc>
          <w:tcPr>
            <w:tcW w:w="324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p>
        </w:tc>
      </w:tr>
      <w:tr w:rsidR="00B327CC" w:rsidTr="00F72760">
        <w:tblPrEx>
          <w:tblCellMar>
            <w:top w:w="0" w:type="dxa"/>
            <w:bottom w:w="0" w:type="dxa"/>
          </w:tblCellMar>
        </w:tblPrEx>
        <w:tc>
          <w:tcPr>
            <w:tcW w:w="1170" w:type="dxa"/>
          </w:tcPr>
          <w:p w:rsidR="00B327CC" w:rsidRPr="00F72760" w:rsidRDefault="00B327CC" w:rsidP="00F72760">
            <w:pPr>
              <w:rPr>
                <w:rFonts w:ascii="Arial" w:hAnsi="Arial" w:cs="Arial"/>
                <w:sz w:val="22"/>
                <w:szCs w:val="22"/>
              </w:rPr>
            </w:pPr>
          </w:p>
          <w:p w:rsidR="00B327CC" w:rsidRPr="00F72760" w:rsidRDefault="00B327CC" w:rsidP="00F72760">
            <w:pPr>
              <w:widowControl/>
              <w:jc w:val="center"/>
              <w:rPr>
                <w:rFonts w:ascii="Arial" w:hAnsi="Arial" w:cs="Arial"/>
                <w:sz w:val="22"/>
                <w:szCs w:val="22"/>
              </w:rPr>
            </w:pPr>
            <w:r w:rsidRPr="00F72760">
              <w:rPr>
                <w:rFonts w:ascii="Arial" w:hAnsi="Arial" w:cs="Arial"/>
                <w:sz w:val="22"/>
                <w:szCs w:val="22"/>
              </w:rPr>
              <w:sym w:font="WP TypographicSymbols" w:char="0027"/>
            </w:r>
            <w:r w:rsidRPr="00F72760">
              <w:rPr>
                <w:rFonts w:ascii="Arial" w:hAnsi="Arial" w:cs="Arial"/>
                <w:sz w:val="22"/>
                <w:szCs w:val="22"/>
              </w:rPr>
              <w:t>20.1208</w:t>
            </w:r>
          </w:p>
        </w:tc>
        <w:tc>
          <w:tcPr>
            <w:tcW w:w="162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r w:rsidRPr="00F72760">
              <w:rPr>
                <w:rFonts w:ascii="Arial" w:hAnsi="Arial" w:cs="Arial"/>
                <w:sz w:val="22"/>
                <w:szCs w:val="22"/>
              </w:rPr>
              <w:t>Dose equivalent to an embryo/fetus</w:t>
            </w:r>
          </w:p>
        </w:tc>
        <w:tc>
          <w:tcPr>
            <w:tcW w:w="1080" w:type="dxa"/>
          </w:tcPr>
          <w:p w:rsidR="00B327CC" w:rsidRPr="00F72760" w:rsidRDefault="00B327CC" w:rsidP="00F72760">
            <w:pPr>
              <w:rPr>
                <w:rFonts w:ascii="Arial" w:hAnsi="Arial" w:cs="Arial"/>
                <w:sz w:val="22"/>
                <w:szCs w:val="22"/>
              </w:rPr>
            </w:pPr>
          </w:p>
          <w:p w:rsidR="00B327CC" w:rsidRPr="00F72760" w:rsidRDefault="00B327CC" w:rsidP="00F72760">
            <w:pPr>
              <w:widowControl/>
              <w:jc w:val="center"/>
              <w:rPr>
                <w:rFonts w:ascii="Arial" w:hAnsi="Arial" w:cs="Arial"/>
                <w:sz w:val="22"/>
                <w:szCs w:val="22"/>
              </w:rPr>
            </w:pPr>
          </w:p>
        </w:tc>
        <w:tc>
          <w:tcPr>
            <w:tcW w:w="1710" w:type="dxa"/>
          </w:tcPr>
          <w:p w:rsidR="00B327CC" w:rsidRPr="00F72760" w:rsidRDefault="00B327CC" w:rsidP="00F72760">
            <w:pPr>
              <w:rPr>
                <w:rFonts w:ascii="Arial" w:hAnsi="Arial" w:cs="Arial"/>
                <w:sz w:val="22"/>
                <w:szCs w:val="22"/>
              </w:rPr>
            </w:pPr>
          </w:p>
          <w:p w:rsidR="00B327CC" w:rsidRPr="00F72760" w:rsidRDefault="00B327CC" w:rsidP="00F72760">
            <w:pPr>
              <w:widowControl/>
              <w:jc w:val="center"/>
              <w:rPr>
                <w:rFonts w:ascii="Arial" w:hAnsi="Arial" w:cs="Arial"/>
                <w:sz w:val="22"/>
                <w:szCs w:val="22"/>
              </w:rPr>
            </w:pPr>
            <w:r w:rsidRPr="00F72760">
              <w:rPr>
                <w:rFonts w:ascii="Arial" w:hAnsi="Arial" w:cs="Arial"/>
                <w:sz w:val="22"/>
                <w:szCs w:val="22"/>
              </w:rPr>
              <w:t>A</w:t>
            </w:r>
          </w:p>
        </w:tc>
        <w:tc>
          <w:tcPr>
            <w:tcW w:w="3510" w:type="dxa"/>
          </w:tcPr>
          <w:p w:rsidR="00B327CC" w:rsidRPr="00F72760" w:rsidRDefault="00B327CC" w:rsidP="00F72760">
            <w:pPr>
              <w:rPr>
                <w:rFonts w:ascii="Arial" w:hAnsi="Arial" w:cs="Arial"/>
                <w:sz w:val="22"/>
                <w:szCs w:val="22"/>
              </w:rPr>
            </w:pPr>
          </w:p>
          <w:p w:rsidR="00B327CC" w:rsidRPr="00F72760" w:rsidRDefault="00B327CC" w:rsidP="00F72760">
            <w:pPr>
              <w:widowControl/>
              <w:rPr>
                <w:rFonts w:ascii="Arial" w:hAnsi="Arial" w:cs="Arial"/>
                <w:sz w:val="22"/>
                <w:szCs w:val="22"/>
              </w:rPr>
            </w:pPr>
            <w:r w:rsidRPr="00F72760">
              <w:rPr>
                <w:rFonts w:ascii="Arial" w:hAnsi="Arial" w:cs="Arial"/>
                <w:b/>
                <w:bCs/>
                <w:sz w:val="22"/>
                <w:szCs w:val="22"/>
              </w:rPr>
              <w:t>Revised paragraphs (a), (c) &amp; (d):</w:t>
            </w:r>
          </w:p>
          <w:p w:rsidR="00B327CC" w:rsidRPr="00F72760" w:rsidRDefault="00B327CC" w:rsidP="00F72760">
            <w:pPr>
              <w:widowControl/>
              <w:rPr>
                <w:rFonts w:ascii="Arial" w:hAnsi="Arial" w:cs="Arial"/>
                <w:sz w:val="22"/>
                <w:szCs w:val="22"/>
              </w:rPr>
            </w:pPr>
            <w:r w:rsidRPr="00F72760">
              <w:rPr>
                <w:rFonts w:ascii="Arial" w:hAnsi="Arial" w:cs="Arial"/>
                <w:sz w:val="22"/>
                <w:szCs w:val="22"/>
              </w:rPr>
              <w:t>(a) The licensee shall ensure that the dose equivalent to the embryo/fetus during the entire pregnancy, due to the occupational exposure of a declared pregnant woman, does not exceed 0.5 rem (5 mSv). (For recordkeeping requirements, see Sec. 20.2106.)</w:t>
            </w:r>
          </w:p>
          <w:p w:rsidR="00B327CC" w:rsidRPr="00F72760" w:rsidRDefault="00B327CC" w:rsidP="00F72760">
            <w:pPr>
              <w:widowControl/>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fldChar w:fldCharType="begin"/>
            </w:r>
            <w:r w:rsidRPr="00F72760">
              <w:rPr>
                <w:rFonts w:ascii="Arial" w:hAnsi="Arial" w:cs="Arial"/>
                <w:sz w:val="22"/>
                <w:szCs w:val="22"/>
              </w:rPr>
              <w:instrText>ADVANCE \d4</w:instrText>
            </w:r>
            <w:r w:rsidRPr="00F72760">
              <w:rPr>
                <w:rFonts w:ascii="Arial" w:hAnsi="Arial" w:cs="Arial"/>
                <w:sz w:val="22"/>
                <w:szCs w:val="22"/>
              </w:rPr>
              <w:fldChar w:fldCharType="end"/>
            </w:r>
            <w:r w:rsidRPr="00F72760">
              <w:rPr>
                <w:rFonts w:ascii="Arial" w:hAnsi="Arial" w:cs="Arial"/>
                <w:sz w:val="22"/>
                <w:szCs w:val="22"/>
              </w:rPr>
              <w:t>(c) The dose equivalent to the embryo/fetus is the sum of</w:t>
            </w:r>
            <w:r w:rsidRPr="00F72760">
              <w:rPr>
                <w:rFonts w:ascii="Arial" w:hAnsi="Arial" w:cs="Arial"/>
                <w:sz w:val="22"/>
                <w:szCs w:val="22"/>
              </w:rPr>
              <w:sym w:font="WP TypographicSymbols" w:char="0043"/>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(1) The deep-dose equivalent to the declared pregnant woman; and</w:t>
            </w:r>
            <w:r w:rsidRPr="00F72760">
              <w:rPr>
                <w:rFonts w:ascii="Arial" w:hAnsi="Arial" w:cs="Arial"/>
                <w:sz w:val="22"/>
                <w:szCs w:val="22"/>
              </w:rPr>
              <w:fldChar w:fldCharType="begin"/>
            </w:r>
            <w:r w:rsidRPr="00F72760">
              <w:rPr>
                <w:rFonts w:ascii="Arial" w:hAnsi="Arial" w:cs="Arial"/>
                <w:sz w:val="22"/>
                <w:szCs w:val="22"/>
              </w:rPr>
              <w:instrText>ADVANCE \d4</w:instrText>
            </w:r>
            <w:r w:rsidRPr="00F72760">
              <w:rPr>
                <w:rFonts w:ascii="Arial" w:hAnsi="Arial" w:cs="Arial"/>
                <w:sz w:val="22"/>
                <w:szCs w:val="22"/>
              </w:rPr>
              <w:fldChar w:fldCharType="end"/>
            </w:r>
            <w:r w:rsidRPr="00F72760">
              <w:rPr>
                <w:rFonts w:ascii="Arial" w:hAnsi="Arial" w:cs="Arial"/>
                <w:sz w:val="22"/>
                <w:szCs w:val="22"/>
              </w:rPr>
              <w:t>(2) The dose equivalent to the embryo/fetus resulting from radionuclides in the embryo/fetus and radionuclides in the declared pregnant woman.</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B327CC"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 xml:space="preserve">(d) If the dose equivalent to the embryo/fetus is found to have exceeded 0.5 rem (5 mSv), or is within 0.05 rem (0.5 mSv) of this dose, by the time the woman declares the pregnancy to the licensee, the licensee shall be deemed to be in compliance with paragraph (a) of this section if the additional dose equivalent to the embryo/fetus does not exceed 0.05 rem (0.5 mSv) during the </w:t>
            </w:r>
            <w:r w:rsidRPr="00F72760">
              <w:rPr>
                <w:rFonts w:ascii="Arial" w:hAnsi="Arial" w:cs="Arial"/>
                <w:sz w:val="22"/>
                <w:szCs w:val="22"/>
              </w:rPr>
              <w:lastRenderedPageBreak/>
              <w:t>remainder of the pregnancy.</w:t>
            </w:r>
          </w:p>
          <w:p w:rsidR="00F72760" w:rsidRDefault="00F72760"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F72760" w:rsidRDefault="00F72760"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F72760" w:rsidRDefault="00F72760"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F72760" w:rsidRDefault="00F72760"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F72760" w:rsidRDefault="00F72760"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F72760" w:rsidRPr="00F72760" w:rsidRDefault="00F72760"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35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44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324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B327CC" w:rsidTr="00F72760">
        <w:tblPrEx>
          <w:tblCellMar>
            <w:top w:w="0" w:type="dxa"/>
            <w:bottom w:w="0" w:type="dxa"/>
          </w:tblCellMar>
        </w:tblPrEx>
        <w:tc>
          <w:tcPr>
            <w:tcW w:w="117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F72760">
              <w:rPr>
                <w:rFonts w:ascii="Arial" w:hAnsi="Arial" w:cs="Arial"/>
                <w:sz w:val="22"/>
                <w:szCs w:val="22"/>
              </w:rPr>
              <w:sym w:font="WP TypographicSymbols" w:char="0027"/>
            </w:r>
            <w:r w:rsidRPr="00F72760">
              <w:rPr>
                <w:rFonts w:ascii="Arial" w:hAnsi="Arial" w:cs="Arial"/>
                <w:sz w:val="22"/>
                <w:szCs w:val="22"/>
              </w:rPr>
              <w:t>20.1501</w:t>
            </w:r>
          </w:p>
        </w:tc>
        <w:tc>
          <w:tcPr>
            <w:tcW w:w="162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General</w:t>
            </w:r>
          </w:p>
        </w:tc>
        <w:tc>
          <w:tcPr>
            <w:tcW w:w="108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F72760">
              <w:rPr>
                <w:rFonts w:ascii="Arial" w:hAnsi="Arial" w:cs="Arial"/>
                <w:sz w:val="22"/>
                <w:szCs w:val="22"/>
              </w:rPr>
              <w:t>H&amp;S</w:t>
            </w:r>
          </w:p>
        </w:tc>
        <w:tc>
          <w:tcPr>
            <w:tcW w:w="351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b/>
                <w:bCs/>
                <w:sz w:val="22"/>
                <w:szCs w:val="22"/>
              </w:rPr>
              <w:t xml:space="preserve">Amended paragraphs (a)(2)(i)&amp;(iii): </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(a)(2)</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(i) The magnitude and extent of radiation levels; and</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(iii) The potential radiological hazards.</w:t>
            </w:r>
          </w:p>
        </w:tc>
        <w:tc>
          <w:tcPr>
            <w:tcW w:w="135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44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324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B327CC" w:rsidTr="00F72760">
        <w:tblPrEx>
          <w:tblCellMar>
            <w:top w:w="0" w:type="dxa"/>
            <w:bottom w:w="0" w:type="dxa"/>
          </w:tblCellMar>
        </w:tblPrEx>
        <w:tc>
          <w:tcPr>
            <w:tcW w:w="117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F72760">
              <w:rPr>
                <w:rFonts w:ascii="Arial" w:hAnsi="Arial" w:cs="Arial"/>
                <w:sz w:val="22"/>
                <w:szCs w:val="22"/>
              </w:rPr>
              <w:sym w:font="WP TypographicSymbols" w:char="0027"/>
            </w:r>
            <w:r w:rsidRPr="00F72760">
              <w:rPr>
                <w:rFonts w:ascii="Arial" w:hAnsi="Arial" w:cs="Arial"/>
                <w:sz w:val="22"/>
                <w:szCs w:val="22"/>
              </w:rPr>
              <w:t>20.1502</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62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 xml:space="preserve">Conditions requiring individual monitoring of external </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and internal occupational dose</w:t>
            </w:r>
          </w:p>
        </w:tc>
        <w:tc>
          <w:tcPr>
            <w:tcW w:w="108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F72760">
              <w:rPr>
                <w:rFonts w:ascii="Arial" w:hAnsi="Arial" w:cs="Arial"/>
                <w:sz w:val="22"/>
                <w:szCs w:val="22"/>
              </w:rPr>
              <w:t>H&amp;S</w:t>
            </w:r>
          </w:p>
        </w:tc>
        <w:tc>
          <w:tcPr>
            <w:tcW w:w="351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b/>
                <w:bCs/>
                <w:sz w:val="22"/>
                <w:szCs w:val="22"/>
              </w:rPr>
              <w:t>Amended Paragraph (a):</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fldChar w:fldCharType="begin"/>
            </w:r>
            <w:r w:rsidRPr="00F72760">
              <w:rPr>
                <w:rFonts w:ascii="Arial" w:hAnsi="Arial" w:cs="Arial"/>
                <w:sz w:val="22"/>
                <w:szCs w:val="22"/>
              </w:rPr>
              <w:instrText>ADVANCE \d4</w:instrText>
            </w:r>
            <w:r w:rsidRPr="00F72760">
              <w:rPr>
                <w:rFonts w:ascii="Arial" w:hAnsi="Arial" w:cs="Arial"/>
                <w:sz w:val="22"/>
                <w:szCs w:val="22"/>
              </w:rPr>
              <w:fldChar w:fldCharType="end"/>
            </w:r>
            <w:r w:rsidRPr="00F72760">
              <w:rPr>
                <w:rFonts w:ascii="Arial" w:hAnsi="Arial" w:cs="Arial"/>
                <w:sz w:val="22"/>
                <w:szCs w:val="22"/>
              </w:rPr>
              <w:t>(a) Each licensee shall monitor occupational exposure to radiation from licensed and unlicensed radiation sources under the control of the licensee and shall supply and require the use of individual monitoring devices by</w:t>
            </w:r>
            <w:r w:rsidRPr="00F72760">
              <w:rPr>
                <w:rFonts w:ascii="Arial" w:hAnsi="Arial" w:cs="Arial"/>
                <w:sz w:val="22"/>
                <w:szCs w:val="22"/>
              </w:rPr>
              <w:sym w:font="WP TypographicSymbols" w:char="0043"/>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 xml:space="preserve">(1) Adults likely to receive, in 1 year from sources external to the body, a dose in excess of 10 percent of the limits in </w:t>
            </w:r>
            <w:r w:rsidRPr="00F72760">
              <w:rPr>
                <w:rFonts w:ascii="Arial" w:hAnsi="Arial" w:cs="Arial"/>
                <w:sz w:val="22"/>
                <w:szCs w:val="22"/>
              </w:rPr>
              <w:sym w:font="WP TypographicSymbols" w:char="0027"/>
            </w:r>
            <w:r w:rsidRPr="00F72760">
              <w:rPr>
                <w:rFonts w:ascii="Arial" w:hAnsi="Arial" w:cs="Arial"/>
                <w:sz w:val="22"/>
                <w:szCs w:val="22"/>
              </w:rPr>
              <w:t>20.1201(a),</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 xml:space="preserve">(2) Minors likely to receive, in 1 year, from radiation sources external to the body, a deep dose equivalent in excess of 0.1 rem (1 mSv), a lens dose equivalent in excess of 0.15 rem (1.5 mSv), or a shallow dose equivalent to </w:t>
            </w:r>
            <w:r w:rsidRPr="00F72760">
              <w:rPr>
                <w:rFonts w:ascii="Arial" w:hAnsi="Arial" w:cs="Arial"/>
                <w:sz w:val="22"/>
                <w:szCs w:val="22"/>
              </w:rPr>
              <w:lastRenderedPageBreak/>
              <w:t>the skin or to the extremities in excess of 0.5 rem (5 mSv);</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 xml:space="preserve">(3) Declared pregnant women likely to receive during the entire pregnancy, from radiation sources external to the body, a deep dose equivalent in excess of 0.1 rem (1 mSv); </w:t>
            </w:r>
            <w:r w:rsidRPr="00F72760">
              <w:rPr>
                <w:rFonts w:ascii="Arial" w:hAnsi="Arial" w:cs="Arial"/>
                <w:sz w:val="22"/>
                <w:szCs w:val="22"/>
                <w:vertAlign w:val="superscript"/>
              </w:rPr>
              <w:t>2</w:t>
            </w:r>
            <w:r w:rsidRPr="00F72760">
              <w:rPr>
                <w:rFonts w:ascii="Arial" w:hAnsi="Arial" w:cs="Arial"/>
                <w:sz w:val="22"/>
                <w:szCs w:val="22"/>
              </w:rPr>
              <w:t xml:space="preserve"> and</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vertAlign w:val="superscript"/>
              </w:rPr>
              <w:t>2</w:t>
            </w:r>
            <w:r w:rsidRPr="00F72760">
              <w:rPr>
                <w:rFonts w:ascii="Arial" w:hAnsi="Arial" w:cs="Arial"/>
                <w:sz w:val="22"/>
                <w:szCs w:val="22"/>
              </w:rPr>
              <w:t xml:space="preserve">All of the occupational doses in </w:t>
            </w:r>
            <w:r w:rsidRPr="00F72760">
              <w:rPr>
                <w:rFonts w:ascii="Arial" w:hAnsi="Arial" w:cs="Arial"/>
                <w:sz w:val="22"/>
                <w:szCs w:val="22"/>
              </w:rPr>
              <w:sym w:font="WP TypographicSymbols" w:char="0027"/>
            </w:r>
            <w:r w:rsidRPr="00F72760">
              <w:rPr>
                <w:rFonts w:ascii="Arial" w:hAnsi="Arial" w:cs="Arial"/>
                <w:sz w:val="22"/>
                <w:szCs w:val="22"/>
              </w:rPr>
              <w:t>20.1201 continue to be applicable to the declared pregnant worker as long as the embryo/fetus dose limit is not exceeded.</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(4) Individuals entering a high or very high radiation area.</w:t>
            </w:r>
          </w:p>
        </w:tc>
        <w:tc>
          <w:tcPr>
            <w:tcW w:w="135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44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324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B327CC" w:rsidTr="00F72760">
        <w:tblPrEx>
          <w:tblCellMar>
            <w:top w:w="0" w:type="dxa"/>
            <w:bottom w:w="0" w:type="dxa"/>
          </w:tblCellMar>
        </w:tblPrEx>
        <w:tc>
          <w:tcPr>
            <w:tcW w:w="117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F72760">
              <w:rPr>
                <w:rFonts w:ascii="Arial" w:hAnsi="Arial" w:cs="Arial"/>
                <w:sz w:val="22"/>
                <w:szCs w:val="22"/>
              </w:rPr>
              <w:sym w:font="WP TypographicSymbols" w:char="0027"/>
            </w:r>
            <w:r w:rsidRPr="00F72760">
              <w:rPr>
                <w:rFonts w:ascii="Arial" w:hAnsi="Arial" w:cs="Arial"/>
                <w:sz w:val="22"/>
                <w:szCs w:val="22"/>
              </w:rPr>
              <w:t>20.1502</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62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 xml:space="preserve">Conditions requiring individual monitoring of external </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and internal occupational dose</w:t>
            </w:r>
          </w:p>
        </w:tc>
        <w:tc>
          <w:tcPr>
            <w:tcW w:w="108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F72760">
              <w:rPr>
                <w:rFonts w:ascii="Arial" w:hAnsi="Arial" w:cs="Arial"/>
                <w:sz w:val="22"/>
                <w:szCs w:val="22"/>
              </w:rPr>
              <w:t>H&amp;S</w:t>
            </w:r>
          </w:p>
        </w:tc>
        <w:tc>
          <w:tcPr>
            <w:tcW w:w="351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b/>
                <w:bCs/>
                <w:sz w:val="22"/>
                <w:szCs w:val="22"/>
              </w:rPr>
              <w:t>Revised Paragraph (b):</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(b)</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(1) Adults likely to receive, in 1 year, an intake in excess of 10 percent of the applicable ALI(s) in table 1, Columns 1 and 2, of appendix B to Secs. 20.1001</w:t>
            </w:r>
            <w:r w:rsidRPr="00F72760">
              <w:rPr>
                <w:rFonts w:ascii="Arial" w:hAnsi="Arial" w:cs="Arial"/>
                <w:sz w:val="22"/>
                <w:szCs w:val="22"/>
              </w:rPr>
              <w:noBreakHyphen/>
              <w:t>20.2402;</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(2) Minors likely to receive, in 1 year, a committed effective dose equivalent in excess of 0.1 rem (1 mSv); and(3) Declared pregnant women likely to receive, during the entire pregnancy, a committed effective dose equivalent in excess of 0.1 rem (1 mSv).</w:t>
            </w:r>
          </w:p>
        </w:tc>
        <w:tc>
          <w:tcPr>
            <w:tcW w:w="135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44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324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B327CC" w:rsidTr="00F72760">
        <w:tblPrEx>
          <w:tblCellMar>
            <w:top w:w="0" w:type="dxa"/>
            <w:bottom w:w="0" w:type="dxa"/>
          </w:tblCellMar>
        </w:tblPrEx>
        <w:tc>
          <w:tcPr>
            <w:tcW w:w="117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F72760">
              <w:rPr>
                <w:rFonts w:ascii="Arial" w:hAnsi="Arial" w:cs="Arial"/>
                <w:sz w:val="22"/>
                <w:szCs w:val="22"/>
              </w:rPr>
              <w:sym w:font="WP TypographicSymbols" w:char="0027"/>
            </w:r>
            <w:r w:rsidRPr="00F72760">
              <w:rPr>
                <w:rFonts w:ascii="Arial" w:hAnsi="Arial" w:cs="Arial"/>
                <w:sz w:val="22"/>
                <w:szCs w:val="22"/>
              </w:rPr>
              <w:t>20.1903</w:t>
            </w:r>
          </w:p>
        </w:tc>
        <w:tc>
          <w:tcPr>
            <w:tcW w:w="162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 xml:space="preserve">Exceptions to posting </w:t>
            </w:r>
            <w:r w:rsidRPr="00F72760">
              <w:rPr>
                <w:rFonts w:ascii="Arial" w:hAnsi="Arial" w:cs="Arial"/>
                <w:sz w:val="22"/>
                <w:szCs w:val="22"/>
              </w:rPr>
              <w:lastRenderedPageBreak/>
              <w:t>requirements</w:t>
            </w:r>
          </w:p>
        </w:tc>
        <w:tc>
          <w:tcPr>
            <w:tcW w:w="108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F72760">
              <w:rPr>
                <w:rFonts w:ascii="Arial" w:hAnsi="Arial" w:cs="Arial"/>
                <w:sz w:val="22"/>
                <w:szCs w:val="22"/>
              </w:rPr>
              <w:t>D</w:t>
            </w:r>
          </w:p>
        </w:tc>
        <w:tc>
          <w:tcPr>
            <w:tcW w:w="3510" w:type="dxa"/>
          </w:tcPr>
          <w:p w:rsidR="00B327CC" w:rsidRPr="00F72760" w:rsidRDefault="00B327CC" w:rsidP="00F72760">
            <w:pPr>
              <w:rPr>
                <w:rFonts w:ascii="Arial" w:hAnsi="Arial" w:cs="Arial"/>
                <w:sz w:val="22"/>
                <w:szCs w:val="22"/>
              </w:rPr>
            </w:pPr>
          </w:p>
          <w:p w:rsidR="00B327CC" w:rsidRPr="00F72760" w:rsidRDefault="00F72760"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N/A</w:t>
            </w:r>
          </w:p>
        </w:tc>
        <w:tc>
          <w:tcPr>
            <w:tcW w:w="135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N/A</w:t>
            </w:r>
          </w:p>
        </w:tc>
        <w:tc>
          <w:tcPr>
            <w:tcW w:w="144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324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B327CC" w:rsidTr="00F72760">
        <w:tblPrEx>
          <w:tblCellMar>
            <w:top w:w="0" w:type="dxa"/>
            <w:bottom w:w="0" w:type="dxa"/>
          </w:tblCellMar>
        </w:tblPrEx>
        <w:tc>
          <w:tcPr>
            <w:tcW w:w="117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F72760">
              <w:rPr>
                <w:rFonts w:ascii="Arial" w:hAnsi="Arial" w:cs="Arial"/>
                <w:sz w:val="22"/>
                <w:szCs w:val="22"/>
              </w:rPr>
              <w:sym w:font="WP TypographicSymbols" w:char="0027"/>
            </w:r>
            <w:r w:rsidRPr="00F72760">
              <w:rPr>
                <w:rFonts w:ascii="Arial" w:hAnsi="Arial" w:cs="Arial"/>
                <w:sz w:val="22"/>
                <w:szCs w:val="22"/>
              </w:rPr>
              <w:t>20.1906</w:t>
            </w:r>
          </w:p>
        </w:tc>
        <w:tc>
          <w:tcPr>
            <w:tcW w:w="162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Procedures for receiving and opening packages</w:t>
            </w:r>
          </w:p>
        </w:tc>
        <w:tc>
          <w:tcPr>
            <w:tcW w:w="108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F72760">
              <w:rPr>
                <w:rFonts w:ascii="Arial" w:hAnsi="Arial" w:cs="Arial"/>
                <w:sz w:val="22"/>
                <w:szCs w:val="22"/>
              </w:rPr>
              <w:t>H&amp;S</w:t>
            </w:r>
          </w:p>
        </w:tc>
        <w:tc>
          <w:tcPr>
            <w:tcW w:w="351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In Sec. 20.1906, the introductory text of paragraph (d) is revised to read as follows:* * * * *</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 xml:space="preserve">    (d) The licensee shall immediately notify the final delivery carrier and the </w:t>
            </w:r>
            <w:smartTag w:uri="urn:schemas-microsoft-com:office:smarttags" w:element="place">
              <w:smartTag w:uri="urn:schemas-microsoft-com:office:smarttags" w:element="PlaceName">
                <w:r w:rsidRPr="00F72760">
                  <w:rPr>
                    <w:rFonts w:ascii="Arial" w:hAnsi="Arial" w:cs="Arial"/>
                    <w:sz w:val="22"/>
                    <w:szCs w:val="22"/>
                  </w:rPr>
                  <w:t>NRC</w:t>
                </w:r>
              </w:smartTag>
              <w:r w:rsidRPr="00F72760">
                <w:rPr>
                  <w:rFonts w:ascii="Arial" w:hAnsi="Arial" w:cs="Arial"/>
                  <w:sz w:val="22"/>
                  <w:szCs w:val="22"/>
                </w:rPr>
                <w:t xml:space="preserve"> </w:t>
              </w:r>
              <w:smartTag w:uri="urn:schemas-microsoft-com:office:smarttags" w:element="PlaceName">
                <w:r w:rsidRPr="00F72760">
                  <w:rPr>
                    <w:rFonts w:ascii="Arial" w:hAnsi="Arial" w:cs="Arial"/>
                    <w:sz w:val="22"/>
                    <w:szCs w:val="22"/>
                  </w:rPr>
                  <w:t>Operations</w:t>
                </w:r>
              </w:smartTag>
              <w:r w:rsidRPr="00F72760">
                <w:rPr>
                  <w:rFonts w:ascii="Arial" w:hAnsi="Arial" w:cs="Arial"/>
                  <w:sz w:val="22"/>
                  <w:szCs w:val="22"/>
                </w:rPr>
                <w:t xml:space="preserve"> </w:t>
              </w:r>
              <w:smartTag w:uri="urn:schemas-microsoft-com:office:smarttags" w:element="PlaceType">
                <w:r w:rsidRPr="00F72760">
                  <w:rPr>
                    <w:rFonts w:ascii="Arial" w:hAnsi="Arial" w:cs="Arial"/>
                    <w:sz w:val="22"/>
                    <w:szCs w:val="22"/>
                  </w:rPr>
                  <w:t>Center</w:t>
                </w:r>
              </w:smartTag>
            </w:smartTag>
            <w:r w:rsidRPr="00F72760">
              <w:rPr>
                <w:rFonts w:ascii="Arial" w:hAnsi="Arial" w:cs="Arial"/>
                <w:sz w:val="22"/>
                <w:szCs w:val="22"/>
              </w:rPr>
              <w:t xml:space="preserve"> (301</w:t>
            </w:r>
            <w:r w:rsidRPr="00F72760">
              <w:rPr>
                <w:rFonts w:ascii="Arial" w:hAnsi="Arial" w:cs="Arial"/>
                <w:sz w:val="22"/>
                <w:szCs w:val="22"/>
              </w:rPr>
              <w:noBreakHyphen/>
              <w:t>816</w:t>
            </w:r>
            <w:r w:rsidRPr="00F72760">
              <w:rPr>
                <w:rFonts w:ascii="Arial" w:hAnsi="Arial" w:cs="Arial"/>
                <w:sz w:val="22"/>
                <w:szCs w:val="22"/>
              </w:rPr>
              <w:noBreakHyphen/>
              <w:t>5100), by telephone, when</w:t>
            </w:r>
            <w:r w:rsidRPr="00F72760">
              <w:rPr>
                <w:rFonts w:ascii="Arial" w:hAnsi="Arial" w:cs="Arial"/>
                <w:sz w:val="22"/>
                <w:szCs w:val="22"/>
              </w:rPr>
              <w:noBreakHyphen/>
            </w:r>
            <w:r w:rsidRPr="00F72760">
              <w:rPr>
                <w:rFonts w:ascii="Arial" w:hAnsi="Arial" w:cs="Arial"/>
                <w:sz w:val="22"/>
                <w:szCs w:val="22"/>
              </w:rPr>
              <w:noBreakHyphen/>
            </w:r>
          </w:p>
        </w:tc>
        <w:tc>
          <w:tcPr>
            <w:tcW w:w="135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44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324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B327CC" w:rsidTr="00F72760">
        <w:tblPrEx>
          <w:tblCellMar>
            <w:top w:w="0" w:type="dxa"/>
            <w:bottom w:w="0" w:type="dxa"/>
          </w:tblCellMar>
        </w:tblPrEx>
        <w:tc>
          <w:tcPr>
            <w:tcW w:w="117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F72760">
              <w:rPr>
                <w:rFonts w:ascii="Arial" w:hAnsi="Arial" w:cs="Arial"/>
                <w:sz w:val="22"/>
                <w:szCs w:val="22"/>
              </w:rPr>
              <w:sym w:font="WP TypographicSymbols" w:char="0027"/>
            </w:r>
            <w:r w:rsidRPr="00F72760">
              <w:rPr>
                <w:rFonts w:ascii="Arial" w:hAnsi="Arial" w:cs="Arial"/>
                <w:sz w:val="22"/>
                <w:szCs w:val="22"/>
              </w:rPr>
              <w:t>20.2101</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F72760">
              <w:rPr>
                <w:rFonts w:ascii="Arial" w:hAnsi="Arial" w:cs="Arial"/>
                <w:sz w:val="22"/>
                <w:szCs w:val="22"/>
              </w:rPr>
              <w:t xml:space="preserve"> </w:t>
            </w:r>
          </w:p>
        </w:tc>
        <w:tc>
          <w:tcPr>
            <w:tcW w:w="162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General provisions</w:t>
            </w:r>
          </w:p>
        </w:tc>
        <w:tc>
          <w:tcPr>
            <w:tcW w:w="108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F72760">
              <w:rPr>
                <w:rFonts w:ascii="Arial" w:hAnsi="Arial" w:cs="Arial"/>
                <w:sz w:val="22"/>
                <w:szCs w:val="22"/>
              </w:rPr>
              <w:t>C</w:t>
            </w:r>
          </w:p>
        </w:tc>
        <w:tc>
          <w:tcPr>
            <w:tcW w:w="351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b/>
                <w:bCs/>
                <w:sz w:val="22"/>
                <w:szCs w:val="22"/>
              </w:rPr>
              <w:t>New Paragraph (b):</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(b) In the records required by this part, the licensee may record quantities in SI units in parentheses following each of the units specified in paragraph (a) of this section. However, all quantities must be recorded as stated in paragraph (a) of this section.</w:t>
            </w:r>
          </w:p>
        </w:tc>
        <w:tc>
          <w:tcPr>
            <w:tcW w:w="135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44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324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B327CC" w:rsidTr="00F72760">
        <w:tblPrEx>
          <w:tblCellMar>
            <w:top w:w="0" w:type="dxa"/>
            <w:bottom w:w="0" w:type="dxa"/>
          </w:tblCellMar>
        </w:tblPrEx>
        <w:tc>
          <w:tcPr>
            <w:tcW w:w="117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F72760">
              <w:rPr>
                <w:rFonts w:ascii="Arial" w:hAnsi="Arial" w:cs="Arial"/>
                <w:sz w:val="22"/>
                <w:szCs w:val="22"/>
              </w:rPr>
              <w:sym w:font="WP TypographicSymbols" w:char="0027"/>
            </w:r>
            <w:r w:rsidRPr="00F72760">
              <w:rPr>
                <w:rFonts w:ascii="Arial" w:hAnsi="Arial" w:cs="Arial"/>
                <w:sz w:val="22"/>
                <w:szCs w:val="22"/>
              </w:rPr>
              <w:t>20.2106</w:t>
            </w:r>
          </w:p>
        </w:tc>
        <w:tc>
          <w:tcPr>
            <w:tcW w:w="162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Records of individual monitoring results</w:t>
            </w:r>
          </w:p>
        </w:tc>
        <w:tc>
          <w:tcPr>
            <w:tcW w:w="108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F72760">
              <w:rPr>
                <w:rFonts w:ascii="Arial" w:hAnsi="Arial" w:cs="Arial"/>
                <w:sz w:val="22"/>
                <w:szCs w:val="22"/>
              </w:rPr>
              <w:t>C</w:t>
            </w:r>
          </w:p>
        </w:tc>
        <w:tc>
          <w:tcPr>
            <w:tcW w:w="351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b/>
                <w:bCs/>
                <w:sz w:val="22"/>
                <w:szCs w:val="22"/>
              </w:rPr>
              <w:t>Amended Paragraph (a):</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a)</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(1) The deep</w:t>
            </w:r>
            <w:r w:rsidRPr="00F72760">
              <w:rPr>
                <w:rFonts w:ascii="Arial" w:hAnsi="Arial" w:cs="Arial"/>
                <w:sz w:val="22"/>
                <w:szCs w:val="22"/>
              </w:rPr>
              <w:noBreakHyphen/>
              <w:t>dose equivalent to the whole body, lens dose equivalent, shallow</w:t>
            </w:r>
            <w:r w:rsidRPr="00F72760">
              <w:rPr>
                <w:rFonts w:ascii="Arial" w:hAnsi="Arial" w:cs="Arial"/>
                <w:sz w:val="22"/>
                <w:szCs w:val="22"/>
              </w:rPr>
              <w:noBreakHyphen/>
              <w:t>dose equivalent to the skin, and shallow</w:t>
            </w:r>
            <w:r w:rsidRPr="00F72760">
              <w:rPr>
                <w:rFonts w:ascii="Arial" w:hAnsi="Arial" w:cs="Arial"/>
                <w:sz w:val="22"/>
                <w:szCs w:val="22"/>
              </w:rPr>
              <w:noBreakHyphen/>
              <w:t>dose equivalent to the extremities;</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(2) The estimated intake of radionuclides (see Sec. 20.1202);</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(3) The committed effective dose equivalent assigned to the intake of radionuclides;</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 xml:space="preserve">(4) The specific information used </w:t>
            </w:r>
            <w:r w:rsidRPr="00F72760">
              <w:rPr>
                <w:rFonts w:ascii="Arial" w:hAnsi="Arial" w:cs="Arial"/>
                <w:sz w:val="22"/>
                <w:szCs w:val="22"/>
              </w:rPr>
              <w:lastRenderedPageBreak/>
              <w:t>to assess the committed effective dose equivalent pursuant to Sec. 20.1204(a) and (c), and when required by Sec. 20.1502;</w:t>
            </w:r>
          </w:p>
        </w:tc>
        <w:tc>
          <w:tcPr>
            <w:tcW w:w="135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44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324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B327CC" w:rsidTr="00F72760">
        <w:tblPrEx>
          <w:tblCellMar>
            <w:top w:w="0" w:type="dxa"/>
            <w:bottom w:w="0" w:type="dxa"/>
          </w:tblCellMar>
        </w:tblPrEx>
        <w:tc>
          <w:tcPr>
            <w:tcW w:w="117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F72760">
              <w:rPr>
                <w:rFonts w:ascii="Arial" w:hAnsi="Arial" w:cs="Arial"/>
                <w:sz w:val="22"/>
                <w:szCs w:val="22"/>
              </w:rPr>
              <w:sym w:font="WP TypographicSymbols" w:char="0027"/>
            </w:r>
            <w:r w:rsidRPr="00F72760">
              <w:rPr>
                <w:rFonts w:ascii="Arial" w:hAnsi="Arial" w:cs="Arial"/>
                <w:sz w:val="22"/>
                <w:szCs w:val="22"/>
              </w:rPr>
              <w:t>20.2202</w:t>
            </w:r>
          </w:p>
        </w:tc>
        <w:tc>
          <w:tcPr>
            <w:tcW w:w="162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Notification of incidents</w:t>
            </w:r>
          </w:p>
        </w:tc>
        <w:tc>
          <w:tcPr>
            <w:tcW w:w="108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F72760">
              <w:rPr>
                <w:rFonts w:ascii="Arial" w:hAnsi="Arial" w:cs="Arial"/>
                <w:sz w:val="22"/>
                <w:szCs w:val="22"/>
              </w:rPr>
              <w:t>C</w:t>
            </w:r>
          </w:p>
        </w:tc>
        <w:tc>
          <w:tcPr>
            <w:tcW w:w="351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b/>
                <w:bCs/>
                <w:sz w:val="22"/>
                <w:szCs w:val="22"/>
              </w:rPr>
              <w:t>Amended Paragraphs (a)(1)(ii), (b)(1)(ii), and (d)(2):</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(a)(1)(ii) A lens dose equivalent of 75 rems (0.75 Sv) or more; or</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(b)(1)(ii) A lens dose equivalent exceeding 15 rems (0.15 Sv); or</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 xml:space="preserve">(d)(2) All other licensees shall make the reports required by paragraphs (a) and (b) of this section by telephone to the </w:t>
            </w:r>
            <w:smartTag w:uri="urn:schemas-microsoft-com:office:smarttags" w:element="place">
              <w:smartTag w:uri="urn:schemas-microsoft-com:office:smarttags" w:element="PlaceName">
                <w:r w:rsidRPr="00F72760">
                  <w:rPr>
                    <w:rFonts w:ascii="Arial" w:hAnsi="Arial" w:cs="Arial"/>
                    <w:sz w:val="22"/>
                    <w:szCs w:val="22"/>
                  </w:rPr>
                  <w:t>NRC</w:t>
                </w:r>
              </w:smartTag>
              <w:r w:rsidRPr="00F72760">
                <w:rPr>
                  <w:rFonts w:ascii="Arial" w:hAnsi="Arial" w:cs="Arial"/>
                  <w:sz w:val="22"/>
                  <w:szCs w:val="22"/>
                </w:rPr>
                <w:t xml:space="preserve"> </w:t>
              </w:r>
              <w:smartTag w:uri="urn:schemas-microsoft-com:office:smarttags" w:element="PlaceName">
                <w:r w:rsidRPr="00F72760">
                  <w:rPr>
                    <w:rFonts w:ascii="Arial" w:hAnsi="Arial" w:cs="Arial"/>
                    <w:sz w:val="22"/>
                    <w:szCs w:val="22"/>
                  </w:rPr>
                  <w:t>Operations</w:t>
                </w:r>
              </w:smartTag>
              <w:r w:rsidRPr="00F72760">
                <w:rPr>
                  <w:rFonts w:ascii="Arial" w:hAnsi="Arial" w:cs="Arial"/>
                  <w:sz w:val="22"/>
                  <w:szCs w:val="22"/>
                </w:rPr>
                <w:t xml:space="preserve"> </w:t>
              </w:r>
              <w:smartTag w:uri="urn:schemas-microsoft-com:office:smarttags" w:element="PlaceType">
                <w:r w:rsidRPr="00F72760">
                  <w:rPr>
                    <w:rFonts w:ascii="Arial" w:hAnsi="Arial" w:cs="Arial"/>
                    <w:sz w:val="22"/>
                    <w:szCs w:val="22"/>
                  </w:rPr>
                  <w:t>Center</w:t>
                </w:r>
              </w:smartTag>
            </w:smartTag>
            <w:r w:rsidRPr="00F72760">
              <w:rPr>
                <w:rFonts w:ascii="Arial" w:hAnsi="Arial" w:cs="Arial"/>
                <w:sz w:val="22"/>
                <w:szCs w:val="22"/>
              </w:rPr>
              <w:t xml:space="preserve"> (301) 816</w:t>
            </w:r>
            <w:r w:rsidRPr="00F72760">
              <w:rPr>
                <w:rFonts w:ascii="Arial" w:hAnsi="Arial" w:cs="Arial"/>
                <w:sz w:val="22"/>
                <w:szCs w:val="22"/>
              </w:rPr>
              <w:noBreakHyphen/>
              <w:t>5100.</w:t>
            </w:r>
          </w:p>
        </w:tc>
        <w:tc>
          <w:tcPr>
            <w:tcW w:w="135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44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324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B327CC" w:rsidTr="00F72760">
        <w:tblPrEx>
          <w:tblCellMar>
            <w:top w:w="0" w:type="dxa"/>
            <w:bottom w:w="0" w:type="dxa"/>
          </w:tblCellMar>
        </w:tblPrEx>
        <w:tc>
          <w:tcPr>
            <w:tcW w:w="117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F72760">
              <w:rPr>
                <w:rFonts w:ascii="Arial" w:hAnsi="Arial" w:cs="Arial"/>
                <w:sz w:val="22"/>
                <w:szCs w:val="22"/>
              </w:rPr>
              <w:sym w:font="WP TypographicSymbols" w:char="0027"/>
            </w:r>
            <w:r w:rsidRPr="00F72760">
              <w:rPr>
                <w:rFonts w:ascii="Arial" w:hAnsi="Arial" w:cs="Arial"/>
                <w:sz w:val="22"/>
                <w:szCs w:val="22"/>
              </w:rPr>
              <w:t>35.641</w:t>
            </w:r>
          </w:p>
        </w:tc>
        <w:tc>
          <w:tcPr>
            <w:tcW w:w="162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Radiation surveys for teletherapy facilities</w:t>
            </w:r>
          </w:p>
        </w:tc>
        <w:tc>
          <w:tcPr>
            <w:tcW w:w="108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F72760">
              <w:rPr>
                <w:rFonts w:ascii="Arial" w:hAnsi="Arial" w:cs="Arial"/>
                <w:sz w:val="22"/>
                <w:szCs w:val="22"/>
              </w:rPr>
              <w:t>H&amp;S</w:t>
            </w:r>
          </w:p>
        </w:tc>
        <w:tc>
          <w:tcPr>
            <w:tcW w:w="351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b/>
                <w:bCs/>
                <w:sz w:val="22"/>
                <w:szCs w:val="22"/>
              </w:rPr>
              <w:t>Amended Paragraph (a)(2):</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(a)(2)</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(i) Radiation dose rates in restricted areas are not likely to cause any occupationally exposed individual to receive a dose in excess of the limits specified in Sec. 20.1201 of this chapter; and</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(ii) Radiation dose rates in controlled or unrestricted areas are not likely to cause any individual member of the public to receive a dose in excess of the limits specified in Sec. 20.1301 of this chapter.</w:t>
            </w:r>
          </w:p>
        </w:tc>
        <w:tc>
          <w:tcPr>
            <w:tcW w:w="135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44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324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B327CC" w:rsidTr="00F72760">
        <w:tblPrEx>
          <w:tblCellMar>
            <w:top w:w="0" w:type="dxa"/>
            <w:bottom w:w="0" w:type="dxa"/>
          </w:tblCellMar>
        </w:tblPrEx>
        <w:tc>
          <w:tcPr>
            <w:tcW w:w="117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F72760">
              <w:rPr>
                <w:rFonts w:ascii="Arial" w:hAnsi="Arial" w:cs="Arial"/>
                <w:sz w:val="22"/>
                <w:szCs w:val="22"/>
              </w:rPr>
              <w:lastRenderedPageBreak/>
              <w:sym w:font="WP TypographicSymbols" w:char="0027"/>
            </w:r>
            <w:r w:rsidRPr="00F72760">
              <w:rPr>
                <w:rFonts w:ascii="Arial" w:hAnsi="Arial" w:cs="Arial"/>
                <w:sz w:val="22"/>
                <w:szCs w:val="22"/>
              </w:rPr>
              <w:t>35.643</w:t>
            </w:r>
          </w:p>
        </w:tc>
        <w:tc>
          <w:tcPr>
            <w:tcW w:w="162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lastRenderedPageBreak/>
              <w:t xml:space="preserve">Modification of teletherapy unit or room before beginning </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a treatment program</w:t>
            </w:r>
          </w:p>
        </w:tc>
        <w:tc>
          <w:tcPr>
            <w:tcW w:w="108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F72760">
              <w:rPr>
                <w:rFonts w:ascii="Arial" w:hAnsi="Arial" w:cs="Arial"/>
                <w:sz w:val="22"/>
                <w:szCs w:val="22"/>
              </w:rPr>
              <w:lastRenderedPageBreak/>
              <w:t>H&amp;S</w:t>
            </w:r>
          </w:p>
        </w:tc>
        <w:tc>
          <w:tcPr>
            <w:tcW w:w="351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lastRenderedPageBreak/>
              <w:t xml:space="preserve">In Sec. 35.643, paragraphs (a) introductory text and (a)(1) are </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revised to read as follows:</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 xml:space="preserve">(a) If the survey required by Sec. 35.641 indicates that any </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 xml:space="preserve">individual member of the public is likely to receive a dose in excess </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 xml:space="preserve">of the limits specified in Sec. 20.1301 of this chapter, the licensee </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shall, before beginning the treatment program:</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 xml:space="preserve">    (1) Either equip the unit with stops or add additional radiation </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shielding to ensure compliance with Sec. 20.1301 of this chapter.</w:t>
            </w:r>
          </w:p>
        </w:tc>
        <w:tc>
          <w:tcPr>
            <w:tcW w:w="135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44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324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B327CC" w:rsidTr="00F72760">
        <w:tblPrEx>
          <w:tblCellMar>
            <w:top w:w="0" w:type="dxa"/>
            <w:bottom w:w="0" w:type="dxa"/>
          </w:tblCellMar>
        </w:tblPrEx>
        <w:tc>
          <w:tcPr>
            <w:tcW w:w="117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F72760">
              <w:rPr>
                <w:rFonts w:ascii="Arial" w:hAnsi="Arial" w:cs="Arial"/>
                <w:sz w:val="22"/>
                <w:szCs w:val="22"/>
              </w:rPr>
              <w:sym w:font="WP TypographicSymbols" w:char="0027"/>
            </w:r>
            <w:r w:rsidRPr="00F72760">
              <w:rPr>
                <w:rFonts w:ascii="Arial" w:hAnsi="Arial" w:cs="Arial"/>
                <w:sz w:val="22"/>
                <w:szCs w:val="22"/>
              </w:rPr>
              <w:t>36.23</w:t>
            </w:r>
          </w:p>
        </w:tc>
        <w:tc>
          <w:tcPr>
            <w:tcW w:w="162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Access control</w:t>
            </w:r>
          </w:p>
        </w:tc>
        <w:tc>
          <w:tcPr>
            <w:tcW w:w="108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F72760">
              <w:rPr>
                <w:rFonts w:ascii="Arial" w:hAnsi="Arial" w:cs="Arial"/>
                <w:sz w:val="22"/>
                <w:szCs w:val="22"/>
              </w:rPr>
              <w:t>H&amp;S</w:t>
            </w:r>
          </w:p>
        </w:tc>
        <w:tc>
          <w:tcPr>
            <w:tcW w:w="351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b/>
                <w:bCs/>
                <w:sz w:val="22"/>
                <w:szCs w:val="22"/>
              </w:rPr>
              <w:t>Amended Paragraph (g):</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(g) Each entrance to the radiation room of a panoramic irradiator and each entrance to the area within the personnel access barrier of an underwater irradiator must be posted as required by 10 CFR 20.1902. Radiation postings for panoramic irradiators must comply with the posting requirements of 10 CFR 20.1902, except that signs may be removed, covered, or otherwise made inoperative when the sources are fully shielded.</w:t>
            </w:r>
          </w:p>
        </w:tc>
        <w:tc>
          <w:tcPr>
            <w:tcW w:w="135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44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324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B327CC" w:rsidTr="00F72760">
        <w:tblPrEx>
          <w:tblCellMar>
            <w:top w:w="0" w:type="dxa"/>
            <w:bottom w:w="0" w:type="dxa"/>
          </w:tblCellMar>
        </w:tblPrEx>
        <w:tc>
          <w:tcPr>
            <w:tcW w:w="117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F72760">
              <w:rPr>
                <w:rFonts w:ascii="Arial" w:hAnsi="Arial" w:cs="Arial"/>
                <w:sz w:val="22"/>
                <w:szCs w:val="22"/>
              </w:rPr>
              <w:sym w:font="WP TypographicSymbols" w:char="0027"/>
            </w:r>
            <w:r w:rsidRPr="00F72760">
              <w:rPr>
                <w:rFonts w:ascii="Arial" w:hAnsi="Arial" w:cs="Arial"/>
                <w:sz w:val="22"/>
                <w:szCs w:val="22"/>
              </w:rPr>
              <w:t>39.33</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62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Radiation detection instruments</w:t>
            </w:r>
          </w:p>
        </w:tc>
        <w:tc>
          <w:tcPr>
            <w:tcW w:w="108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F72760">
              <w:rPr>
                <w:rFonts w:ascii="Arial" w:hAnsi="Arial" w:cs="Arial"/>
                <w:sz w:val="22"/>
                <w:szCs w:val="22"/>
              </w:rPr>
              <w:t>C</w:t>
            </w:r>
          </w:p>
        </w:tc>
        <w:tc>
          <w:tcPr>
            <w:tcW w:w="351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b/>
                <w:bCs/>
                <w:sz w:val="22"/>
                <w:szCs w:val="22"/>
              </w:rPr>
              <w:t>Amended Paragraph (a):</w:t>
            </w: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72760">
              <w:rPr>
                <w:rFonts w:ascii="Arial" w:hAnsi="Arial" w:cs="Arial"/>
                <w:sz w:val="22"/>
                <w:szCs w:val="22"/>
              </w:rPr>
              <w:t xml:space="preserve">(a) The licensee shall keep a calibrated and operable radiation survey instrument capable of </w:t>
            </w:r>
            <w:r w:rsidRPr="00F72760">
              <w:rPr>
                <w:rFonts w:ascii="Arial" w:hAnsi="Arial" w:cs="Arial"/>
                <w:sz w:val="22"/>
                <w:szCs w:val="22"/>
              </w:rPr>
              <w:lastRenderedPageBreak/>
              <w:t>detecting beta and gamma radiation at each field station and temporary jobsite to make the radiation surveys required by this part and by part 20 of this chapter. To satisfy this requirement, the radiation survey instrument must be capable of measuring 0.001 mSv (0.1 mrem) per hour through at least 0.5 mSv (50 mrem) per hour.</w:t>
            </w:r>
          </w:p>
        </w:tc>
        <w:tc>
          <w:tcPr>
            <w:tcW w:w="135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44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3240" w:type="dxa"/>
          </w:tcPr>
          <w:p w:rsidR="00B327CC" w:rsidRPr="00F72760" w:rsidRDefault="00B327CC" w:rsidP="00F72760">
            <w:pPr>
              <w:rPr>
                <w:rFonts w:ascii="Arial" w:hAnsi="Arial" w:cs="Arial"/>
                <w:sz w:val="22"/>
                <w:szCs w:val="22"/>
              </w:rPr>
            </w:pPr>
          </w:p>
          <w:p w:rsidR="00B327CC" w:rsidRPr="00F72760" w:rsidRDefault="00B327CC" w:rsidP="00F727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bl>
    <w:p w:rsidR="00B327CC" w:rsidRDefault="00B327CC">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rFonts w:ascii="Arial" w:hAnsi="Arial" w:cs="Arial"/>
          <w:sz w:val="22"/>
          <w:szCs w:val="22"/>
        </w:rPr>
      </w:pPr>
    </w:p>
    <w:sectPr w:rsidR="00B327CC" w:rsidSect="00B327CC">
      <w:footerReference w:type="default" r:id="rId7"/>
      <w:type w:val="continuous"/>
      <w:pgSz w:w="15840" w:h="12240" w:orient="landscape"/>
      <w:pgMar w:top="810" w:right="1440" w:bottom="270" w:left="1260" w:header="810" w:footer="27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378" w:rsidRDefault="009E4378" w:rsidP="009E4378">
      <w:r>
        <w:separator/>
      </w:r>
    </w:p>
  </w:endnote>
  <w:endnote w:type="continuationSeparator" w:id="0">
    <w:p w:rsidR="009E4378" w:rsidRDefault="009E4378" w:rsidP="009E43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378" w:rsidRDefault="009E4378">
    <w:pPr>
      <w:pStyle w:val="Footer"/>
      <w:jc w:val="center"/>
    </w:pPr>
    <w:fldSimple w:instr=" PAGE   \* MERGEFORMAT ">
      <w:r>
        <w:rPr>
          <w:noProof/>
        </w:rPr>
        <w:t>1</w:t>
      </w:r>
    </w:fldSimple>
  </w:p>
  <w:p w:rsidR="009E4378" w:rsidRDefault="009E43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378" w:rsidRDefault="009E4378" w:rsidP="009E4378">
      <w:r>
        <w:separator/>
      </w:r>
    </w:p>
  </w:footnote>
  <w:footnote w:type="continuationSeparator" w:id="0">
    <w:p w:rsidR="009E4378" w:rsidRDefault="009E4378" w:rsidP="009E43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327CC"/>
    <w:rsid w:val="003B75BD"/>
    <w:rsid w:val="009E4378"/>
    <w:rsid w:val="00B327CC"/>
    <w:rsid w:val="00F727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link w:val="HeaderChar"/>
    <w:rsid w:val="009E4378"/>
    <w:pPr>
      <w:tabs>
        <w:tab w:val="center" w:pos="4680"/>
        <w:tab w:val="right" w:pos="9360"/>
      </w:tabs>
    </w:pPr>
  </w:style>
  <w:style w:type="character" w:customStyle="1" w:styleId="HeaderChar">
    <w:name w:val="Header Char"/>
    <w:basedOn w:val="DefaultParagraphFont"/>
    <w:link w:val="Header"/>
    <w:rsid w:val="009E4378"/>
    <w:rPr>
      <w:sz w:val="24"/>
      <w:szCs w:val="24"/>
    </w:rPr>
  </w:style>
  <w:style w:type="paragraph" w:styleId="Footer">
    <w:name w:val="footer"/>
    <w:basedOn w:val="Normal"/>
    <w:link w:val="FooterChar"/>
    <w:uiPriority w:val="99"/>
    <w:rsid w:val="009E4378"/>
    <w:pPr>
      <w:tabs>
        <w:tab w:val="center" w:pos="4680"/>
        <w:tab w:val="right" w:pos="9360"/>
      </w:tabs>
    </w:pPr>
  </w:style>
  <w:style w:type="character" w:customStyle="1" w:styleId="FooterChar">
    <w:name w:val="Footer Char"/>
    <w:basedOn w:val="DefaultParagraphFont"/>
    <w:link w:val="Footer"/>
    <w:uiPriority w:val="99"/>
    <w:rsid w:val="009E4378"/>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Minor Corrections, Clarifying Changes, and a Minor Policy Change</vt:lpstr>
    </vt:vector>
  </TitlesOfParts>
  <Company/>
  <LinksUpToDate>false</LinksUpToDate>
  <CharactersWithSpaces>10184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Corrections, Clarifying Changes, and a Minor Policy Change</dc:title>
  <dc:subject/>
  <dc:creator>KNM1</dc:creator>
  <cp:keywords/>
  <dc:description/>
  <cp:lastModifiedBy>KNM1</cp:lastModifiedBy>
  <cp:revision>2</cp:revision>
  <dcterms:created xsi:type="dcterms:W3CDTF">2011-05-02T15:20:00Z</dcterms:created>
  <dcterms:modified xsi:type="dcterms:W3CDTF">2011-05-02T15:20:00Z</dcterms:modified>
</cp:coreProperties>
</file>