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F1" w:rsidRPr="004C473A" w:rsidRDefault="007008F1">
      <w:pPr>
        <w:widowControl/>
        <w:jc w:val="center"/>
        <w:rPr>
          <w:rFonts w:ascii="Arial" w:hAnsi="Arial" w:cs="Arial"/>
          <w:b/>
          <w:bCs/>
          <w:sz w:val="22"/>
          <w:szCs w:val="22"/>
        </w:rPr>
      </w:pPr>
      <w:r w:rsidRPr="004C473A">
        <w:rPr>
          <w:rFonts w:ascii="Arial" w:hAnsi="Arial" w:cs="Arial"/>
          <w:b/>
          <w:bCs/>
          <w:sz w:val="22"/>
          <w:szCs w:val="22"/>
        </w:rPr>
        <w:t>Licenses for Industrial Radiography and Radiation Safety Requirements for Industrial Radiographic Operations; Clarifying Amendments and Corrections</w:t>
      </w:r>
    </w:p>
    <w:p w:rsidR="007008F1" w:rsidRDefault="007008F1">
      <w:pPr>
        <w:widowControl/>
        <w:jc w:val="center"/>
        <w:rPr>
          <w:rFonts w:ascii="Arial" w:hAnsi="Arial" w:cs="Arial"/>
          <w:b/>
          <w:sz w:val="22"/>
          <w:szCs w:val="22"/>
        </w:rPr>
      </w:pPr>
      <w:r w:rsidRPr="004C473A">
        <w:rPr>
          <w:rFonts w:ascii="Arial" w:hAnsi="Arial" w:cs="Arial"/>
          <w:b/>
          <w:sz w:val="22"/>
          <w:szCs w:val="22"/>
        </w:rPr>
        <w:t xml:space="preserve"> (63 FR 37059) </w:t>
      </w:r>
      <w:r w:rsidR="004C473A">
        <w:rPr>
          <w:rFonts w:ascii="Arial" w:hAnsi="Arial" w:cs="Arial"/>
          <w:b/>
          <w:bCs/>
          <w:sz w:val="22"/>
          <w:szCs w:val="22"/>
        </w:rPr>
        <w:t xml:space="preserve">  RATS </w:t>
      </w:r>
      <w:r w:rsidRPr="004C473A">
        <w:rPr>
          <w:rFonts w:ascii="Arial" w:hAnsi="Arial" w:cs="Arial"/>
          <w:b/>
          <w:bCs/>
          <w:sz w:val="22"/>
          <w:szCs w:val="22"/>
        </w:rPr>
        <w:t>ID 1998</w:t>
      </w:r>
      <w:r w:rsidRPr="004C473A">
        <w:rPr>
          <w:rFonts w:ascii="Arial" w:hAnsi="Arial" w:cs="Arial"/>
          <w:b/>
          <w:bCs/>
          <w:sz w:val="22"/>
          <w:szCs w:val="22"/>
        </w:rPr>
        <w:noBreakHyphen/>
        <w:t xml:space="preserve">4 </w:t>
      </w:r>
      <w:r w:rsidRPr="004C473A">
        <w:rPr>
          <w:rFonts w:ascii="Arial" w:hAnsi="Arial" w:cs="Arial"/>
          <w:b/>
          <w:sz w:val="22"/>
          <w:szCs w:val="22"/>
        </w:rPr>
        <w:t>Effective 7/9/98</w:t>
      </w:r>
    </w:p>
    <w:p w:rsidR="004C473A" w:rsidRPr="004C473A" w:rsidRDefault="004C473A">
      <w:pPr>
        <w:widowControl/>
        <w:jc w:val="center"/>
        <w:rPr>
          <w:rFonts w:ascii="Arial" w:hAnsi="Arial" w:cs="Arial"/>
          <w:b/>
          <w:sz w:val="22"/>
          <w:szCs w:val="22"/>
        </w:rPr>
      </w:pPr>
    </w:p>
    <w:p w:rsidR="007008F1" w:rsidRDefault="007008F1">
      <w:pPr>
        <w:widowControl/>
        <w:rPr>
          <w:rFonts w:ascii="Arial" w:hAnsi="Arial" w:cs="Arial"/>
          <w:sz w:val="22"/>
          <w:szCs w:val="22"/>
        </w:rPr>
      </w:pPr>
    </w:p>
    <w:tbl>
      <w:tblPr>
        <w:tblW w:w="14310" w:type="dxa"/>
        <w:tblInd w:w="12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530"/>
        <w:gridCol w:w="1080"/>
        <w:gridCol w:w="1710"/>
        <w:gridCol w:w="3330"/>
        <w:gridCol w:w="1350"/>
        <w:gridCol w:w="1440"/>
        <w:gridCol w:w="2700"/>
      </w:tblGrid>
      <w:tr w:rsidR="007008F1" w:rsidTr="004C473A">
        <w:tblPrEx>
          <w:tblCellMar>
            <w:top w:w="0" w:type="dxa"/>
            <w:bottom w:w="0" w:type="dxa"/>
          </w:tblCellMar>
        </w:tblPrEx>
        <w:trPr>
          <w:tblHeader/>
        </w:trPr>
        <w:tc>
          <w:tcPr>
            <w:tcW w:w="1170" w:type="dxa"/>
            <w:tcBorders>
              <w:top w:val="double" w:sz="6" w:space="0" w:color="000000"/>
              <w:bottom w:val="double" w:sz="6" w:space="0" w:color="000000"/>
            </w:tcBorders>
          </w:tcPr>
          <w:p w:rsidR="007008F1" w:rsidRPr="004C473A" w:rsidRDefault="007008F1" w:rsidP="004C473A">
            <w:pPr>
              <w:jc w:val="center"/>
              <w:rPr>
                <w:rFonts w:ascii="Arial" w:hAnsi="Arial" w:cs="Arial"/>
                <w:sz w:val="22"/>
                <w:szCs w:val="22"/>
              </w:rPr>
            </w:pP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Change to NRC</w:t>
            </w: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Section</w:t>
            </w:r>
          </w:p>
        </w:tc>
        <w:tc>
          <w:tcPr>
            <w:tcW w:w="1530" w:type="dxa"/>
            <w:tcBorders>
              <w:top w:val="double" w:sz="6" w:space="0" w:color="000000"/>
              <w:bottom w:val="double" w:sz="6" w:space="0" w:color="000000"/>
            </w:tcBorders>
          </w:tcPr>
          <w:p w:rsidR="007008F1" w:rsidRPr="004C473A" w:rsidRDefault="007008F1" w:rsidP="004C473A">
            <w:pPr>
              <w:jc w:val="center"/>
              <w:rPr>
                <w:rFonts w:ascii="Arial" w:hAnsi="Arial" w:cs="Arial"/>
                <w:b/>
                <w:bCs/>
                <w:sz w:val="22"/>
                <w:szCs w:val="22"/>
              </w:rPr>
            </w:pPr>
          </w:p>
          <w:p w:rsidR="007008F1" w:rsidRPr="004C473A" w:rsidRDefault="007008F1" w:rsidP="004C473A">
            <w:pPr>
              <w:widowControl/>
              <w:tabs>
                <w:tab w:val="center" w:pos="825"/>
              </w:tabs>
              <w:jc w:val="center"/>
              <w:rPr>
                <w:rFonts w:ascii="Arial" w:hAnsi="Arial" w:cs="Arial"/>
                <w:b/>
                <w:bCs/>
                <w:sz w:val="22"/>
                <w:szCs w:val="22"/>
              </w:rPr>
            </w:pPr>
            <w:r w:rsidRPr="004C473A">
              <w:rPr>
                <w:rFonts w:ascii="Arial" w:hAnsi="Arial" w:cs="Arial"/>
                <w:b/>
                <w:bCs/>
                <w:sz w:val="22"/>
                <w:szCs w:val="22"/>
              </w:rPr>
              <w:t>Title</w:t>
            </w:r>
          </w:p>
        </w:tc>
        <w:tc>
          <w:tcPr>
            <w:tcW w:w="1080" w:type="dxa"/>
            <w:tcBorders>
              <w:top w:val="double" w:sz="6" w:space="0" w:color="000000"/>
              <w:bottom w:val="double" w:sz="6" w:space="0" w:color="000000"/>
            </w:tcBorders>
          </w:tcPr>
          <w:p w:rsidR="007008F1" w:rsidRPr="004C473A" w:rsidRDefault="007008F1" w:rsidP="004C473A">
            <w:pPr>
              <w:jc w:val="center"/>
              <w:rPr>
                <w:rFonts w:ascii="Arial" w:hAnsi="Arial" w:cs="Arial"/>
                <w:b/>
                <w:bCs/>
                <w:sz w:val="22"/>
                <w:szCs w:val="22"/>
              </w:rPr>
            </w:pPr>
          </w:p>
          <w:p w:rsidR="007008F1" w:rsidRPr="004C473A" w:rsidRDefault="007008F1" w:rsidP="004C473A">
            <w:pPr>
              <w:widowControl/>
              <w:tabs>
                <w:tab w:val="center" w:pos="375"/>
              </w:tabs>
              <w:jc w:val="center"/>
              <w:rPr>
                <w:rFonts w:ascii="Arial" w:hAnsi="Arial" w:cs="Arial"/>
                <w:b/>
                <w:bCs/>
                <w:sz w:val="22"/>
                <w:szCs w:val="22"/>
              </w:rPr>
            </w:pPr>
            <w:r w:rsidRPr="004C473A">
              <w:rPr>
                <w:rFonts w:ascii="Arial" w:hAnsi="Arial" w:cs="Arial"/>
                <w:b/>
                <w:bCs/>
                <w:sz w:val="22"/>
                <w:szCs w:val="22"/>
              </w:rPr>
              <w:t xml:space="preserve">State </w:t>
            </w: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Section</w:t>
            </w:r>
          </w:p>
        </w:tc>
        <w:tc>
          <w:tcPr>
            <w:tcW w:w="1710" w:type="dxa"/>
            <w:tcBorders>
              <w:top w:val="double" w:sz="6" w:space="0" w:color="000000"/>
              <w:bottom w:val="double" w:sz="6" w:space="0" w:color="000000"/>
            </w:tcBorders>
          </w:tcPr>
          <w:p w:rsidR="007008F1" w:rsidRPr="004C473A" w:rsidRDefault="007008F1" w:rsidP="004C473A">
            <w:pPr>
              <w:jc w:val="center"/>
              <w:rPr>
                <w:rFonts w:ascii="Arial" w:hAnsi="Arial" w:cs="Arial"/>
                <w:b/>
                <w:bCs/>
                <w:sz w:val="22"/>
                <w:szCs w:val="22"/>
              </w:rPr>
            </w:pP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 xml:space="preserve">Comparability </w:t>
            </w: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Category</w:t>
            </w:r>
          </w:p>
        </w:tc>
        <w:tc>
          <w:tcPr>
            <w:tcW w:w="3330" w:type="dxa"/>
            <w:tcBorders>
              <w:top w:val="double" w:sz="6" w:space="0" w:color="000000"/>
              <w:bottom w:val="double" w:sz="6" w:space="0" w:color="000000"/>
            </w:tcBorders>
          </w:tcPr>
          <w:p w:rsidR="007008F1" w:rsidRPr="004C473A" w:rsidRDefault="007008F1" w:rsidP="004C473A">
            <w:pPr>
              <w:jc w:val="center"/>
              <w:rPr>
                <w:rFonts w:ascii="Arial" w:hAnsi="Arial" w:cs="Arial"/>
                <w:b/>
                <w:bCs/>
                <w:sz w:val="22"/>
                <w:szCs w:val="22"/>
              </w:rPr>
            </w:pPr>
          </w:p>
          <w:p w:rsidR="007008F1" w:rsidRPr="004C473A" w:rsidRDefault="007008F1" w:rsidP="004C473A">
            <w:pPr>
              <w:widowControl/>
              <w:tabs>
                <w:tab w:val="center" w:pos="1815"/>
              </w:tabs>
              <w:jc w:val="center"/>
              <w:rPr>
                <w:rFonts w:ascii="Arial" w:hAnsi="Arial" w:cs="Arial"/>
                <w:b/>
                <w:bCs/>
                <w:sz w:val="22"/>
                <w:szCs w:val="22"/>
              </w:rPr>
            </w:pPr>
            <w:r w:rsidRPr="004C473A">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7008F1" w:rsidRPr="004C473A" w:rsidRDefault="007008F1" w:rsidP="004C473A">
            <w:pPr>
              <w:jc w:val="center"/>
              <w:rPr>
                <w:rFonts w:ascii="Arial" w:hAnsi="Arial" w:cs="Arial"/>
                <w:b/>
                <w:bCs/>
                <w:sz w:val="22"/>
                <w:szCs w:val="22"/>
              </w:rPr>
            </w:pP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Difference</w:t>
            </w: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Yes/No</w:t>
            </w:r>
          </w:p>
        </w:tc>
        <w:tc>
          <w:tcPr>
            <w:tcW w:w="1440" w:type="dxa"/>
            <w:tcBorders>
              <w:top w:val="double" w:sz="6" w:space="0" w:color="000000"/>
              <w:bottom w:val="double" w:sz="6" w:space="0" w:color="000000"/>
            </w:tcBorders>
          </w:tcPr>
          <w:p w:rsidR="007008F1" w:rsidRPr="004C473A" w:rsidRDefault="007008F1" w:rsidP="004C473A">
            <w:pPr>
              <w:jc w:val="center"/>
              <w:rPr>
                <w:rFonts w:ascii="Arial" w:hAnsi="Arial" w:cs="Arial"/>
                <w:b/>
                <w:bCs/>
                <w:sz w:val="22"/>
                <w:szCs w:val="22"/>
              </w:rPr>
            </w:pP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Significant</w:t>
            </w: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Yes/No</w:t>
            </w:r>
          </w:p>
        </w:tc>
        <w:tc>
          <w:tcPr>
            <w:tcW w:w="2700" w:type="dxa"/>
            <w:tcBorders>
              <w:top w:val="double" w:sz="6" w:space="0" w:color="000000"/>
              <w:bottom w:val="double" w:sz="6" w:space="0" w:color="000000"/>
            </w:tcBorders>
          </w:tcPr>
          <w:p w:rsidR="007008F1" w:rsidRPr="004C473A" w:rsidRDefault="007008F1" w:rsidP="004C473A">
            <w:pPr>
              <w:jc w:val="center"/>
              <w:rPr>
                <w:rFonts w:ascii="Arial" w:hAnsi="Arial" w:cs="Arial"/>
                <w:b/>
                <w:bCs/>
                <w:sz w:val="22"/>
                <w:szCs w:val="22"/>
              </w:rPr>
            </w:pPr>
          </w:p>
          <w:p w:rsidR="007008F1" w:rsidRPr="004C473A" w:rsidRDefault="007008F1" w:rsidP="004C473A">
            <w:pPr>
              <w:widowControl/>
              <w:jc w:val="center"/>
              <w:rPr>
                <w:rFonts w:ascii="Arial" w:hAnsi="Arial" w:cs="Arial"/>
                <w:b/>
                <w:bCs/>
                <w:sz w:val="22"/>
                <w:szCs w:val="22"/>
              </w:rPr>
            </w:pPr>
            <w:r w:rsidRPr="004C473A">
              <w:rPr>
                <w:rFonts w:ascii="Arial" w:hAnsi="Arial" w:cs="Arial"/>
                <w:b/>
                <w:bCs/>
                <w:sz w:val="22"/>
                <w:szCs w:val="22"/>
              </w:rPr>
              <w:t>If Difference, Why or Why Not Was a Comment Generated</w:t>
            </w:r>
          </w:p>
        </w:tc>
      </w:tr>
      <w:tr w:rsidR="007008F1" w:rsidTr="004C473A">
        <w:tblPrEx>
          <w:tblCellMar>
            <w:top w:w="0" w:type="dxa"/>
            <w:bottom w:w="0" w:type="dxa"/>
          </w:tblCellMar>
        </w:tblPrEx>
        <w:tc>
          <w:tcPr>
            <w:tcW w:w="1170" w:type="dxa"/>
            <w:tcBorders>
              <w:top w:val="double" w:sz="6" w:space="0" w:color="000000"/>
            </w:tcBorders>
          </w:tcPr>
          <w:p w:rsidR="007008F1" w:rsidRPr="004C473A" w:rsidRDefault="007008F1" w:rsidP="004C473A">
            <w:pPr>
              <w:rPr>
                <w:rFonts w:ascii="Arial" w:hAnsi="Arial" w:cs="Arial"/>
                <w:b/>
                <w:bCs/>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sym w:font="WP TypographicSymbols" w:char="0027"/>
            </w:r>
            <w:r w:rsidRPr="004C473A">
              <w:rPr>
                <w:rFonts w:ascii="Arial" w:hAnsi="Arial" w:cs="Arial"/>
                <w:sz w:val="22"/>
                <w:szCs w:val="22"/>
              </w:rPr>
              <w:t>34.27</w:t>
            </w: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(e)</w:t>
            </w: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tc>
        <w:tc>
          <w:tcPr>
            <w:tcW w:w="1530" w:type="dxa"/>
            <w:tcBorders>
              <w:top w:val="double" w:sz="6" w:space="0" w:color="000000"/>
            </w:tcBorders>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sz w:val="22"/>
                <w:szCs w:val="22"/>
              </w:rPr>
              <w:t>Leak testing and replacement of sealed sources</w:t>
            </w:r>
          </w:p>
        </w:tc>
        <w:tc>
          <w:tcPr>
            <w:tcW w:w="1080" w:type="dxa"/>
            <w:tcBorders>
              <w:top w:val="double" w:sz="6" w:space="0" w:color="000000"/>
            </w:tcBorders>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p>
        </w:tc>
        <w:tc>
          <w:tcPr>
            <w:tcW w:w="1710" w:type="dxa"/>
            <w:tcBorders>
              <w:top w:val="double" w:sz="6" w:space="0" w:color="000000"/>
            </w:tcBorders>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C</w:t>
            </w:r>
          </w:p>
        </w:tc>
        <w:tc>
          <w:tcPr>
            <w:tcW w:w="3330" w:type="dxa"/>
            <w:tcBorders>
              <w:top w:val="double" w:sz="6" w:space="0" w:color="000000"/>
            </w:tcBorders>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b/>
                <w:bCs/>
                <w:sz w:val="22"/>
                <w:szCs w:val="22"/>
              </w:rPr>
              <w:t>Amended paragraph:</w:t>
            </w:r>
          </w:p>
          <w:p w:rsidR="007008F1" w:rsidRPr="004C473A" w:rsidRDefault="007008F1" w:rsidP="004C473A">
            <w:pPr>
              <w:widowControl/>
              <w:rPr>
                <w:rFonts w:ascii="Arial" w:hAnsi="Arial" w:cs="Arial"/>
                <w:sz w:val="22"/>
                <w:szCs w:val="22"/>
              </w:rPr>
            </w:pPr>
            <w:r w:rsidRPr="004C473A">
              <w:rPr>
                <w:rFonts w:ascii="Arial" w:hAnsi="Arial" w:cs="Arial"/>
                <w:sz w:val="22"/>
                <w:szCs w:val="22"/>
              </w:rPr>
              <w:t xml:space="preserve">(e) Each exposure device using depleted uranium (DU) shielding and an ``S'' tube configuration must be tested for DU contamination at intervals not to exceed 12 months. The analysis must be capable of detecting the presence of 185 Bq (0.005 microcuries) of radioactive material on the test sample and must be performed by a person specifically authorized by the Commission or an </w:t>
            </w:r>
            <w:smartTag w:uri="urn:schemas-microsoft-com:office:smarttags" w:element="place">
              <w:smartTag w:uri="urn:schemas-microsoft-com:office:smarttags" w:element="PlaceName">
                <w:r w:rsidRPr="004C473A">
                  <w:rPr>
                    <w:rFonts w:ascii="Arial" w:hAnsi="Arial" w:cs="Arial"/>
                    <w:sz w:val="22"/>
                    <w:szCs w:val="22"/>
                  </w:rPr>
                  <w:t>Agreement</w:t>
                </w:r>
              </w:smartTag>
              <w:r w:rsidRPr="004C473A">
                <w:rPr>
                  <w:rFonts w:ascii="Arial" w:hAnsi="Arial" w:cs="Arial"/>
                  <w:sz w:val="22"/>
                  <w:szCs w:val="22"/>
                </w:rPr>
                <w:t xml:space="preserve"> </w:t>
              </w:r>
              <w:smartTag w:uri="urn:schemas-microsoft-com:office:smarttags" w:element="PlaceType">
                <w:r w:rsidRPr="004C473A">
                  <w:rPr>
                    <w:rFonts w:ascii="Arial" w:hAnsi="Arial" w:cs="Arial"/>
                    <w:sz w:val="22"/>
                    <w:szCs w:val="22"/>
                  </w:rPr>
                  <w:t>State</w:t>
                </w:r>
              </w:smartTag>
            </w:smartTag>
            <w:r w:rsidRPr="004C473A">
              <w:rPr>
                <w:rFonts w:ascii="Arial" w:hAnsi="Arial" w:cs="Arial"/>
                <w:sz w:val="22"/>
                <w:szCs w:val="22"/>
              </w:rPr>
              <w:t xml:space="preserve"> to perform the analysis. Should such testing reveal the presence of 185 Bq (0.005 microcuries) or more of removable DU contamination, the exposure device must be removed from use until an evaluation of the wear on the S</w:t>
            </w:r>
            <w:r w:rsidRPr="004C473A">
              <w:rPr>
                <w:rFonts w:ascii="Arial" w:hAnsi="Arial" w:cs="Arial"/>
                <w:sz w:val="22"/>
                <w:szCs w:val="22"/>
              </w:rPr>
              <w:noBreakHyphen/>
              <w:t>tube has been made. Should the evaluation reveal that the S</w:t>
            </w:r>
            <w:r w:rsidRPr="004C473A">
              <w:rPr>
                <w:rFonts w:ascii="Arial" w:hAnsi="Arial" w:cs="Arial"/>
                <w:sz w:val="22"/>
                <w:szCs w:val="22"/>
              </w:rPr>
              <w:noBreakHyphen/>
              <w:t xml:space="preserve">tube is worn </w:t>
            </w:r>
            <w:r w:rsidR="004C473A" w:rsidRPr="004C473A">
              <w:rPr>
                <w:rFonts w:ascii="Arial" w:hAnsi="Arial" w:cs="Arial"/>
                <w:sz w:val="22"/>
                <w:szCs w:val="22"/>
              </w:rPr>
              <w:t>through;</w:t>
            </w:r>
            <w:r w:rsidRPr="004C473A">
              <w:rPr>
                <w:rFonts w:ascii="Arial" w:hAnsi="Arial" w:cs="Arial"/>
                <w:sz w:val="22"/>
                <w:szCs w:val="22"/>
              </w:rPr>
              <w:t xml:space="preserve"> the device may not be used again. DU shielded devices do not have to be tested for DU contamination while in storage and not in use. Before using or </w:t>
            </w:r>
            <w:r w:rsidRPr="004C473A">
              <w:rPr>
                <w:rFonts w:ascii="Arial" w:hAnsi="Arial" w:cs="Arial"/>
                <w:sz w:val="22"/>
                <w:szCs w:val="22"/>
              </w:rPr>
              <w:lastRenderedPageBreak/>
              <w:t>transferring such a device however, the device must be tested for DU contamination if the interval of storage exceeded 12 months. A record of the DU leak</w:t>
            </w:r>
            <w:r w:rsidRPr="004C473A">
              <w:rPr>
                <w:rFonts w:ascii="Arial" w:hAnsi="Arial" w:cs="Arial"/>
                <w:sz w:val="22"/>
                <w:szCs w:val="22"/>
              </w:rPr>
              <w:noBreakHyphen/>
              <w:t>test must be made in accordance with Sec. 34.67. Licensees will have until June 27, 1998, to comply with the DU leak</w:t>
            </w:r>
            <w:r w:rsidRPr="004C473A">
              <w:rPr>
                <w:rFonts w:ascii="Arial" w:hAnsi="Arial" w:cs="Arial"/>
                <w:sz w:val="22"/>
                <w:szCs w:val="22"/>
              </w:rPr>
              <w:noBreakHyphen/>
              <w:t>testing requirements of this paragraph.</w:t>
            </w:r>
          </w:p>
        </w:tc>
        <w:tc>
          <w:tcPr>
            <w:tcW w:w="1350" w:type="dxa"/>
            <w:tcBorders>
              <w:top w:val="double" w:sz="6" w:space="0" w:color="000000"/>
            </w:tcBorders>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c>
          <w:tcPr>
            <w:tcW w:w="1440" w:type="dxa"/>
            <w:tcBorders>
              <w:top w:val="double" w:sz="6" w:space="0" w:color="000000"/>
            </w:tcBorders>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c>
          <w:tcPr>
            <w:tcW w:w="2700" w:type="dxa"/>
            <w:tcBorders>
              <w:top w:val="double" w:sz="6" w:space="0" w:color="000000"/>
            </w:tcBorders>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r>
      <w:tr w:rsidR="007008F1" w:rsidTr="004C473A">
        <w:tblPrEx>
          <w:tblCellMar>
            <w:top w:w="0" w:type="dxa"/>
            <w:bottom w:w="0" w:type="dxa"/>
          </w:tblCellMar>
        </w:tblPrEx>
        <w:tc>
          <w:tcPr>
            <w:tcW w:w="117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sym w:font="WP TypographicSymbols" w:char="0027"/>
            </w:r>
            <w:r w:rsidRPr="004C473A">
              <w:rPr>
                <w:rFonts w:ascii="Arial" w:hAnsi="Arial" w:cs="Arial"/>
                <w:sz w:val="22"/>
                <w:szCs w:val="22"/>
              </w:rPr>
              <w:t>34.41</w:t>
            </w: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(d)</w:t>
            </w:r>
          </w:p>
        </w:tc>
        <w:tc>
          <w:tcPr>
            <w:tcW w:w="153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sz w:val="22"/>
                <w:szCs w:val="22"/>
              </w:rPr>
              <w:t>Conducting industrial radiographic operations</w:t>
            </w:r>
          </w:p>
        </w:tc>
        <w:tc>
          <w:tcPr>
            <w:tcW w:w="108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p>
        </w:tc>
        <w:tc>
          <w:tcPr>
            <w:tcW w:w="171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D</w:t>
            </w:r>
          </w:p>
        </w:tc>
        <w:tc>
          <w:tcPr>
            <w:tcW w:w="3330" w:type="dxa"/>
          </w:tcPr>
          <w:p w:rsidR="007008F1" w:rsidRPr="004C473A" w:rsidRDefault="007008F1" w:rsidP="004C473A">
            <w:pPr>
              <w:rPr>
                <w:rFonts w:ascii="Arial" w:hAnsi="Arial" w:cs="Arial"/>
                <w:sz w:val="22"/>
                <w:szCs w:val="22"/>
              </w:rPr>
            </w:pPr>
          </w:p>
          <w:p w:rsidR="007008F1" w:rsidRPr="004C473A" w:rsidRDefault="004C473A" w:rsidP="004C473A">
            <w:pPr>
              <w:widowControl/>
              <w:rPr>
                <w:rFonts w:ascii="Arial" w:hAnsi="Arial" w:cs="Arial"/>
                <w:sz w:val="22"/>
                <w:szCs w:val="22"/>
              </w:rPr>
            </w:pPr>
            <w:r>
              <w:rPr>
                <w:rFonts w:ascii="Arial" w:hAnsi="Arial" w:cs="Arial"/>
                <w:bCs/>
                <w:sz w:val="22"/>
                <w:szCs w:val="22"/>
              </w:rPr>
              <w:t>N/A</w:t>
            </w:r>
          </w:p>
        </w:tc>
        <w:tc>
          <w:tcPr>
            <w:tcW w:w="135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sz w:val="22"/>
                <w:szCs w:val="22"/>
              </w:rPr>
              <w:t>N/A</w:t>
            </w:r>
          </w:p>
        </w:tc>
        <w:tc>
          <w:tcPr>
            <w:tcW w:w="144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c>
          <w:tcPr>
            <w:tcW w:w="270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r>
      <w:tr w:rsidR="007008F1" w:rsidTr="004C473A">
        <w:tblPrEx>
          <w:tblCellMar>
            <w:top w:w="0" w:type="dxa"/>
            <w:bottom w:w="0" w:type="dxa"/>
          </w:tblCellMar>
        </w:tblPrEx>
        <w:tc>
          <w:tcPr>
            <w:tcW w:w="117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sym w:font="WP TypographicSymbols" w:char="0027"/>
            </w:r>
            <w:r w:rsidRPr="004C473A">
              <w:rPr>
                <w:rFonts w:ascii="Arial" w:hAnsi="Arial" w:cs="Arial"/>
                <w:sz w:val="22"/>
                <w:szCs w:val="22"/>
              </w:rPr>
              <w:t>34.42</w:t>
            </w: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(d)</w:t>
            </w:r>
          </w:p>
        </w:tc>
        <w:tc>
          <w:tcPr>
            <w:tcW w:w="153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sz w:val="22"/>
                <w:szCs w:val="22"/>
              </w:rPr>
              <w:t>Radiation Safety Officer for industrial radiography</w:t>
            </w:r>
          </w:p>
        </w:tc>
        <w:tc>
          <w:tcPr>
            <w:tcW w:w="108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p>
        </w:tc>
        <w:tc>
          <w:tcPr>
            <w:tcW w:w="171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D</w:t>
            </w:r>
          </w:p>
        </w:tc>
        <w:tc>
          <w:tcPr>
            <w:tcW w:w="3330" w:type="dxa"/>
          </w:tcPr>
          <w:p w:rsidR="007008F1" w:rsidRPr="004C473A" w:rsidRDefault="007008F1" w:rsidP="004C473A">
            <w:pPr>
              <w:rPr>
                <w:rFonts w:ascii="Arial" w:hAnsi="Arial" w:cs="Arial"/>
                <w:sz w:val="22"/>
                <w:szCs w:val="22"/>
              </w:rPr>
            </w:pPr>
          </w:p>
          <w:p w:rsidR="007008F1" w:rsidRPr="004C473A" w:rsidRDefault="004C473A" w:rsidP="004C473A">
            <w:pPr>
              <w:widowControl/>
              <w:rPr>
                <w:rFonts w:ascii="Arial" w:hAnsi="Arial" w:cs="Arial"/>
                <w:sz w:val="22"/>
                <w:szCs w:val="22"/>
              </w:rPr>
            </w:pPr>
            <w:r>
              <w:rPr>
                <w:rFonts w:ascii="Arial" w:hAnsi="Arial" w:cs="Arial"/>
                <w:bCs/>
                <w:sz w:val="22"/>
                <w:szCs w:val="22"/>
              </w:rPr>
              <w:t>N/A</w:t>
            </w:r>
          </w:p>
        </w:tc>
        <w:tc>
          <w:tcPr>
            <w:tcW w:w="135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sz w:val="22"/>
                <w:szCs w:val="22"/>
              </w:rPr>
              <w:t>N/A</w:t>
            </w:r>
          </w:p>
        </w:tc>
        <w:tc>
          <w:tcPr>
            <w:tcW w:w="144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c>
          <w:tcPr>
            <w:tcW w:w="270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r>
      <w:tr w:rsidR="007008F1" w:rsidTr="004C473A">
        <w:tblPrEx>
          <w:tblCellMar>
            <w:top w:w="0" w:type="dxa"/>
            <w:bottom w:w="0" w:type="dxa"/>
          </w:tblCellMar>
        </w:tblPrEx>
        <w:tc>
          <w:tcPr>
            <w:tcW w:w="117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sym w:font="WP TypographicSymbols" w:char="0027"/>
            </w:r>
            <w:r w:rsidRPr="004C473A">
              <w:rPr>
                <w:rFonts w:ascii="Arial" w:hAnsi="Arial" w:cs="Arial"/>
                <w:sz w:val="22"/>
                <w:szCs w:val="22"/>
              </w:rPr>
              <w:t>34.43</w:t>
            </w: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(a)(2)</w:t>
            </w:r>
          </w:p>
        </w:tc>
        <w:tc>
          <w:tcPr>
            <w:tcW w:w="153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sz w:val="22"/>
                <w:szCs w:val="22"/>
              </w:rPr>
              <w:t>Training</w:t>
            </w:r>
          </w:p>
        </w:tc>
        <w:tc>
          <w:tcPr>
            <w:tcW w:w="108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p>
        </w:tc>
        <w:tc>
          <w:tcPr>
            <w:tcW w:w="171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D</w:t>
            </w:r>
          </w:p>
        </w:tc>
        <w:tc>
          <w:tcPr>
            <w:tcW w:w="3330" w:type="dxa"/>
          </w:tcPr>
          <w:p w:rsidR="007008F1" w:rsidRPr="004C473A" w:rsidRDefault="007008F1" w:rsidP="004C473A">
            <w:pPr>
              <w:rPr>
                <w:rFonts w:ascii="Arial" w:hAnsi="Arial" w:cs="Arial"/>
                <w:sz w:val="22"/>
                <w:szCs w:val="22"/>
              </w:rPr>
            </w:pPr>
          </w:p>
          <w:p w:rsidR="007008F1" w:rsidRPr="004C473A" w:rsidRDefault="004C473A" w:rsidP="004C473A">
            <w:pPr>
              <w:widowControl/>
              <w:rPr>
                <w:rFonts w:ascii="Arial" w:hAnsi="Arial" w:cs="Arial"/>
                <w:sz w:val="22"/>
                <w:szCs w:val="22"/>
              </w:rPr>
            </w:pPr>
            <w:r>
              <w:rPr>
                <w:rFonts w:ascii="Arial" w:hAnsi="Arial" w:cs="Arial"/>
                <w:bCs/>
                <w:sz w:val="22"/>
                <w:szCs w:val="22"/>
              </w:rPr>
              <w:t>N/A</w:t>
            </w:r>
          </w:p>
        </w:tc>
        <w:tc>
          <w:tcPr>
            <w:tcW w:w="135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sz w:val="22"/>
                <w:szCs w:val="22"/>
              </w:rPr>
              <w:t>N/A</w:t>
            </w:r>
          </w:p>
        </w:tc>
        <w:tc>
          <w:tcPr>
            <w:tcW w:w="144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c>
          <w:tcPr>
            <w:tcW w:w="270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r>
      <w:tr w:rsidR="007008F1" w:rsidTr="004C473A">
        <w:tblPrEx>
          <w:tblCellMar>
            <w:top w:w="0" w:type="dxa"/>
            <w:bottom w:w="0" w:type="dxa"/>
          </w:tblCellMar>
        </w:tblPrEx>
        <w:tc>
          <w:tcPr>
            <w:tcW w:w="117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sym w:font="WP TypographicSymbols" w:char="0027"/>
            </w:r>
            <w:r w:rsidRPr="004C473A">
              <w:rPr>
                <w:rFonts w:ascii="Arial" w:hAnsi="Arial" w:cs="Arial"/>
                <w:sz w:val="22"/>
                <w:szCs w:val="22"/>
              </w:rPr>
              <w:t>34.43</w:t>
            </w: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(h)(i)</w:t>
            </w: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p w:rsidR="007008F1" w:rsidRPr="004C473A" w:rsidRDefault="007008F1" w:rsidP="004C473A">
            <w:pPr>
              <w:widowControl/>
              <w:jc w:val="center"/>
              <w:rPr>
                <w:rFonts w:ascii="Arial" w:hAnsi="Arial" w:cs="Arial"/>
                <w:sz w:val="22"/>
                <w:szCs w:val="22"/>
              </w:rPr>
            </w:pPr>
          </w:p>
        </w:tc>
        <w:tc>
          <w:tcPr>
            <w:tcW w:w="153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sz w:val="22"/>
                <w:szCs w:val="22"/>
              </w:rPr>
              <w:t>Training</w:t>
            </w:r>
          </w:p>
        </w:tc>
        <w:tc>
          <w:tcPr>
            <w:tcW w:w="108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p>
        </w:tc>
        <w:tc>
          <w:tcPr>
            <w:tcW w:w="1710" w:type="dxa"/>
          </w:tcPr>
          <w:p w:rsidR="007008F1" w:rsidRPr="004C473A" w:rsidRDefault="007008F1" w:rsidP="004C473A">
            <w:pPr>
              <w:rPr>
                <w:rFonts w:ascii="Arial" w:hAnsi="Arial" w:cs="Arial"/>
                <w:sz w:val="22"/>
                <w:szCs w:val="22"/>
              </w:rPr>
            </w:pPr>
          </w:p>
          <w:p w:rsidR="007008F1" w:rsidRPr="004C473A" w:rsidRDefault="007008F1" w:rsidP="004C473A">
            <w:pPr>
              <w:widowControl/>
              <w:jc w:val="center"/>
              <w:rPr>
                <w:rFonts w:ascii="Arial" w:hAnsi="Arial" w:cs="Arial"/>
                <w:sz w:val="22"/>
                <w:szCs w:val="22"/>
              </w:rPr>
            </w:pPr>
            <w:r w:rsidRPr="004C473A">
              <w:rPr>
                <w:rFonts w:ascii="Arial" w:hAnsi="Arial" w:cs="Arial"/>
                <w:sz w:val="22"/>
                <w:szCs w:val="22"/>
              </w:rPr>
              <w:t>B</w:t>
            </w:r>
          </w:p>
        </w:tc>
        <w:tc>
          <w:tcPr>
            <w:tcW w:w="333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r w:rsidRPr="004C473A">
              <w:rPr>
                <w:rFonts w:ascii="Arial" w:hAnsi="Arial" w:cs="Arial"/>
                <w:b/>
                <w:bCs/>
                <w:sz w:val="22"/>
                <w:szCs w:val="22"/>
              </w:rPr>
              <w:t>Amended paragraph (h) and new paragraph (i):</w:t>
            </w:r>
          </w:p>
          <w:p w:rsidR="007008F1" w:rsidRPr="004C473A" w:rsidRDefault="007008F1" w:rsidP="004C473A">
            <w:pPr>
              <w:widowControl/>
              <w:rPr>
                <w:rFonts w:ascii="Arial" w:hAnsi="Arial" w:cs="Arial"/>
                <w:sz w:val="22"/>
                <w:szCs w:val="22"/>
              </w:rPr>
            </w:pPr>
            <w:r w:rsidRPr="004C473A">
              <w:rPr>
                <w:rFonts w:ascii="Arial" w:hAnsi="Arial" w:cs="Arial"/>
                <w:sz w:val="22"/>
                <w:szCs w:val="22"/>
              </w:rPr>
              <w:t>(h) Licensees will have until June 27, 1998, to comply with the additional training requirements specified in paragraphs (b)(1) and (c)(1) of this section.</w:t>
            </w:r>
          </w:p>
          <w:p w:rsidR="007008F1" w:rsidRPr="004C473A" w:rsidRDefault="007008F1" w:rsidP="004C473A">
            <w:pPr>
              <w:widowControl/>
              <w:rPr>
                <w:rFonts w:ascii="Arial" w:hAnsi="Arial" w:cs="Arial"/>
                <w:sz w:val="22"/>
                <w:szCs w:val="22"/>
              </w:rPr>
            </w:pPr>
            <w:r w:rsidRPr="004C473A">
              <w:rPr>
                <w:rFonts w:ascii="Arial" w:hAnsi="Arial" w:cs="Arial"/>
                <w:sz w:val="22"/>
                <w:szCs w:val="22"/>
              </w:rPr>
              <w:t xml:space="preserve">    (i) Licensees will have until June 27, 1999 to comply with the certification requirements </w:t>
            </w:r>
            <w:r w:rsidRPr="004C473A">
              <w:rPr>
                <w:rFonts w:ascii="Arial" w:hAnsi="Arial" w:cs="Arial"/>
                <w:sz w:val="22"/>
                <w:szCs w:val="22"/>
              </w:rPr>
              <w:lastRenderedPageBreak/>
              <w:t>specified in paragraph (a)(1) of this section. Records of radiographer certification maintained in accordance with Sec. 34.79(a) provide appropriate affirmation of certification requirements specified in paragraph (a)(1) of this section.</w:t>
            </w:r>
          </w:p>
        </w:tc>
        <w:tc>
          <w:tcPr>
            <w:tcW w:w="135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c>
          <w:tcPr>
            <w:tcW w:w="144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c>
          <w:tcPr>
            <w:tcW w:w="2700" w:type="dxa"/>
          </w:tcPr>
          <w:p w:rsidR="007008F1" w:rsidRPr="004C473A" w:rsidRDefault="007008F1" w:rsidP="004C473A">
            <w:pPr>
              <w:rPr>
                <w:rFonts w:ascii="Arial" w:hAnsi="Arial" w:cs="Arial"/>
                <w:sz w:val="22"/>
                <w:szCs w:val="22"/>
              </w:rPr>
            </w:pPr>
          </w:p>
          <w:p w:rsidR="007008F1" w:rsidRPr="004C473A" w:rsidRDefault="007008F1" w:rsidP="004C473A">
            <w:pPr>
              <w:widowControl/>
              <w:rPr>
                <w:rFonts w:ascii="Arial" w:hAnsi="Arial" w:cs="Arial"/>
                <w:sz w:val="22"/>
                <w:szCs w:val="22"/>
              </w:rPr>
            </w:pPr>
          </w:p>
        </w:tc>
      </w:tr>
    </w:tbl>
    <w:p w:rsidR="007008F1" w:rsidRDefault="007008F1">
      <w:pPr>
        <w:widowControl/>
        <w:rPr>
          <w:rFonts w:ascii="Arial" w:hAnsi="Arial" w:cs="Arial"/>
          <w:sz w:val="22"/>
          <w:szCs w:val="22"/>
        </w:rPr>
      </w:pPr>
    </w:p>
    <w:sectPr w:rsidR="007008F1" w:rsidSect="007008F1">
      <w:footerReference w:type="default" r:id="rId6"/>
      <w:type w:val="continuous"/>
      <w:pgSz w:w="15840" w:h="12240" w:orient="landscape"/>
      <w:pgMar w:top="810" w:right="1440" w:bottom="270" w:left="81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DBD" w:rsidRDefault="004B2DBD" w:rsidP="004B2DBD">
      <w:r>
        <w:separator/>
      </w:r>
    </w:p>
  </w:endnote>
  <w:endnote w:type="continuationSeparator" w:id="0">
    <w:p w:rsidR="004B2DBD" w:rsidRDefault="004B2DBD" w:rsidP="004B2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DBD" w:rsidRDefault="004B2DBD">
    <w:pPr>
      <w:pStyle w:val="Footer"/>
      <w:jc w:val="center"/>
    </w:pPr>
    <w:fldSimple w:instr=" PAGE   \* MERGEFORMAT ">
      <w:r>
        <w:rPr>
          <w:noProof/>
        </w:rPr>
        <w:t>1</w:t>
      </w:r>
    </w:fldSimple>
  </w:p>
  <w:p w:rsidR="004B2DBD" w:rsidRDefault="004B2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DBD" w:rsidRDefault="004B2DBD" w:rsidP="004B2DBD">
      <w:r>
        <w:separator/>
      </w:r>
    </w:p>
  </w:footnote>
  <w:footnote w:type="continuationSeparator" w:id="0">
    <w:p w:rsidR="004B2DBD" w:rsidRDefault="004B2DBD" w:rsidP="004B2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008F1"/>
    <w:rsid w:val="004B2DBD"/>
    <w:rsid w:val="004C473A"/>
    <w:rsid w:val="007008F1"/>
    <w:rsid w:val="00C27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4B2DBD"/>
    <w:pPr>
      <w:tabs>
        <w:tab w:val="center" w:pos="4680"/>
        <w:tab w:val="right" w:pos="9360"/>
      </w:tabs>
    </w:pPr>
  </w:style>
  <w:style w:type="character" w:customStyle="1" w:styleId="HeaderChar">
    <w:name w:val="Header Char"/>
    <w:basedOn w:val="DefaultParagraphFont"/>
    <w:link w:val="Header"/>
    <w:rsid w:val="004B2DBD"/>
    <w:rPr>
      <w:sz w:val="24"/>
      <w:szCs w:val="24"/>
    </w:rPr>
  </w:style>
  <w:style w:type="paragraph" w:styleId="Footer">
    <w:name w:val="footer"/>
    <w:basedOn w:val="Normal"/>
    <w:link w:val="FooterChar"/>
    <w:uiPriority w:val="99"/>
    <w:rsid w:val="004B2DBD"/>
    <w:pPr>
      <w:tabs>
        <w:tab w:val="center" w:pos="4680"/>
        <w:tab w:val="right" w:pos="9360"/>
      </w:tabs>
    </w:pPr>
  </w:style>
  <w:style w:type="character" w:customStyle="1" w:styleId="FooterChar">
    <w:name w:val="Footer Char"/>
    <w:basedOn w:val="DefaultParagraphFont"/>
    <w:link w:val="Footer"/>
    <w:uiPriority w:val="99"/>
    <w:rsid w:val="004B2DB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Licenses for Industrial Radiography and Radiation Safety Requirements for Industrial Radiographic Operations; Clarifying Amendments and Corrections</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Licenses for Industrial Radiography and Radiation Safety Requirements for Industrial Radiographic Operations; Clarifying Amendments and Corrections</dc:title>
  <dc:subject/>
  <dc:creator>KNM1</dc:creator>
  <cp:keywords/>
  <dc:description/>
  <cp:lastModifiedBy>KNM1</cp:lastModifiedBy>
  <cp:revision>2</cp:revision>
  <dcterms:created xsi:type="dcterms:W3CDTF">2011-05-02T15:19:00Z</dcterms:created>
  <dcterms:modified xsi:type="dcterms:W3CDTF">2011-05-02T15:19:00Z</dcterms:modified>
</cp:coreProperties>
</file>