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595" w:rsidRPr="0010016B" w:rsidRDefault="003F6595">
      <w:pPr>
        <w:widowControl/>
        <w:jc w:val="center"/>
        <w:rPr>
          <w:rFonts w:ascii="Arial" w:hAnsi="Arial" w:cs="Arial"/>
          <w:b/>
          <w:bCs/>
          <w:sz w:val="22"/>
          <w:szCs w:val="22"/>
        </w:rPr>
      </w:pPr>
      <w:r w:rsidRPr="0010016B">
        <w:rPr>
          <w:rFonts w:ascii="Arial" w:hAnsi="Arial" w:cs="Arial"/>
          <w:b/>
          <w:bCs/>
          <w:sz w:val="22"/>
          <w:szCs w:val="22"/>
        </w:rPr>
        <w:t>Resolution of Dual Regu</w:t>
      </w:r>
      <w:r w:rsidR="0010016B">
        <w:rPr>
          <w:rFonts w:ascii="Arial" w:hAnsi="Arial" w:cs="Arial"/>
          <w:b/>
          <w:bCs/>
          <w:sz w:val="22"/>
          <w:szCs w:val="22"/>
        </w:rPr>
        <w:t>lation of Airborne Effluents of</w:t>
      </w:r>
      <w:r w:rsidRPr="0010016B">
        <w:rPr>
          <w:rFonts w:ascii="Arial" w:hAnsi="Arial" w:cs="Arial"/>
          <w:b/>
          <w:bCs/>
          <w:sz w:val="22"/>
          <w:szCs w:val="22"/>
        </w:rPr>
        <w:t xml:space="preserve"> Radioactive Materials; Clean Air Act </w:t>
      </w:r>
    </w:p>
    <w:p w:rsidR="003F6595" w:rsidRPr="0010016B" w:rsidRDefault="003F6595">
      <w:pPr>
        <w:widowControl/>
        <w:jc w:val="center"/>
        <w:rPr>
          <w:rFonts w:ascii="Arial" w:hAnsi="Arial" w:cs="Arial"/>
          <w:b/>
          <w:sz w:val="22"/>
          <w:szCs w:val="22"/>
        </w:rPr>
      </w:pPr>
      <w:r w:rsidRPr="0010016B">
        <w:rPr>
          <w:rFonts w:ascii="Arial" w:hAnsi="Arial" w:cs="Arial"/>
          <w:b/>
          <w:bCs/>
          <w:sz w:val="22"/>
          <w:szCs w:val="22"/>
        </w:rPr>
        <w:t xml:space="preserve"> </w:t>
      </w:r>
      <w:r w:rsidRPr="0010016B">
        <w:rPr>
          <w:rFonts w:ascii="Arial" w:hAnsi="Arial" w:cs="Arial"/>
          <w:b/>
          <w:sz w:val="22"/>
          <w:szCs w:val="22"/>
        </w:rPr>
        <w:t xml:space="preserve">(61 FR 65120; December 10, 1996) </w:t>
      </w:r>
      <w:r w:rsidR="0010016B">
        <w:rPr>
          <w:rFonts w:ascii="Arial" w:hAnsi="Arial" w:cs="Arial"/>
          <w:b/>
          <w:bCs/>
          <w:sz w:val="22"/>
          <w:szCs w:val="22"/>
        </w:rPr>
        <w:t>RATS ID 1997</w:t>
      </w:r>
      <w:r w:rsidR="0010016B">
        <w:rPr>
          <w:rFonts w:ascii="Arial" w:hAnsi="Arial" w:cs="Arial"/>
          <w:b/>
          <w:bCs/>
          <w:sz w:val="22"/>
          <w:szCs w:val="22"/>
        </w:rPr>
        <w:noBreakHyphen/>
        <w:t>1</w:t>
      </w:r>
      <w:r w:rsidRPr="0010016B">
        <w:rPr>
          <w:rFonts w:ascii="Arial" w:hAnsi="Arial" w:cs="Arial"/>
          <w:b/>
          <w:bCs/>
          <w:sz w:val="22"/>
          <w:szCs w:val="22"/>
        </w:rPr>
        <w:t xml:space="preserve"> </w:t>
      </w:r>
      <w:r w:rsidRPr="0010016B">
        <w:rPr>
          <w:rFonts w:ascii="Arial" w:hAnsi="Arial" w:cs="Arial"/>
          <w:b/>
          <w:sz w:val="22"/>
          <w:szCs w:val="22"/>
        </w:rPr>
        <w:t>Effective January 9, 1997</w:t>
      </w:r>
    </w:p>
    <w:p w:rsidR="003F6595" w:rsidRDefault="003F6595">
      <w:pPr>
        <w:widowControl/>
        <w:rPr>
          <w:rFonts w:ascii="Arial" w:hAnsi="Arial" w:cs="Arial"/>
          <w:sz w:val="22"/>
          <w:szCs w:val="22"/>
        </w:rPr>
      </w:pPr>
    </w:p>
    <w:tbl>
      <w:tblPr>
        <w:tblW w:w="14580" w:type="dxa"/>
        <w:tblInd w:w="39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710"/>
        <w:gridCol w:w="1080"/>
        <w:gridCol w:w="1710"/>
        <w:gridCol w:w="3150"/>
        <w:gridCol w:w="1350"/>
        <w:gridCol w:w="1440"/>
        <w:gridCol w:w="2970"/>
      </w:tblGrid>
      <w:tr w:rsidR="003F6595" w:rsidTr="0010016B">
        <w:tblPrEx>
          <w:tblCellMar>
            <w:top w:w="0" w:type="dxa"/>
            <w:bottom w:w="0" w:type="dxa"/>
          </w:tblCellMar>
        </w:tblPrEx>
        <w:trPr>
          <w:tblHeader/>
        </w:trPr>
        <w:tc>
          <w:tcPr>
            <w:tcW w:w="1170" w:type="dxa"/>
            <w:tcBorders>
              <w:top w:val="double" w:sz="6" w:space="0" w:color="000000"/>
              <w:bottom w:val="double" w:sz="6" w:space="0" w:color="000000"/>
            </w:tcBorders>
          </w:tcPr>
          <w:p w:rsidR="003F6595" w:rsidRPr="0010016B" w:rsidRDefault="003F6595" w:rsidP="0010016B">
            <w:pPr>
              <w:jc w:val="center"/>
              <w:rPr>
                <w:rFonts w:ascii="Arial" w:hAnsi="Arial" w:cs="Arial"/>
                <w:sz w:val="22"/>
                <w:szCs w:val="22"/>
              </w:rPr>
            </w:pP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Change to NRC</w:t>
            </w: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Section</w:t>
            </w:r>
          </w:p>
        </w:tc>
        <w:tc>
          <w:tcPr>
            <w:tcW w:w="1710" w:type="dxa"/>
            <w:tcBorders>
              <w:top w:val="double" w:sz="6" w:space="0" w:color="000000"/>
              <w:bottom w:val="double" w:sz="6" w:space="0" w:color="000000"/>
            </w:tcBorders>
          </w:tcPr>
          <w:p w:rsidR="003F6595" w:rsidRPr="0010016B" w:rsidRDefault="003F6595" w:rsidP="0010016B">
            <w:pPr>
              <w:jc w:val="center"/>
              <w:rPr>
                <w:rFonts w:ascii="Arial" w:hAnsi="Arial" w:cs="Arial"/>
                <w:b/>
                <w:bCs/>
                <w:sz w:val="22"/>
                <w:szCs w:val="22"/>
              </w:rPr>
            </w:pPr>
          </w:p>
          <w:p w:rsidR="003F6595" w:rsidRPr="0010016B" w:rsidRDefault="003F6595" w:rsidP="0010016B">
            <w:pPr>
              <w:widowControl/>
              <w:tabs>
                <w:tab w:val="center" w:pos="825"/>
              </w:tabs>
              <w:jc w:val="center"/>
              <w:rPr>
                <w:rFonts w:ascii="Arial" w:hAnsi="Arial" w:cs="Arial"/>
                <w:b/>
                <w:bCs/>
                <w:sz w:val="22"/>
                <w:szCs w:val="22"/>
              </w:rPr>
            </w:pPr>
            <w:r w:rsidRPr="0010016B">
              <w:rPr>
                <w:rFonts w:ascii="Arial" w:hAnsi="Arial" w:cs="Arial"/>
                <w:b/>
                <w:bCs/>
                <w:sz w:val="22"/>
                <w:szCs w:val="22"/>
              </w:rPr>
              <w:t>Title</w:t>
            </w:r>
          </w:p>
        </w:tc>
        <w:tc>
          <w:tcPr>
            <w:tcW w:w="1080" w:type="dxa"/>
            <w:tcBorders>
              <w:top w:val="double" w:sz="6" w:space="0" w:color="000000"/>
              <w:bottom w:val="double" w:sz="6" w:space="0" w:color="000000"/>
            </w:tcBorders>
          </w:tcPr>
          <w:p w:rsidR="003F6595" w:rsidRPr="0010016B" w:rsidRDefault="003F6595" w:rsidP="0010016B">
            <w:pPr>
              <w:jc w:val="center"/>
              <w:rPr>
                <w:rFonts w:ascii="Arial" w:hAnsi="Arial" w:cs="Arial"/>
                <w:b/>
                <w:bCs/>
                <w:sz w:val="22"/>
                <w:szCs w:val="22"/>
              </w:rPr>
            </w:pPr>
          </w:p>
          <w:p w:rsidR="003F6595" w:rsidRPr="0010016B" w:rsidRDefault="003F6595" w:rsidP="0010016B">
            <w:pPr>
              <w:widowControl/>
              <w:tabs>
                <w:tab w:val="center" w:pos="420"/>
              </w:tabs>
              <w:jc w:val="center"/>
              <w:rPr>
                <w:rFonts w:ascii="Arial" w:hAnsi="Arial" w:cs="Arial"/>
                <w:b/>
                <w:bCs/>
                <w:sz w:val="22"/>
                <w:szCs w:val="22"/>
              </w:rPr>
            </w:pPr>
            <w:r w:rsidRPr="0010016B">
              <w:rPr>
                <w:rFonts w:ascii="Arial" w:hAnsi="Arial" w:cs="Arial"/>
                <w:b/>
                <w:bCs/>
                <w:sz w:val="22"/>
                <w:szCs w:val="22"/>
              </w:rPr>
              <w:t xml:space="preserve">State </w:t>
            </w: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Section</w:t>
            </w:r>
          </w:p>
        </w:tc>
        <w:tc>
          <w:tcPr>
            <w:tcW w:w="1710" w:type="dxa"/>
            <w:tcBorders>
              <w:top w:val="double" w:sz="6" w:space="0" w:color="000000"/>
              <w:bottom w:val="double" w:sz="6" w:space="0" w:color="000000"/>
            </w:tcBorders>
          </w:tcPr>
          <w:p w:rsidR="003F6595" w:rsidRPr="0010016B" w:rsidRDefault="003F6595" w:rsidP="0010016B">
            <w:pPr>
              <w:jc w:val="center"/>
              <w:rPr>
                <w:rFonts w:ascii="Arial" w:hAnsi="Arial" w:cs="Arial"/>
                <w:b/>
                <w:bCs/>
                <w:sz w:val="22"/>
                <w:szCs w:val="22"/>
              </w:rPr>
            </w:pP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 xml:space="preserve">Compatibility </w:t>
            </w: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Category</w:t>
            </w:r>
          </w:p>
        </w:tc>
        <w:tc>
          <w:tcPr>
            <w:tcW w:w="3150" w:type="dxa"/>
            <w:tcBorders>
              <w:top w:val="double" w:sz="6" w:space="0" w:color="000000"/>
              <w:bottom w:val="double" w:sz="6" w:space="0" w:color="000000"/>
            </w:tcBorders>
          </w:tcPr>
          <w:p w:rsidR="003F6595" w:rsidRPr="0010016B" w:rsidRDefault="003F6595" w:rsidP="0010016B">
            <w:pPr>
              <w:jc w:val="center"/>
              <w:rPr>
                <w:rFonts w:ascii="Arial" w:hAnsi="Arial" w:cs="Arial"/>
                <w:b/>
                <w:bCs/>
                <w:sz w:val="22"/>
                <w:szCs w:val="22"/>
              </w:rPr>
            </w:pPr>
          </w:p>
          <w:p w:rsidR="003F6595" w:rsidRPr="0010016B" w:rsidRDefault="003F6595" w:rsidP="0010016B">
            <w:pPr>
              <w:widowControl/>
              <w:tabs>
                <w:tab w:val="center" w:pos="1815"/>
              </w:tabs>
              <w:jc w:val="center"/>
              <w:rPr>
                <w:rFonts w:ascii="Arial" w:hAnsi="Arial" w:cs="Arial"/>
                <w:b/>
                <w:bCs/>
                <w:sz w:val="22"/>
                <w:szCs w:val="22"/>
              </w:rPr>
            </w:pPr>
            <w:r w:rsidRPr="0010016B">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3F6595" w:rsidRPr="0010016B" w:rsidRDefault="003F6595" w:rsidP="0010016B">
            <w:pPr>
              <w:jc w:val="center"/>
              <w:rPr>
                <w:rFonts w:ascii="Arial" w:hAnsi="Arial" w:cs="Arial"/>
                <w:b/>
                <w:bCs/>
                <w:sz w:val="22"/>
                <w:szCs w:val="22"/>
              </w:rPr>
            </w:pP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Difference</w:t>
            </w: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Yes/No</w:t>
            </w:r>
          </w:p>
        </w:tc>
        <w:tc>
          <w:tcPr>
            <w:tcW w:w="1440" w:type="dxa"/>
            <w:tcBorders>
              <w:top w:val="double" w:sz="6" w:space="0" w:color="000000"/>
              <w:bottom w:val="double" w:sz="6" w:space="0" w:color="000000"/>
            </w:tcBorders>
          </w:tcPr>
          <w:p w:rsidR="003F6595" w:rsidRPr="0010016B" w:rsidRDefault="003F6595" w:rsidP="0010016B">
            <w:pPr>
              <w:jc w:val="center"/>
              <w:rPr>
                <w:rFonts w:ascii="Arial" w:hAnsi="Arial" w:cs="Arial"/>
                <w:b/>
                <w:bCs/>
                <w:sz w:val="22"/>
                <w:szCs w:val="22"/>
              </w:rPr>
            </w:pP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Significant</w:t>
            </w: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Yes/No</w:t>
            </w:r>
          </w:p>
        </w:tc>
        <w:tc>
          <w:tcPr>
            <w:tcW w:w="2970" w:type="dxa"/>
            <w:tcBorders>
              <w:top w:val="double" w:sz="6" w:space="0" w:color="000000"/>
              <w:bottom w:val="double" w:sz="6" w:space="0" w:color="000000"/>
            </w:tcBorders>
          </w:tcPr>
          <w:p w:rsidR="003F6595" w:rsidRPr="0010016B" w:rsidRDefault="003F6595" w:rsidP="0010016B">
            <w:pPr>
              <w:jc w:val="center"/>
              <w:rPr>
                <w:rFonts w:ascii="Arial" w:hAnsi="Arial" w:cs="Arial"/>
                <w:b/>
                <w:bCs/>
                <w:sz w:val="22"/>
                <w:szCs w:val="22"/>
              </w:rPr>
            </w:pPr>
          </w:p>
          <w:p w:rsidR="003F6595" w:rsidRPr="0010016B" w:rsidRDefault="003F6595" w:rsidP="0010016B">
            <w:pPr>
              <w:widowControl/>
              <w:jc w:val="center"/>
              <w:rPr>
                <w:rFonts w:ascii="Arial" w:hAnsi="Arial" w:cs="Arial"/>
                <w:b/>
                <w:bCs/>
                <w:sz w:val="22"/>
                <w:szCs w:val="22"/>
              </w:rPr>
            </w:pPr>
            <w:r w:rsidRPr="0010016B">
              <w:rPr>
                <w:rFonts w:ascii="Arial" w:hAnsi="Arial" w:cs="Arial"/>
                <w:b/>
                <w:bCs/>
                <w:sz w:val="22"/>
                <w:szCs w:val="22"/>
              </w:rPr>
              <w:t>If Difference, Why or Why Not Was a Comment Generated</w:t>
            </w:r>
          </w:p>
        </w:tc>
      </w:tr>
      <w:tr w:rsidR="003F6595" w:rsidTr="0010016B">
        <w:tblPrEx>
          <w:tblCellMar>
            <w:top w:w="0" w:type="dxa"/>
            <w:bottom w:w="0" w:type="dxa"/>
          </w:tblCellMar>
        </w:tblPrEx>
        <w:tc>
          <w:tcPr>
            <w:tcW w:w="1170" w:type="dxa"/>
            <w:tcBorders>
              <w:top w:val="double" w:sz="6" w:space="0" w:color="000000"/>
            </w:tcBorders>
          </w:tcPr>
          <w:p w:rsidR="003F6595" w:rsidRPr="0010016B" w:rsidRDefault="003F6595" w:rsidP="0010016B">
            <w:pPr>
              <w:rPr>
                <w:rFonts w:ascii="Arial" w:hAnsi="Arial" w:cs="Arial"/>
                <w:b/>
                <w:bCs/>
                <w:sz w:val="22"/>
                <w:szCs w:val="22"/>
              </w:rPr>
            </w:pPr>
          </w:p>
          <w:p w:rsidR="003F6595" w:rsidRPr="0010016B" w:rsidRDefault="003F6595" w:rsidP="0010016B">
            <w:pPr>
              <w:widowControl/>
              <w:jc w:val="center"/>
              <w:rPr>
                <w:rFonts w:ascii="Arial" w:hAnsi="Arial" w:cs="Arial"/>
                <w:sz w:val="22"/>
                <w:szCs w:val="22"/>
              </w:rPr>
            </w:pPr>
            <w:r w:rsidRPr="0010016B">
              <w:rPr>
                <w:rFonts w:ascii="Arial" w:hAnsi="Arial" w:cs="Arial"/>
                <w:sz w:val="22"/>
                <w:szCs w:val="22"/>
              </w:rPr>
              <w:sym w:font="WP TypographicSymbols" w:char="0027"/>
            </w:r>
            <w:r w:rsidRPr="0010016B">
              <w:rPr>
                <w:rFonts w:ascii="Arial" w:hAnsi="Arial" w:cs="Arial"/>
                <w:sz w:val="22"/>
                <w:szCs w:val="22"/>
              </w:rPr>
              <w:t>20.1003</w:t>
            </w: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Borders>
              <w:top w:val="double" w:sz="6" w:space="0" w:color="000000"/>
            </w:tcBorders>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0016B">
              <w:rPr>
                <w:rFonts w:ascii="Arial" w:hAnsi="Arial" w:cs="Arial"/>
                <w:sz w:val="22"/>
                <w:szCs w:val="22"/>
              </w:rPr>
              <w:t>Definitions</w:t>
            </w:r>
          </w:p>
        </w:tc>
        <w:tc>
          <w:tcPr>
            <w:tcW w:w="1080" w:type="dxa"/>
            <w:tcBorders>
              <w:top w:val="double" w:sz="6" w:space="0" w:color="000000"/>
            </w:tcBorders>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Borders>
              <w:top w:val="double" w:sz="6" w:space="0" w:color="000000"/>
            </w:tcBorders>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0016B">
              <w:rPr>
                <w:rFonts w:ascii="Arial" w:hAnsi="Arial" w:cs="Arial"/>
                <w:sz w:val="22"/>
                <w:szCs w:val="22"/>
              </w:rPr>
              <w:t>C</w:t>
            </w:r>
          </w:p>
        </w:tc>
        <w:tc>
          <w:tcPr>
            <w:tcW w:w="3150" w:type="dxa"/>
            <w:tcBorders>
              <w:top w:val="double" w:sz="6" w:space="0" w:color="000000"/>
            </w:tcBorders>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0016B">
              <w:rPr>
                <w:rFonts w:ascii="Arial" w:hAnsi="Arial" w:cs="Arial"/>
                <w:b/>
                <w:bCs/>
                <w:sz w:val="22"/>
                <w:szCs w:val="22"/>
              </w:rPr>
              <w:t>Amended Definition:</w:t>
            </w: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0016B">
              <w:rPr>
                <w:rFonts w:ascii="Arial" w:hAnsi="Arial" w:cs="Arial"/>
                <w:sz w:val="22"/>
                <w:szCs w:val="22"/>
              </w:rPr>
              <w:fldChar w:fldCharType="begin"/>
            </w:r>
            <w:r w:rsidRPr="0010016B">
              <w:rPr>
                <w:rFonts w:ascii="Arial" w:hAnsi="Arial" w:cs="Arial"/>
                <w:sz w:val="22"/>
                <w:szCs w:val="22"/>
              </w:rPr>
              <w:instrText>ADVANCE \d4</w:instrText>
            </w:r>
            <w:r w:rsidRPr="0010016B">
              <w:rPr>
                <w:rFonts w:ascii="Arial" w:hAnsi="Arial" w:cs="Arial"/>
                <w:sz w:val="22"/>
                <w:szCs w:val="22"/>
              </w:rPr>
              <w:fldChar w:fldCharType="end"/>
            </w:r>
            <w:r w:rsidRPr="0010016B">
              <w:rPr>
                <w:rFonts w:ascii="Arial" w:hAnsi="Arial" w:cs="Arial"/>
                <w:sz w:val="22"/>
                <w:szCs w:val="22"/>
              </w:rPr>
              <w:t>Constraint (dose constraint) means a value above which specified licensee actions are required.</w:t>
            </w:r>
          </w:p>
        </w:tc>
        <w:tc>
          <w:tcPr>
            <w:tcW w:w="1350" w:type="dxa"/>
            <w:tcBorders>
              <w:top w:val="double" w:sz="6" w:space="0" w:color="000000"/>
            </w:tcBorders>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Borders>
              <w:top w:val="double" w:sz="6" w:space="0" w:color="000000"/>
            </w:tcBorders>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970" w:type="dxa"/>
            <w:tcBorders>
              <w:top w:val="double" w:sz="6" w:space="0" w:color="000000"/>
            </w:tcBorders>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3F6595" w:rsidTr="0010016B">
        <w:tblPrEx>
          <w:tblCellMar>
            <w:top w:w="0" w:type="dxa"/>
            <w:bottom w:w="0" w:type="dxa"/>
          </w:tblCellMar>
        </w:tblPrEx>
        <w:tc>
          <w:tcPr>
            <w:tcW w:w="117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0016B">
              <w:rPr>
                <w:rFonts w:ascii="Arial" w:hAnsi="Arial" w:cs="Arial"/>
                <w:sz w:val="22"/>
                <w:szCs w:val="22"/>
              </w:rPr>
              <w:sym w:font="WP TypographicSymbols" w:char="0027"/>
            </w:r>
            <w:r w:rsidRPr="0010016B">
              <w:rPr>
                <w:rFonts w:ascii="Arial" w:hAnsi="Arial" w:cs="Arial"/>
                <w:sz w:val="22"/>
                <w:szCs w:val="22"/>
              </w:rPr>
              <w:t>20.1101</w:t>
            </w: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0016B">
              <w:rPr>
                <w:rFonts w:ascii="Arial" w:hAnsi="Arial" w:cs="Arial"/>
                <w:sz w:val="22"/>
                <w:szCs w:val="22"/>
              </w:rPr>
              <w:t>(d)</w:t>
            </w:r>
          </w:p>
        </w:tc>
        <w:tc>
          <w:tcPr>
            <w:tcW w:w="171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0016B">
              <w:rPr>
                <w:rFonts w:ascii="Arial" w:hAnsi="Arial" w:cs="Arial"/>
                <w:sz w:val="22"/>
                <w:szCs w:val="22"/>
              </w:rPr>
              <w:t>Radiation Protection Programs</w:t>
            </w: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08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0016B">
              <w:rPr>
                <w:rFonts w:ascii="Arial" w:hAnsi="Arial" w:cs="Arial"/>
                <w:sz w:val="22"/>
                <w:szCs w:val="22"/>
              </w:rPr>
              <w:t xml:space="preserve">C </w:t>
            </w:r>
          </w:p>
        </w:tc>
        <w:tc>
          <w:tcPr>
            <w:tcW w:w="315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0016B">
              <w:rPr>
                <w:rFonts w:ascii="Arial" w:hAnsi="Arial" w:cs="Arial"/>
                <w:b/>
                <w:bCs/>
                <w:sz w:val="22"/>
                <w:szCs w:val="22"/>
              </w:rPr>
              <w:t>Amended Paragraph:</w:t>
            </w: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0016B">
              <w:rPr>
                <w:rFonts w:ascii="Arial" w:hAnsi="Arial" w:cs="Arial"/>
                <w:sz w:val="22"/>
                <w:szCs w:val="22"/>
              </w:rPr>
              <w:t xml:space="preserve">(d) To implement the ALARA requirements of Sec. 20.1101 (b), and notwithstanding the requirements in Sec. 20.1301 of this part, a constraint on air emissions of radioactive material to the environment, excluding Radon-222 and its daughters, shall be established by licensees other than those subject to Sec. 50.34a, such that the individual member of the public likely to receive the highest dose will not be expected to receive a total effective dose equivalent in excess of 10 mrem (0.1 mSv) per year from these emissions. If a licensee subject to this requirement exceeds this dose constraint, the licensee shall report the </w:t>
            </w:r>
            <w:proofErr w:type="spellStart"/>
            <w:r w:rsidRPr="0010016B">
              <w:rPr>
                <w:rFonts w:ascii="Arial" w:hAnsi="Arial" w:cs="Arial"/>
                <w:sz w:val="22"/>
                <w:szCs w:val="22"/>
              </w:rPr>
              <w:t>exceedance</w:t>
            </w:r>
            <w:proofErr w:type="spellEnd"/>
            <w:r w:rsidRPr="0010016B">
              <w:rPr>
                <w:rFonts w:ascii="Arial" w:hAnsi="Arial" w:cs="Arial"/>
                <w:sz w:val="22"/>
                <w:szCs w:val="22"/>
              </w:rPr>
              <w:t xml:space="preserve"> as provided in Sec. 20.2203 and promptly </w:t>
            </w:r>
            <w:r w:rsidRPr="0010016B">
              <w:rPr>
                <w:rFonts w:ascii="Arial" w:hAnsi="Arial" w:cs="Arial"/>
                <w:sz w:val="22"/>
                <w:szCs w:val="22"/>
              </w:rPr>
              <w:lastRenderedPageBreak/>
              <w:t xml:space="preserve">take appropriate corrective action to ensure against recurrence. </w:t>
            </w:r>
          </w:p>
        </w:tc>
        <w:tc>
          <w:tcPr>
            <w:tcW w:w="135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97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3F6595" w:rsidTr="0010016B">
        <w:tblPrEx>
          <w:tblCellMar>
            <w:top w:w="0" w:type="dxa"/>
            <w:bottom w:w="0" w:type="dxa"/>
          </w:tblCellMar>
        </w:tblPrEx>
        <w:tc>
          <w:tcPr>
            <w:tcW w:w="117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0016B">
              <w:rPr>
                <w:rFonts w:ascii="Arial" w:hAnsi="Arial" w:cs="Arial"/>
                <w:sz w:val="22"/>
                <w:szCs w:val="22"/>
              </w:rPr>
              <w:sym w:font="WP TypographicSymbols" w:char="0027"/>
            </w:r>
            <w:r w:rsidRPr="0010016B">
              <w:rPr>
                <w:rFonts w:ascii="Arial" w:hAnsi="Arial" w:cs="Arial"/>
                <w:sz w:val="22"/>
                <w:szCs w:val="22"/>
              </w:rPr>
              <w:t>20.2203</w:t>
            </w: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0016B">
              <w:rPr>
                <w:rFonts w:ascii="Arial" w:hAnsi="Arial" w:cs="Arial"/>
                <w:sz w:val="22"/>
                <w:szCs w:val="22"/>
              </w:rPr>
              <w:t>(a)(b)</w:t>
            </w:r>
          </w:p>
        </w:tc>
        <w:tc>
          <w:tcPr>
            <w:tcW w:w="171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0016B">
              <w:rPr>
                <w:rFonts w:ascii="Arial" w:hAnsi="Arial" w:cs="Arial"/>
                <w:sz w:val="22"/>
                <w:szCs w:val="22"/>
              </w:rPr>
              <w:t>Reports of exposures, radiation levels, and concentrations of radioactive material exceeding the constraints or limits</w:t>
            </w:r>
          </w:p>
        </w:tc>
        <w:tc>
          <w:tcPr>
            <w:tcW w:w="108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10016B">
              <w:rPr>
                <w:rFonts w:ascii="Arial" w:hAnsi="Arial" w:cs="Arial"/>
                <w:sz w:val="22"/>
                <w:szCs w:val="22"/>
              </w:rPr>
              <w:t>C</w:t>
            </w:r>
          </w:p>
        </w:tc>
        <w:tc>
          <w:tcPr>
            <w:tcW w:w="315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0016B">
              <w:rPr>
                <w:rFonts w:ascii="Arial" w:hAnsi="Arial" w:cs="Arial"/>
                <w:sz w:val="22"/>
                <w:szCs w:val="22"/>
              </w:rPr>
              <w:t>A new paragraph (a)(2)(vi) is added, and paragraphs (b)(1)(iv) and (b)(2) are revised to read as follows:</w:t>
            </w: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0016B">
              <w:rPr>
                <w:rFonts w:ascii="Arial" w:hAnsi="Arial" w:cs="Arial"/>
                <w:sz w:val="22"/>
                <w:szCs w:val="22"/>
              </w:rPr>
              <w:t xml:space="preserve">(a) * * *(2) * * *(vi) The ALARA constraints for air emissions established under Sec. 20.1101(d); or </w:t>
            </w: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0016B">
              <w:rPr>
                <w:rFonts w:ascii="Arial" w:hAnsi="Arial" w:cs="Arial"/>
                <w:sz w:val="22"/>
                <w:szCs w:val="22"/>
              </w:rPr>
              <w:t>(b) * * * (1) * * * (iv) Corrective steps taken or planned to ensure against a recurrence, including the schedule for achieving conformance with applicable limits, ALARA constraints, generally applicable environmental standards, and associated license conditions. (2) Each report filed pursuant to paragraph (a) of this section must include for each occupationally overexposed</w:t>
            </w:r>
            <w:r w:rsidRPr="0010016B">
              <w:rPr>
                <w:rFonts w:ascii="Arial" w:hAnsi="Arial" w:cs="Arial"/>
                <w:sz w:val="22"/>
                <w:szCs w:val="22"/>
                <w:vertAlign w:val="superscript"/>
              </w:rPr>
              <w:t>1</w:t>
            </w:r>
            <w:r w:rsidRPr="0010016B">
              <w:rPr>
                <w:rFonts w:ascii="Arial" w:hAnsi="Arial" w:cs="Arial"/>
                <w:sz w:val="22"/>
                <w:szCs w:val="22"/>
              </w:rPr>
              <w:t xml:space="preserve"> individual: the name, Social Security account number, and date of birth. The report must be prepared so that this information is stated in a separate and detachable part of the report.</w:t>
            </w: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10016B">
              <w:rPr>
                <w:rFonts w:ascii="Arial" w:hAnsi="Arial" w:cs="Arial"/>
                <w:sz w:val="22"/>
                <w:szCs w:val="22"/>
              </w:rPr>
              <w:t xml:space="preserve">--------------------------------------------- </w:t>
            </w:r>
            <w:r w:rsidRPr="0010016B">
              <w:rPr>
                <w:rFonts w:ascii="Arial" w:hAnsi="Arial" w:cs="Arial"/>
                <w:sz w:val="22"/>
                <w:szCs w:val="22"/>
                <w:vertAlign w:val="superscript"/>
              </w:rPr>
              <w:t>1</w:t>
            </w:r>
            <w:r w:rsidRPr="0010016B">
              <w:rPr>
                <w:rFonts w:ascii="Arial" w:hAnsi="Arial" w:cs="Arial"/>
                <w:sz w:val="22"/>
                <w:szCs w:val="22"/>
              </w:rPr>
              <w:t xml:space="preserve">With respect to the limit for the embryo-fetus (Sec. </w:t>
            </w:r>
            <w:r w:rsidRPr="0010016B">
              <w:rPr>
                <w:rFonts w:ascii="Arial" w:hAnsi="Arial" w:cs="Arial"/>
                <w:sz w:val="22"/>
                <w:szCs w:val="22"/>
              </w:rPr>
              <w:lastRenderedPageBreak/>
              <w:t xml:space="preserve">20.1208), the identifiers should be those of the declared pregnant woman. </w:t>
            </w:r>
          </w:p>
        </w:tc>
        <w:tc>
          <w:tcPr>
            <w:tcW w:w="135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970" w:type="dxa"/>
          </w:tcPr>
          <w:p w:rsidR="003F6595" w:rsidRPr="0010016B" w:rsidRDefault="003F6595" w:rsidP="0010016B">
            <w:pPr>
              <w:rPr>
                <w:rFonts w:ascii="Arial" w:hAnsi="Arial" w:cs="Arial"/>
                <w:sz w:val="22"/>
                <w:szCs w:val="22"/>
              </w:rPr>
            </w:pPr>
          </w:p>
          <w:p w:rsidR="003F6595" w:rsidRPr="0010016B" w:rsidRDefault="003F6595" w:rsidP="001001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bl>
    <w:p w:rsidR="003F6595" w:rsidRDefault="003F65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sectPr w:rsidR="003F6595" w:rsidSect="003F6595">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810" w:right="1440" w:bottom="270" w:left="72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8D4" w:rsidRDefault="000508D4" w:rsidP="000508D4">
      <w:r>
        <w:separator/>
      </w:r>
    </w:p>
  </w:endnote>
  <w:endnote w:type="continuationSeparator" w:id="0">
    <w:p w:rsidR="000508D4" w:rsidRDefault="000508D4" w:rsidP="00050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4" w:rsidRDefault="000508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4" w:rsidRDefault="000508D4">
    <w:pPr>
      <w:pStyle w:val="Footer"/>
      <w:jc w:val="center"/>
    </w:pPr>
    <w:fldSimple w:instr=" PAGE   \* MERGEFORMAT ">
      <w:r>
        <w:rPr>
          <w:noProof/>
        </w:rPr>
        <w:t>1</w:t>
      </w:r>
    </w:fldSimple>
  </w:p>
  <w:p w:rsidR="000508D4" w:rsidRDefault="000508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4" w:rsidRDefault="00050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8D4" w:rsidRDefault="000508D4" w:rsidP="000508D4">
      <w:r>
        <w:separator/>
      </w:r>
    </w:p>
  </w:footnote>
  <w:footnote w:type="continuationSeparator" w:id="0">
    <w:p w:rsidR="000508D4" w:rsidRDefault="000508D4" w:rsidP="00050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4" w:rsidRDefault="000508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4" w:rsidRDefault="00050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8D4" w:rsidRDefault="000508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F6595"/>
    <w:rsid w:val="000508D4"/>
    <w:rsid w:val="0010016B"/>
    <w:rsid w:val="003F6595"/>
    <w:rsid w:val="00DC0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0508D4"/>
    <w:pPr>
      <w:tabs>
        <w:tab w:val="center" w:pos="4680"/>
        <w:tab w:val="right" w:pos="9360"/>
      </w:tabs>
    </w:pPr>
  </w:style>
  <w:style w:type="character" w:customStyle="1" w:styleId="HeaderChar">
    <w:name w:val="Header Char"/>
    <w:basedOn w:val="DefaultParagraphFont"/>
    <w:link w:val="Header"/>
    <w:rsid w:val="000508D4"/>
    <w:rPr>
      <w:sz w:val="24"/>
      <w:szCs w:val="24"/>
    </w:rPr>
  </w:style>
  <w:style w:type="paragraph" w:styleId="Footer">
    <w:name w:val="footer"/>
    <w:basedOn w:val="Normal"/>
    <w:link w:val="FooterChar"/>
    <w:uiPriority w:val="99"/>
    <w:rsid w:val="000508D4"/>
    <w:pPr>
      <w:tabs>
        <w:tab w:val="center" w:pos="4680"/>
        <w:tab w:val="right" w:pos="9360"/>
      </w:tabs>
    </w:pPr>
  </w:style>
  <w:style w:type="character" w:customStyle="1" w:styleId="FooterChar">
    <w:name w:val="Footer Char"/>
    <w:basedOn w:val="DefaultParagraphFont"/>
    <w:link w:val="Footer"/>
    <w:uiPriority w:val="99"/>
    <w:rsid w:val="000508D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Resolution of Dual Regulation of Airborne Effluents of  Radioactive Materials; Clean Air Act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Dual Regulation of Airborne Effluents of  Radioactive Materials; Clean Air Act </dc:title>
  <dc:subject/>
  <dc:creator>KNM1</dc:creator>
  <cp:keywords/>
  <dc:description/>
  <cp:lastModifiedBy>KNM1</cp:lastModifiedBy>
  <cp:revision>2</cp:revision>
  <dcterms:created xsi:type="dcterms:W3CDTF">2011-05-02T15:16:00Z</dcterms:created>
  <dcterms:modified xsi:type="dcterms:W3CDTF">2011-05-02T15:16:00Z</dcterms:modified>
</cp:coreProperties>
</file>