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231" w:rsidRPr="000224D5" w:rsidRDefault="00272231">
      <w:pPr>
        <w:widowControl/>
        <w:jc w:val="center"/>
        <w:rPr>
          <w:rFonts w:ascii="Arial" w:hAnsi="Arial" w:cs="Arial"/>
          <w:b/>
          <w:bCs/>
          <w:sz w:val="22"/>
          <w:szCs w:val="22"/>
        </w:rPr>
      </w:pPr>
      <w:r w:rsidRPr="000224D5">
        <w:rPr>
          <w:rFonts w:ascii="Arial" w:hAnsi="Arial" w:cs="Arial"/>
          <w:b/>
          <w:bCs/>
          <w:sz w:val="22"/>
          <w:szCs w:val="22"/>
        </w:rPr>
        <w:t>Low</w:t>
      </w:r>
      <w:r w:rsidRPr="000224D5">
        <w:rPr>
          <w:rFonts w:ascii="Arial" w:hAnsi="Arial" w:cs="Arial"/>
          <w:b/>
          <w:bCs/>
          <w:sz w:val="22"/>
          <w:szCs w:val="22"/>
        </w:rPr>
        <w:noBreakHyphen/>
        <w:t>Level Waste Shipment Manifest Information and Reporting</w:t>
      </w:r>
    </w:p>
    <w:p w:rsidR="00272231" w:rsidRDefault="000224D5">
      <w:pPr>
        <w:widowControl/>
        <w:jc w:val="center"/>
        <w:rPr>
          <w:rFonts w:ascii="Arial" w:hAnsi="Arial" w:cs="Arial"/>
          <w:b/>
          <w:sz w:val="22"/>
          <w:szCs w:val="22"/>
        </w:rPr>
      </w:pPr>
      <w:r>
        <w:rPr>
          <w:rFonts w:ascii="Arial" w:hAnsi="Arial" w:cs="Arial"/>
          <w:b/>
          <w:sz w:val="22"/>
          <w:szCs w:val="22"/>
        </w:rPr>
        <w:t xml:space="preserve">   (60 FR 15649 &amp;  60 FR 25983)</w:t>
      </w:r>
      <w:r>
        <w:rPr>
          <w:rFonts w:ascii="Arial" w:hAnsi="Arial" w:cs="Arial"/>
          <w:b/>
          <w:bCs/>
          <w:sz w:val="22"/>
          <w:szCs w:val="22"/>
        </w:rPr>
        <w:t xml:space="preserve"> RATS ID </w:t>
      </w:r>
      <w:r w:rsidR="00272231" w:rsidRPr="000224D5">
        <w:rPr>
          <w:rFonts w:ascii="Arial" w:hAnsi="Arial" w:cs="Arial"/>
          <w:b/>
          <w:bCs/>
          <w:sz w:val="22"/>
          <w:szCs w:val="22"/>
        </w:rPr>
        <w:t>1995</w:t>
      </w:r>
      <w:r w:rsidR="00272231" w:rsidRPr="000224D5">
        <w:rPr>
          <w:rFonts w:ascii="Arial" w:hAnsi="Arial" w:cs="Arial"/>
          <w:b/>
          <w:bCs/>
          <w:sz w:val="22"/>
          <w:szCs w:val="22"/>
        </w:rPr>
        <w:noBreakHyphen/>
        <w:t xml:space="preserve">3 </w:t>
      </w:r>
      <w:r w:rsidR="00272231" w:rsidRPr="000224D5">
        <w:rPr>
          <w:rFonts w:ascii="Arial" w:hAnsi="Arial" w:cs="Arial"/>
          <w:b/>
          <w:sz w:val="22"/>
          <w:szCs w:val="22"/>
        </w:rPr>
        <w:t>Effective March 1, 1995</w:t>
      </w:r>
    </w:p>
    <w:p w:rsidR="000224D5" w:rsidRPr="000224D5" w:rsidRDefault="000224D5">
      <w:pPr>
        <w:widowControl/>
        <w:jc w:val="center"/>
        <w:rPr>
          <w:rFonts w:ascii="Arial" w:hAnsi="Arial" w:cs="Arial"/>
          <w:b/>
          <w:sz w:val="22"/>
          <w:szCs w:val="22"/>
        </w:rPr>
      </w:pPr>
    </w:p>
    <w:p w:rsidR="00272231" w:rsidRDefault="00272231">
      <w:pPr>
        <w:widowControl/>
        <w:rPr>
          <w:rFonts w:ascii="Arial" w:hAnsi="Arial" w:cs="Arial"/>
          <w:sz w:val="22"/>
          <w:szCs w:val="22"/>
        </w:rPr>
      </w:pPr>
    </w:p>
    <w:tbl>
      <w:tblPr>
        <w:tblW w:w="14400" w:type="dxa"/>
        <w:tblInd w:w="-69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530"/>
        <w:gridCol w:w="1080"/>
        <w:gridCol w:w="1710"/>
        <w:gridCol w:w="2970"/>
        <w:gridCol w:w="1440"/>
        <w:gridCol w:w="1530"/>
        <w:gridCol w:w="2970"/>
      </w:tblGrid>
      <w:tr w:rsidR="00272231" w:rsidTr="000224D5">
        <w:tblPrEx>
          <w:tblCellMar>
            <w:top w:w="0" w:type="dxa"/>
            <w:bottom w:w="0" w:type="dxa"/>
          </w:tblCellMar>
        </w:tblPrEx>
        <w:trPr>
          <w:trHeight w:val="20"/>
        </w:trPr>
        <w:tc>
          <w:tcPr>
            <w:tcW w:w="117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 xml:space="preserve">Change to </w:t>
            </w: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NRC</w:t>
            </w:r>
          </w:p>
          <w:p w:rsidR="00272231" w:rsidRPr="000224D5" w:rsidRDefault="00272231" w:rsidP="000224D5">
            <w:pPr>
              <w:widowControl/>
              <w:jc w:val="center"/>
              <w:rPr>
                <w:rFonts w:ascii="Arial" w:hAnsi="Arial" w:cs="Arial"/>
                <w:sz w:val="22"/>
                <w:szCs w:val="22"/>
              </w:rPr>
            </w:pPr>
            <w:r w:rsidRPr="000224D5">
              <w:rPr>
                <w:rFonts w:ascii="Arial" w:hAnsi="Arial" w:cs="Arial"/>
                <w:b/>
                <w:bCs/>
                <w:sz w:val="22"/>
                <w:szCs w:val="22"/>
              </w:rPr>
              <w:t>Section</w:t>
            </w:r>
          </w:p>
        </w:tc>
        <w:tc>
          <w:tcPr>
            <w:tcW w:w="153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tabs>
                <w:tab w:val="center" w:pos="825"/>
              </w:tabs>
              <w:jc w:val="center"/>
              <w:rPr>
                <w:rFonts w:ascii="Arial" w:hAnsi="Arial" w:cs="Arial"/>
                <w:sz w:val="22"/>
                <w:szCs w:val="22"/>
              </w:rPr>
            </w:pPr>
            <w:r w:rsidRPr="000224D5">
              <w:rPr>
                <w:rFonts w:ascii="Arial" w:hAnsi="Arial" w:cs="Arial"/>
                <w:b/>
                <w:bCs/>
                <w:sz w:val="22"/>
                <w:szCs w:val="22"/>
              </w:rPr>
              <w:t>Title</w:t>
            </w:r>
          </w:p>
        </w:tc>
        <w:tc>
          <w:tcPr>
            <w:tcW w:w="108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tabs>
                <w:tab w:val="center" w:pos="420"/>
              </w:tabs>
              <w:jc w:val="center"/>
              <w:rPr>
                <w:rFonts w:ascii="Arial" w:hAnsi="Arial" w:cs="Arial"/>
                <w:b/>
                <w:bCs/>
                <w:sz w:val="22"/>
                <w:szCs w:val="22"/>
              </w:rPr>
            </w:pPr>
            <w:r w:rsidRPr="000224D5">
              <w:rPr>
                <w:rFonts w:ascii="Arial" w:hAnsi="Arial" w:cs="Arial"/>
                <w:b/>
                <w:bCs/>
                <w:sz w:val="22"/>
                <w:szCs w:val="22"/>
              </w:rPr>
              <w:t xml:space="preserve">State </w:t>
            </w:r>
          </w:p>
          <w:p w:rsidR="00272231" w:rsidRPr="000224D5" w:rsidRDefault="00272231" w:rsidP="000224D5">
            <w:pPr>
              <w:widowControl/>
              <w:jc w:val="center"/>
              <w:rPr>
                <w:rFonts w:ascii="Arial" w:hAnsi="Arial" w:cs="Arial"/>
                <w:sz w:val="22"/>
                <w:szCs w:val="22"/>
              </w:rPr>
            </w:pPr>
            <w:r w:rsidRPr="000224D5">
              <w:rPr>
                <w:rFonts w:ascii="Arial" w:hAnsi="Arial" w:cs="Arial"/>
                <w:b/>
                <w:bCs/>
                <w:sz w:val="22"/>
                <w:szCs w:val="22"/>
              </w:rPr>
              <w:t>Section</w:t>
            </w:r>
          </w:p>
        </w:tc>
        <w:tc>
          <w:tcPr>
            <w:tcW w:w="171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jc w:val="center"/>
              <w:rPr>
                <w:rFonts w:ascii="Arial" w:hAnsi="Arial" w:cs="Arial"/>
                <w:sz w:val="22"/>
                <w:szCs w:val="22"/>
              </w:rPr>
            </w:pPr>
            <w:r w:rsidRPr="000224D5">
              <w:rPr>
                <w:rFonts w:ascii="Arial" w:hAnsi="Arial" w:cs="Arial"/>
                <w:b/>
                <w:bCs/>
                <w:sz w:val="22"/>
                <w:szCs w:val="22"/>
              </w:rPr>
              <w:t>Compatibility</w:t>
            </w:r>
          </w:p>
          <w:p w:rsidR="00272231" w:rsidRPr="000224D5" w:rsidRDefault="00272231" w:rsidP="000224D5">
            <w:pPr>
              <w:widowControl/>
              <w:jc w:val="center"/>
              <w:rPr>
                <w:rFonts w:ascii="Arial" w:hAnsi="Arial" w:cs="Arial"/>
                <w:sz w:val="22"/>
                <w:szCs w:val="22"/>
              </w:rPr>
            </w:pPr>
            <w:r w:rsidRPr="000224D5">
              <w:rPr>
                <w:rFonts w:ascii="Arial" w:hAnsi="Arial" w:cs="Arial"/>
                <w:b/>
                <w:bCs/>
                <w:sz w:val="22"/>
                <w:szCs w:val="22"/>
              </w:rPr>
              <w:t>Category</w:t>
            </w:r>
          </w:p>
        </w:tc>
        <w:tc>
          <w:tcPr>
            <w:tcW w:w="297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tabs>
                <w:tab w:val="center" w:pos="1860"/>
              </w:tabs>
              <w:jc w:val="center"/>
              <w:rPr>
                <w:rFonts w:ascii="Arial" w:hAnsi="Arial" w:cs="Arial"/>
                <w:sz w:val="22"/>
                <w:szCs w:val="22"/>
              </w:rPr>
            </w:pPr>
            <w:r w:rsidRPr="000224D5">
              <w:rPr>
                <w:rFonts w:ascii="Arial" w:hAnsi="Arial" w:cs="Arial"/>
                <w:b/>
                <w:bCs/>
                <w:sz w:val="22"/>
                <w:szCs w:val="22"/>
              </w:rPr>
              <w:t>Summary of Change</w:t>
            </w:r>
          </w:p>
        </w:tc>
        <w:tc>
          <w:tcPr>
            <w:tcW w:w="1440" w:type="dxa"/>
            <w:tcBorders>
              <w:top w:val="double" w:sz="6" w:space="0" w:color="000000"/>
              <w:bottom w:val="double" w:sz="6" w:space="0" w:color="000000"/>
            </w:tcBorders>
          </w:tcPr>
          <w:p w:rsidR="00272231" w:rsidRPr="000224D5" w:rsidRDefault="00272231" w:rsidP="000224D5">
            <w:pPr>
              <w:jc w:val="center"/>
              <w:rPr>
                <w:rFonts w:ascii="Arial" w:hAnsi="Arial" w:cs="Arial"/>
                <w:sz w:val="22"/>
                <w:szCs w:val="22"/>
              </w:rPr>
            </w:pP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Difference</w:t>
            </w: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Yes/No</w:t>
            </w:r>
          </w:p>
        </w:tc>
        <w:tc>
          <w:tcPr>
            <w:tcW w:w="1530" w:type="dxa"/>
            <w:tcBorders>
              <w:top w:val="double" w:sz="6" w:space="0" w:color="000000"/>
              <w:bottom w:val="double" w:sz="6" w:space="0" w:color="000000"/>
            </w:tcBorders>
          </w:tcPr>
          <w:p w:rsidR="00272231" w:rsidRPr="000224D5" w:rsidRDefault="00272231" w:rsidP="000224D5">
            <w:pPr>
              <w:jc w:val="center"/>
              <w:rPr>
                <w:rFonts w:ascii="Arial" w:hAnsi="Arial" w:cs="Arial"/>
                <w:b/>
                <w:bCs/>
                <w:sz w:val="22"/>
                <w:szCs w:val="22"/>
              </w:rPr>
            </w:pP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Significant</w:t>
            </w:r>
          </w:p>
          <w:p w:rsidR="00272231" w:rsidRPr="000224D5" w:rsidRDefault="00272231" w:rsidP="000224D5">
            <w:pPr>
              <w:widowControl/>
              <w:jc w:val="center"/>
              <w:rPr>
                <w:rFonts w:ascii="Arial" w:hAnsi="Arial" w:cs="Arial"/>
                <w:b/>
                <w:bCs/>
                <w:sz w:val="22"/>
                <w:szCs w:val="22"/>
              </w:rPr>
            </w:pPr>
            <w:r w:rsidRPr="000224D5">
              <w:rPr>
                <w:rFonts w:ascii="Arial" w:hAnsi="Arial" w:cs="Arial"/>
                <w:b/>
                <w:bCs/>
                <w:sz w:val="22"/>
                <w:szCs w:val="22"/>
              </w:rPr>
              <w:t>Yes/No</w:t>
            </w:r>
          </w:p>
        </w:tc>
        <w:tc>
          <w:tcPr>
            <w:tcW w:w="2970" w:type="dxa"/>
            <w:tcBorders>
              <w:top w:val="double" w:sz="6" w:space="0" w:color="000000"/>
              <w:bottom w:val="double" w:sz="6" w:space="0" w:color="000000"/>
            </w:tcBorders>
          </w:tcPr>
          <w:p w:rsidR="00272231" w:rsidRPr="000224D5" w:rsidRDefault="00272231" w:rsidP="000224D5">
            <w:pPr>
              <w:jc w:val="center"/>
              <w:rPr>
                <w:rFonts w:ascii="Arial" w:hAnsi="Arial" w:cs="Arial"/>
                <w:b/>
                <w:bCs/>
                <w:sz w:val="22"/>
                <w:szCs w:val="22"/>
              </w:rPr>
            </w:pPr>
          </w:p>
          <w:p w:rsidR="00272231" w:rsidRPr="000224D5" w:rsidRDefault="00272231" w:rsidP="000224D5">
            <w:pPr>
              <w:widowControl/>
              <w:jc w:val="center"/>
              <w:rPr>
                <w:rFonts w:ascii="Arial" w:hAnsi="Arial" w:cs="Arial"/>
                <w:sz w:val="22"/>
                <w:szCs w:val="22"/>
              </w:rPr>
            </w:pPr>
            <w:r w:rsidRPr="000224D5">
              <w:rPr>
                <w:rFonts w:ascii="Arial" w:hAnsi="Arial" w:cs="Arial"/>
                <w:b/>
                <w:bCs/>
                <w:sz w:val="22"/>
                <w:szCs w:val="22"/>
              </w:rPr>
              <w:t>If Difference, Why or Why Not Was a Comment Generated</w:t>
            </w:r>
          </w:p>
        </w:tc>
      </w:tr>
      <w:tr w:rsidR="00272231" w:rsidTr="000224D5">
        <w:tblPrEx>
          <w:tblCellMar>
            <w:top w:w="0" w:type="dxa"/>
            <w:bottom w:w="0" w:type="dxa"/>
          </w:tblCellMar>
        </w:tblPrEx>
        <w:trPr>
          <w:trHeight w:val="20"/>
        </w:trPr>
        <w:tc>
          <w:tcPr>
            <w:tcW w:w="1170" w:type="dxa"/>
            <w:tcBorders>
              <w:top w:val="double" w:sz="6" w:space="0" w:color="000000"/>
            </w:tcBorders>
          </w:tcPr>
          <w:p w:rsidR="005221C0" w:rsidRPr="000224D5" w:rsidRDefault="005221C0" w:rsidP="000224D5">
            <w:pPr>
              <w:widowControl/>
              <w:rPr>
                <w:rFonts w:ascii="Arial" w:hAnsi="Arial" w:cs="Arial"/>
                <w:sz w:val="22"/>
                <w:szCs w:val="22"/>
              </w:rPr>
            </w:pPr>
          </w:p>
          <w:p w:rsidR="00272231" w:rsidRPr="000224D5" w:rsidRDefault="00272231" w:rsidP="000224D5">
            <w:pPr>
              <w:widowControl/>
              <w:rPr>
                <w:rFonts w:ascii="Shruti" w:hAnsi="Shruti" w:cs="Shruti"/>
                <w:sz w:val="22"/>
                <w:szCs w:val="22"/>
              </w:rPr>
            </w:pPr>
            <w:r w:rsidRPr="000224D5">
              <w:rPr>
                <w:rFonts w:ascii="Shruti" w:hAnsi="Shruti" w:cs="Shruti"/>
                <w:sz w:val="22"/>
                <w:szCs w:val="22"/>
              </w:rPr>
              <w:sym w:font="WP TypographicSymbols" w:char="0027"/>
            </w:r>
            <w:r w:rsidRPr="000224D5">
              <w:rPr>
                <w:rFonts w:ascii="Shruti" w:hAnsi="Shruti" w:cs="Shruti"/>
                <w:sz w:val="22"/>
                <w:szCs w:val="22"/>
              </w:rPr>
              <w:t>20.2006</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53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Transfer for disposal and manifests</w:t>
            </w:r>
          </w:p>
        </w:tc>
        <w:tc>
          <w:tcPr>
            <w:tcW w:w="108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71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t>B</w:t>
            </w:r>
          </w:p>
        </w:tc>
        <w:tc>
          <w:tcPr>
            <w:tcW w:w="297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 xml:space="preserve">Due to its great length, please refer to the text of 10 CFR Section 20.2006 for text change. </w:t>
            </w:r>
          </w:p>
        </w:tc>
        <w:tc>
          <w:tcPr>
            <w:tcW w:w="144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153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2970" w:type="dxa"/>
            <w:tcBorders>
              <w:top w:val="double" w:sz="6" w:space="0" w:color="000000"/>
            </w:tcBorders>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r>
      <w:tr w:rsidR="00272231" w:rsidTr="000224D5">
        <w:tblPrEx>
          <w:tblCellMar>
            <w:top w:w="0" w:type="dxa"/>
            <w:bottom w:w="0" w:type="dxa"/>
          </w:tblCellMar>
        </w:tblPrEx>
        <w:trPr>
          <w:trHeight w:val="20"/>
        </w:trPr>
        <w:tc>
          <w:tcPr>
            <w:tcW w:w="11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sym w:font="WP TypographicSymbols" w:char="0027"/>
            </w:r>
            <w:r w:rsidRPr="000224D5">
              <w:rPr>
                <w:rFonts w:ascii="Shruti" w:hAnsi="Shruti" w:cs="Shruti"/>
                <w:sz w:val="22"/>
                <w:szCs w:val="22"/>
              </w:rPr>
              <w:t>20.2101</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53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General provisions</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108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71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t>C</w:t>
            </w:r>
          </w:p>
        </w:tc>
        <w:tc>
          <w:tcPr>
            <w:tcW w:w="29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b/>
                <w:bCs/>
                <w:sz w:val="22"/>
                <w:szCs w:val="22"/>
              </w:rPr>
              <w:t xml:space="preserve">Section 20.2101 is amended by redesignating paragraph (b) as paragraph (c) and adding a new paragraph (b) to read as follows: </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 xml:space="preserve">* * * * * </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 xml:space="preserve">(b) Not withstanding the requirements of paragraph (a) of this section, when recording information on shipment manifests, as required in Sec. 20.2006(b), information must be recorded in the International System of Units (SI) or in SI and units as specified in paragraph (a) of this section. </w:t>
            </w:r>
          </w:p>
        </w:tc>
        <w:tc>
          <w:tcPr>
            <w:tcW w:w="144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153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29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r>
      <w:tr w:rsidR="00272231" w:rsidTr="000224D5">
        <w:tblPrEx>
          <w:tblCellMar>
            <w:top w:w="0" w:type="dxa"/>
            <w:bottom w:w="0" w:type="dxa"/>
          </w:tblCellMar>
        </w:tblPrEx>
        <w:trPr>
          <w:trHeight w:val="20"/>
        </w:trPr>
        <w:tc>
          <w:tcPr>
            <w:tcW w:w="11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t xml:space="preserve">Part 20 </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t xml:space="preserve">Appendix </w:t>
            </w:r>
            <w:r w:rsidRPr="000224D5">
              <w:rPr>
                <w:rFonts w:ascii="Shruti" w:hAnsi="Shruti" w:cs="Shruti"/>
                <w:sz w:val="22"/>
                <w:szCs w:val="22"/>
              </w:rPr>
              <w:lastRenderedPageBreak/>
              <w:t>G</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53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sidRPr="000224D5">
              <w:rPr>
                <w:rFonts w:ascii="Shruti" w:hAnsi="Shruti" w:cs="Shruti"/>
                <w:sz w:val="22"/>
                <w:szCs w:val="22"/>
              </w:rPr>
              <w:t xml:space="preserve">Requirements for </w:t>
            </w:r>
            <w:r w:rsidRPr="000224D5">
              <w:rPr>
                <w:rFonts w:ascii="Shruti" w:hAnsi="Shruti" w:cs="Shruti"/>
                <w:sz w:val="22"/>
                <w:szCs w:val="22"/>
              </w:rPr>
              <w:lastRenderedPageBreak/>
              <w:t>Transfers of Low-Level Radioactive Waste Intended for Disposal at Licensed Land Disposal Facilities and Manifests</w:t>
            </w:r>
          </w:p>
        </w:tc>
        <w:tc>
          <w:tcPr>
            <w:tcW w:w="108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22"/>
                <w:szCs w:val="22"/>
              </w:rPr>
            </w:pPr>
          </w:p>
        </w:tc>
        <w:tc>
          <w:tcPr>
            <w:tcW w:w="171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Shruti" w:hAnsi="Shruti" w:cs="Shruti"/>
                <w:sz w:val="22"/>
                <w:szCs w:val="22"/>
              </w:rPr>
            </w:pPr>
            <w:r w:rsidRPr="000224D5">
              <w:rPr>
                <w:rFonts w:ascii="Shruti" w:hAnsi="Shruti" w:cs="Shruti"/>
                <w:sz w:val="22"/>
                <w:szCs w:val="22"/>
              </w:rPr>
              <w:t>B</w:t>
            </w:r>
          </w:p>
        </w:tc>
        <w:tc>
          <w:tcPr>
            <w:tcW w:w="29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r w:rsidRPr="000224D5">
              <w:rPr>
                <w:rFonts w:ascii="Shruti" w:hAnsi="Shruti" w:cs="Shruti"/>
                <w:sz w:val="22"/>
                <w:szCs w:val="22"/>
              </w:rPr>
              <w:t xml:space="preserve">Due to its great length, please refer to the text of 10 </w:t>
            </w:r>
            <w:r w:rsidRPr="000224D5">
              <w:rPr>
                <w:rFonts w:ascii="Shruti" w:hAnsi="Shruti" w:cs="Shruti"/>
                <w:sz w:val="22"/>
                <w:szCs w:val="22"/>
              </w:rPr>
              <w:lastRenderedPageBreak/>
              <w:t xml:space="preserve">CFR Part 20 Appendix G. </w:t>
            </w:r>
          </w:p>
        </w:tc>
        <w:tc>
          <w:tcPr>
            <w:tcW w:w="144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tc>
        <w:tc>
          <w:tcPr>
            <w:tcW w:w="153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tc>
        <w:tc>
          <w:tcPr>
            <w:tcW w:w="297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Shruti" w:hAnsi="Shruti" w:cs="Shruti"/>
                <w:sz w:val="22"/>
                <w:szCs w:val="22"/>
              </w:rPr>
            </w:pPr>
          </w:p>
        </w:tc>
      </w:tr>
      <w:tr w:rsidR="00272231" w:rsidTr="000224D5">
        <w:tblPrEx>
          <w:tblCellMar>
            <w:top w:w="0" w:type="dxa"/>
            <w:bottom w:w="0" w:type="dxa"/>
          </w:tblCellMar>
        </w:tblPrEx>
        <w:trPr>
          <w:trHeight w:val="20"/>
        </w:trPr>
        <w:tc>
          <w:tcPr>
            <w:tcW w:w="1170" w:type="dxa"/>
          </w:tcPr>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lastRenderedPageBreak/>
              <w:sym w:font="WP TypographicSymbols" w:char="0027"/>
            </w:r>
            <w:r w:rsidRPr="000224D5">
              <w:rPr>
                <w:rFonts w:ascii="Shruti" w:hAnsi="Shruti" w:cs="Shruti"/>
                <w:sz w:val="22"/>
                <w:szCs w:val="22"/>
              </w:rPr>
              <w:t>61.80</w:t>
            </w: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p>
        </w:tc>
        <w:tc>
          <w:tcPr>
            <w:tcW w:w="1530" w:type="dxa"/>
          </w:tcPr>
          <w:p w:rsidR="00272231" w:rsidRPr="000224D5" w:rsidRDefault="00E90117"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 xml:space="preserve">Maintenance of </w:t>
            </w:r>
            <w:r w:rsidR="00272231" w:rsidRPr="000224D5">
              <w:rPr>
                <w:rFonts w:ascii="Shruti" w:hAnsi="Shruti" w:cs="Shruti"/>
                <w:sz w:val="22"/>
                <w:szCs w:val="22"/>
              </w:rPr>
              <w:t xml:space="preserve">records, reports, and transfers. </w:t>
            </w:r>
          </w:p>
        </w:tc>
        <w:tc>
          <w:tcPr>
            <w:tcW w:w="1080" w:type="dxa"/>
          </w:tcPr>
          <w:p w:rsidR="00272231" w:rsidRPr="000224D5" w:rsidRDefault="00272231" w:rsidP="000224D5">
            <w:pPr>
              <w:rPr>
                <w:rFonts w:ascii="Shruti" w:hAnsi="Shruti" w:cs="Shruti"/>
                <w:sz w:val="22"/>
                <w:szCs w:val="22"/>
              </w:rPr>
            </w:pPr>
          </w:p>
          <w:p w:rsidR="00E90117" w:rsidRPr="000224D5" w:rsidRDefault="00E90117" w:rsidP="000224D5">
            <w:pPr>
              <w:rPr>
                <w:rFonts w:ascii="Shruti" w:hAnsi="Shruti" w:cs="Shruti"/>
                <w:sz w:val="22"/>
                <w:szCs w:val="22"/>
              </w:rPr>
            </w:pPr>
          </w:p>
          <w:p w:rsidR="00E90117" w:rsidRPr="000224D5" w:rsidRDefault="00E90117" w:rsidP="000224D5">
            <w:pPr>
              <w:rPr>
                <w:rFonts w:ascii="Shruti" w:hAnsi="Shruti" w:cs="Shruti"/>
                <w:sz w:val="22"/>
                <w:szCs w:val="22"/>
              </w:rPr>
            </w:pPr>
          </w:p>
          <w:p w:rsidR="00E90117" w:rsidRPr="000224D5" w:rsidRDefault="00E90117"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1710" w:type="dxa"/>
          </w:tcPr>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2"/>
                <w:szCs w:val="22"/>
              </w:rPr>
            </w:pPr>
            <w:r w:rsidRPr="000224D5">
              <w:rPr>
                <w:rFonts w:ascii="Shruti" w:hAnsi="Shruti" w:cs="Shruti"/>
                <w:sz w:val="22"/>
                <w:szCs w:val="22"/>
              </w:rPr>
              <w:t>C</w:t>
            </w:r>
          </w:p>
        </w:tc>
        <w:tc>
          <w:tcPr>
            <w:tcW w:w="2970" w:type="dxa"/>
          </w:tcPr>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r w:rsidRPr="000224D5">
              <w:rPr>
                <w:rFonts w:ascii="Shruti" w:hAnsi="Shruti" w:cs="Shruti"/>
                <w:sz w:val="22"/>
                <w:szCs w:val="22"/>
              </w:rPr>
              <w:t>Due to its great length, please refer to the text of 10 CFR Part 61.80.</w:t>
            </w:r>
          </w:p>
        </w:tc>
        <w:tc>
          <w:tcPr>
            <w:tcW w:w="1440" w:type="dxa"/>
          </w:tcPr>
          <w:p w:rsidR="00272231" w:rsidRPr="000224D5" w:rsidRDefault="00272231" w:rsidP="000224D5">
            <w:pPr>
              <w:rPr>
                <w:rFonts w:ascii="Shruti" w:hAnsi="Shruti" w:cs="Shruti"/>
                <w:sz w:val="22"/>
                <w:szCs w:val="22"/>
              </w:rPr>
            </w:pPr>
          </w:p>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1530" w:type="dxa"/>
          </w:tcPr>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c>
          <w:tcPr>
            <w:tcW w:w="2970" w:type="dxa"/>
          </w:tcPr>
          <w:p w:rsidR="00272231" w:rsidRPr="000224D5" w:rsidRDefault="00272231" w:rsidP="000224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2"/>
                <w:szCs w:val="22"/>
              </w:rPr>
            </w:pPr>
          </w:p>
        </w:tc>
      </w:tr>
    </w:tbl>
    <w:p w:rsidR="00272231" w:rsidRDefault="00272231" w:rsidP="005221C0">
      <w:pPr>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hAnsi="Arial" w:cs="Arial"/>
          <w:sz w:val="20"/>
          <w:szCs w:val="20"/>
        </w:rPr>
      </w:pPr>
    </w:p>
    <w:sectPr w:rsidR="00272231" w:rsidSect="005221C0">
      <w:footerReference w:type="default" r:id="rId7"/>
      <w:pgSz w:w="15840" w:h="12240" w:orient="landscape"/>
      <w:pgMar w:top="547" w:right="1440" w:bottom="720" w:left="1440" w:header="547"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ADB" w:rsidRDefault="004B1ADB" w:rsidP="004B1ADB">
      <w:r>
        <w:separator/>
      </w:r>
    </w:p>
  </w:endnote>
  <w:endnote w:type="continuationSeparator" w:id="0">
    <w:p w:rsidR="004B1ADB" w:rsidRDefault="004B1ADB" w:rsidP="004B1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ADB" w:rsidRDefault="004B1ADB">
    <w:pPr>
      <w:pStyle w:val="Footer"/>
      <w:jc w:val="center"/>
    </w:pPr>
    <w:fldSimple w:instr=" PAGE   \* MERGEFORMAT ">
      <w:r>
        <w:rPr>
          <w:noProof/>
        </w:rPr>
        <w:t>1</w:t>
      </w:r>
    </w:fldSimple>
  </w:p>
  <w:p w:rsidR="004B1ADB" w:rsidRDefault="004B1A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ADB" w:rsidRDefault="004B1ADB" w:rsidP="004B1ADB">
      <w:r>
        <w:separator/>
      </w:r>
    </w:p>
  </w:footnote>
  <w:footnote w:type="continuationSeparator" w:id="0">
    <w:p w:rsidR="004B1ADB" w:rsidRDefault="004B1ADB" w:rsidP="004B1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72231"/>
    <w:rsid w:val="000224D5"/>
    <w:rsid w:val="00272231"/>
    <w:rsid w:val="004B1ADB"/>
    <w:rsid w:val="005221C0"/>
    <w:rsid w:val="00CE59D0"/>
    <w:rsid w:val="00E901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4B1ADB"/>
    <w:pPr>
      <w:tabs>
        <w:tab w:val="center" w:pos="4680"/>
        <w:tab w:val="right" w:pos="9360"/>
      </w:tabs>
    </w:pPr>
  </w:style>
  <w:style w:type="character" w:customStyle="1" w:styleId="HeaderChar">
    <w:name w:val="Header Char"/>
    <w:basedOn w:val="DefaultParagraphFont"/>
    <w:link w:val="Header"/>
    <w:rsid w:val="004B1ADB"/>
    <w:rPr>
      <w:sz w:val="24"/>
      <w:szCs w:val="24"/>
    </w:rPr>
  </w:style>
  <w:style w:type="paragraph" w:styleId="Footer">
    <w:name w:val="footer"/>
    <w:basedOn w:val="Normal"/>
    <w:link w:val="FooterChar"/>
    <w:uiPriority w:val="99"/>
    <w:rsid w:val="004B1ADB"/>
    <w:pPr>
      <w:tabs>
        <w:tab w:val="center" w:pos="4680"/>
        <w:tab w:val="right" w:pos="9360"/>
      </w:tabs>
    </w:pPr>
  </w:style>
  <w:style w:type="character" w:customStyle="1" w:styleId="FooterChar">
    <w:name w:val="Footer Char"/>
    <w:basedOn w:val="DefaultParagraphFont"/>
    <w:link w:val="Footer"/>
    <w:uiPriority w:val="99"/>
    <w:rsid w:val="004B1ADB"/>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Low Level Waste Shipment Manifest Information and Reporting</vt:lpstr>
    </vt:vector>
  </TitlesOfParts>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Level Waste Shipment Manifest Information and Reporting</dc:title>
  <dc:subject/>
  <dc:creator>KNM1</dc:creator>
  <cp:keywords/>
  <dc:description/>
  <cp:lastModifiedBy>KNM1</cp:lastModifiedBy>
  <cp:revision>2</cp:revision>
  <dcterms:created xsi:type="dcterms:W3CDTF">2011-05-02T15:13:00Z</dcterms:created>
  <dcterms:modified xsi:type="dcterms:W3CDTF">2011-05-02T15:13:00Z</dcterms:modified>
</cp:coreProperties>
</file>