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4CD7C" w14:textId="77777777" w:rsidR="00145D1B" w:rsidRPr="0063589E" w:rsidRDefault="00145D1B">
      <w:pPr>
        <w:widowControl/>
        <w:jc w:val="center"/>
        <w:rPr>
          <w:rFonts w:ascii="Arial" w:hAnsi="Arial" w:cs="Arial"/>
          <w:b/>
          <w:bCs/>
          <w:sz w:val="22"/>
          <w:szCs w:val="22"/>
        </w:rPr>
      </w:pPr>
      <w:r w:rsidRPr="0063589E">
        <w:rPr>
          <w:rFonts w:ascii="Arial" w:hAnsi="Arial" w:cs="Arial"/>
          <w:b/>
          <w:bCs/>
          <w:sz w:val="22"/>
          <w:szCs w:val="22"/>
        </w:rPr>
        <w:t>Timeliness in Decommissioning of Materials Facilities</w:t>
      </w:r>
    </w:p>
    <w:p w14:paraId="5F24CD7D" w14:textId="16EB9895" w:rsidR="00145D1B" w:rsidRDefault="00145D1B" w:rsidP="0063589E">
      <w:pPr>
        <w:widowControl/>
        <w:jc w:val="center"/>
        <w:rPr>
          <w:rFonts w:ascii="Arial" w:hAnsi="Arial" w:cs="Arial"/>
          <w:b/>
          <w:sz w:val="22"/>
          <w:szCs w:val="22"/>
        </w:rPr>
      </w:pPr>
      <w:r w:rsidRPr="0063589E">
        <w:rPr>
          <w:rFonts w:ascii="Arial" w:hAnsi="Arial" w:cs="Arial"/>
          <w:b/>
          <w:bCs/>
          <w:sz w:val="22"/>
          <w:szCs w:val="22"/>
        </w:rPr>
        <w:t xml:space="preserve"> </w:t>
      </w:r>
      <w:r w:rsidR="004F0EBC">
        <w:rPr>
          <w:rFonts w:ascii="Arial" w:hAnsi="Arial" w:cs="Arial"/>
          <w:b/>
          <w:sz w:val="22"/>
          <w:szCs w:val="22"/>
        </w:rPr>
        <w:t>(59 FR 36026</w:t>
      </w:r>
      <w:r w:rsidRPr="0063589E">
        <w:rPr>
          <w:rFonts w:ascii="Arial" w:hAnsi="Arial" w:cs="Arial"/>
          <w:b/>
          <w:sz w:val="22"/>
          <w:szCs w:val="22"/>
        </w:rPr>
        <w:t>)</w:t>
      </w:r>
      <w:r w:rsidR="0063589E" w:rsidRPr="0063589E">
        <w:rPr>
          <w:rFonts w:ascii="Arial" w:hAnsi="Arial" w:cs="Arial"/>
          <w:b/>
          <w:bCs/>
          <w:sz w:val="22"/>
          <w:szCs w:val="22"/>
        </w:rPr>
        <w:t xml:space="preserve"> RATS ID </w:t>
      </w:r>
      <w:r w:rsidR="0063589E">
        <w:rPr>
          <w:rFonts w:ascii="Arial" w:hAnsi="Arial" w:cs="Arial"/>
          <w:b/>
          <w:bCs/>
          <w:sz w:val="22"/>
          <w:szCs w:val="22"/>
        </w:rPr>
        <w:t>1994</w:t>
      </w:r>
      <w:r w:rsidR="0063589E">
        <w:rPr>
          <w:rFonts w:ascii="Arial" w:hAnsi="Arial" w:cs="Arial"/>
          <w:b/>
          <w:bCs/>
          <w:sz w:val="22"/>
          <w:szCs w:val="22"/>
        </w:rPr>
        <w:noBreakHyphen/>
        <w:t xml:space="preserve">3 </w:t>
      </w:r>
      <w:r w:rsidR="0063589E">
        <w:rPr>
          <w:rFonts w:ascii="Arial" w:hAnsi="Arial" w:cs="Arial"/>
          <w:b/>
          <w:sz w:val="22"/>
          <w:szCs w:val="22"/>
        </w:rPr>
        <w:t xml:space="preserve">Effective </w:t>
      </w:r>
      <w:r w:rsidRPr="0063589E">
        <w:rPr>
          <w:rFonts w:ascii="Arial" w:hAnsi="Arial" w:cs="Arial"/>
          <w:b/>
          <w:sz w:val="22"/>
          <w:szCs w:val="22"/>
        </w:rPr>
        <w:t>08/15/94</w:t>
      </w:r>
    </w:p>
    <w:p w14:paraId="5F24CD7E" w14:textId="77777777" w:rsidR="0063589E" w:rsidRPr="0063589E" w:rsidRDefault="0063589E">
      <w:pPr>
        <w:widowControl/>
        <w:jc w:val="center"/>
        <w:rPr>
          <w:rFonts w:ascii="Arial" w:hAnsi="Arial" w:cs="Arial"/>
          <w:b/>
          <w:sz w:val="22"/>
          <w:szCs w:val="22"/>
        </w:rPr>
      </w:pPr>
    </w:p>
    <w:p w14:paraId="5F24CD7F" w14:textId="77777777" w:rsidR="00145D1B" w:rsidRDefault="00145D1B">
      <w:pPr>
        <w:widowControl/>
        <w:rPr>
          <w:rFonts w:ascii="Arial" w:hAnsi="Arial" w:cs="Arial"/>
          <w:sz w:val="22"/>
          <w:szCs w:val="22"/>
        </w:rPr>
      </w:pPr>
    </w:p>
    <w:tbl>
      <w:tblPr>
        <w:tblW w:w="15120" w:type="dxa"/>
        <w:tblInd w:w="-960" w:type="dxa"/>
        <w:tblLayout w:type="fixed"/>
        <w:tblCellMar>
          <w:left w:w="120" w:type="dxa"/>
          <w:right w:w="120" w:type="dxa"/>
        </w:tblCellMar>
        <w:tblLook w:val="0000" w:firstRow="0" w:lastRow="0" w:firstColumn="0" w:lastColumn="0" w:noHBand="0" w:noVBand="0"/>
      </w:tblPr>
      <w:tblGrid>
        <w:gridCol w:w="1170"/>
        <w:gridCol w:w="1980"/>
        <w:gridCol w:w="1080"/>
        <w:gridCol w:w="1710"/>
        <w:gridCol w:w="3150"/>
        <w:gridCol w:w="1440"/>
        <w:gridCol w:w="1530"/>
        <w:gridCol w:w="3060"/>
      </w:tblGrid>
      <w:tr w:rsidR="00145D1B" w:rsidRPr="0063589E" w14:paraId="5F24CD96" w14:textId="77777777" w:rsidTr="0063589E">
        <w:trPr>
          <w:tblHeader/>
        </w:trPr>
        <w:tc>
          <w:tcPr>
            <w:tcW w:w="1170" w:type="dxa"/>
            <w:tcBorders>
              <w:top w:val="double" w:sz="7" w:space="0" w:color="000000"/>
              <w:left w:val="double" w:sz="7" w:space="0" w:color="000000"/>
              <w:bottom w:val="double" w:sz="7" w:space="0" w:color="000000"/>
              <w:right w:val="single" w:sz="7" w:space="0" w:color="000000"/>
            </w:tcBorders>
          </w:tcPr>
          <w:p w14:paraId="5F24CD80" w14:textId="77777777" w:rsidR="00145D1B" w:rsidRPr="0063589E" w:rsidRDefault="00145D1B" w:rsidP="0063589E">
            <w:pPr>
              <w:jc w:val="center"/>
              <w:rPr>
                <w:rFonts w:ascii="Arial" w:hAnsi="Arial" w:cs="Arial"/>
                <w:sz w:val="22"/>
                <w:szCs w:val="22"/>
              </w:rPr>
            </w:pPr>
          </w:p>
          <w:p w14:paraId="5F24CD81"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 xml:space="preserve">Change to </w:t>
            </w:r>
          </w:p>
          <w:p w14:paraId="5F24CD82"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NRC</w:t>
            </w:r>
          </w:p>
          <w:p w14:paraId="5F24CD83"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Section</w:t>
            </w:r>
          </w:p>
        </w:tc>
        <w:tc>
          <w:tcPr>
            <w:tcW w:w="1980" w:type="dxa"/>
            <w:tcBorders>
              <w:top w:val="double" w:sz="7" w:space="0" w:color="000000"/>
              <w:left w:val="single" w:sz="7" w:space="0" w:color="000000"/>
              <w:bottom w:val="double" w:sz="7" w:space="0" w:color="000000"/>
              <w:right w:val="single" w:sz="7" w:space="0" w:color="000000"/>
            </w:tcBorders>
          </w:tcPr>
          <w:p w14:paraId="5F24CD84" w14:textId="77777777" w:rsidR="00145D1B" w:rsidRPr="0063589E" w:rsidRDefault="00145D1B" w:rsidP="0063589E">
            <w:pPr>
              <w:jc w:val="center"/>
              <w:rPr>
                <w:rFonts w:ascii="Arial" w:hAnsi="Arial" w:cs="Arial"/>
                <w:b/>
                <w:bCs/>
                <w:sz w:val="22"/>
                <w:szCs w:val="22"/>
              </w:rPr>
            </w:pPr>
          </w:p>
          <w:p w14:paraId="5F24CD85" w14:textId="77777777" w:rsidR="00145D1B" w:rsidRPr="0063589E" w:rsidRDefault="00145D1B" w:rsidP="0063589E">
            <w:pPr>
              <w:widowControl/>
              <w:tabs>
                <w:tab w:val="center" w:pos="825"/>
              </w:tabs>
              <w:jc w:val="center"/>
              <w:rPr>
                <w:rFonts w:ascii="Arial" w:hAnsi="Arial" w:cs="Arial"/>
                <w:b/>
                <w:bCs/>
                <w:sz w:val="22"/>
                <w:szCs w:val="22"/>
              </w:rPr>
            </w:pPr>
            <w:r w:rsidRPr="0063589E">
              <w:rPr>
                <w:rFonts w:ascii="Arial" w:hAnsi="Arial" w:cs="Arial"/>
                <w:b/>
                <w:bCs/>
                <w:sz w:val="22"/>
                <w:szCs w:val="22"/>
              </w:rPr>
              <w:t>Title</w:t>
            </w:r>
          </w:p>
        </w:tc>
        <w:tc>
          <w:tcPr>
            <w:tcW w:w="1080" w:type="dxa"/>
            <w:tcBorders>
              <w:top w:val="double" w:sz="7" w:space="0" w:color="000000"/>
              <w:left w:val="single" w:sz="7" w:space="0" w:color="000000"/>
              <w:bottom w:val="double" w:sz="7" w:space="0" w:color="000000"/>
              <w:right w:val="single" w:sz="7" w:space="0" w:color="000000"/>
            </w:tcBorders>
          </w:tcPr>
          <w:p w14:paraId="5F24CD86" w14:textId="77777777" w:rsidR="00145D1B" w:rsidRPr="0063589E" w:rsidRDefault="00145D1B" w:rsidP="0063589E">
            <w:pPr>
              <w:jc w:val="center"/>
              <w:rPr>
                <w:rFonts w:ascii="Arial" w:hAnsi="Arial" w:cs="Arial"/>
                <w:b/>
                <w:bCs/>
                <w:sz w:val="22"/>
                <w:szCs w:val="22"/>
              </w:rPr>
            </w:pPr>
          </w:p>
          <w:p w14:paraId="5F24CD87" w14:textId="77777777" w:rsidR="00145D1B" w:rsidRPr="0063589E" w:rsidRDefault="00145D1B" w:rsidP="0063589E">
            <w:pPr>
              <w:widowControl/>
              <w:tabs>
                <w:tab w:val="center" w:pos="420"/>
              </w:tabs>
              <w:jc w:val="center"/>
              <w:rPr>
                <w:rFonts w:ascii="Arial" w:hAnsi="Arial" w:cs="Arial"/>
                <w:b/>
                <w:bCs/>
                <w:sz w:val="22"/>
                <w:szCs w:val="22"/>
              </w:rPr>
            </w:pPr>
            <w:r w:rsidRPr="0063589E">
              <w:rPr>
                <w:rFonts w:ascii="Arial" w:hAnsi="Arial" w:cs="Arial"/>
                <w:b/>
                <w:bCs/>
                <w:sz w:val="22"/>
                <w:szCs w:val="22"/>
              </w:rPr>
              <w:t xml:space="preserve">State </w:t>
            </w:r>
          </w:p>
          <w:p w14:paraId="5F24CD88"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Section</w:t>
            </w:r>
          </w:p>
        </w:tc>
        <w:tc>
          <w:tcPr>
            <w:tcW w:w="1710" w:type="dxa"/>
            <w:tcBorders>
              <w:top w:val="double" w:sz="7" w:space="0" w:color="000000"/>
              <w:left w:val="single" w:sz="15" w:space="0" w:color="000000"/>
              <w:bottom w:val="double" w:sz="7" w:space="0" w:color="000000"/>
              <w:right w:val="single" w:sz="7" w:space="0" w:color="000000"/>
            </w:tcBorders>
          </w:tcPr>
          <w:p w14:paraId="5F24CD89" w14:textId="77777777" w:rsidR="00145D1B" w:rsidRPr="0063589E" w:rsidRDefault="00145D1B" w:rsidP="0063589E">
            <w:pPr>
              <w:jc w:val="center"/>
              <w:rPr>
                <w:rFonts w:ascii="Arial" w:hAnsi="Arial" w:cs="Arial"/>
                <w:b/>
                <w:bCs/>
                <w:sz w:val="22"/>
                <w:szCs w:val="22"/>
              </w:rPr>
            </w:pPr>
          </w:p>
          <w:p w14:paraId="5F24CD8A"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Compatibility</w:t>
            </w:r>
          </w:p>
          <w:p w14:paraId="5F24CD8B"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Category</w:t>
            </w:r>
          </w:p>
        </w:tc>
        <w:tc>
          <w:tcPr>
            <w:tcW w:w="3150" w:type="dxa"/>
            <w:tcBorders>
              <w:top w:val="double" w:sz="7" w:space="0" w:color="000000"/>
              <w:left w:val="single" w:sz="7" w:space="0" w:color="000000"/>
              <w:bottom w:val="double" w:sz="7" w:space="0" w:color="000000"/>
              <w:right w:val="double" w:sz="7" w:space="0" w:color="000000"/>
            </w:tcBorders>
          </w:tcPr>
          <w:p w14:paraId="5F24CD8C" w14:textId="77777777" w:rsidR="00145D1B" w:rsidRPr="0063589E" w:rsidRDefault="00145D1B" w:rsidP="0063589E">
            <w:pPr>
              <w:jc w:val="center"/>
              <w:rPr>
                <w:rFonts w:ascii="Arial" w:hAnsi="Arial" w:cs="Arial"/>
                <w:b/>
                <w:bCs/>
                <w:sz w:val="22"/>
                <w:szCs w:val="22"/>
              </w:rPr>
            </w:pPr>
          </w:p>
          <w:p w14:paraId="5F24CD8D" w14:textId="77777777" w:rsidR="00145D1B" w:rsidRPr="0063589E" w:rsidRDefault="00145D1B" w:rsidP="0063589E">
            <w:pPr>
              <w:widowControl/>
              <w:tabs>
                <w:tab w:val="center" w:pos="1860"/>
              </w:tabs>
              <w:jc w:val="center"/>
              <w:rPr>
                <w:rFonts w:ascii="Arial" w:hAnsi="Arial" w:cs="Arial"/>
                <w:b/>
                <w:bCs/>
                <w:sz w:val="22"/>
                <w:szCs w:val="22"/>
              </w:rPr>
            </w:pPr>
            <w:r w:rsidRPr="0063589E">
              <w:rPr>
                <w:rFonts w:ascii="Arial" w:hAnsi="Arial" w:cs="Arial"/>
                <w:b/>
                <w:bCs/>
                <w:sz w:val="22"/>
                <w:szCs w:val="22"/>
              </w:rPr>
              <w:t>Summary of Change</w:t>
            </w:r>
          </w:p>
        </w:tc>
        <w:tc>
          <w:tcPr>
            <w:tcW w:w="1440" w:type="dxa"/>
            <w:tcBorders>
              <w:top w:val="double" w:sz="7" w:space="0" w:color="000000"/>
              <w:left w:val="single" w:sz="7" w:space="0" w:color="000000"/>
              <w:bottom w:val="double" w:sz="7" w:space="0" w:color="000000"/>
              <w:right w:val="double" w:sz="7" w:space="0" w:color="000000"/>
            </w:tcBorders>
          </w:tcPr>
          <w:p w14:paraId="5F24CD8E" w14:textId="77777777" w:rsidR="00145D1B" w:rsidRPr="0063589E" w:rsidRDefault="00145D1B" w:rsidP="0063589E">
            <w:pPr>
              <w:jc w:val="center"/>
              <w:rPr>
                <w:rFonts w:ascii="Arial" w:hAnsi="Arial" w:cs="Arial"/>
                <w:b/>
                <w:bCs/>
                <w:sz w:val="22"/>
                <w:szCs w:val="22"/>
              </w:rPr>
            </w:pPr>
          </w:p>
          <w:p w14:paraId="5F24CD8F"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Difference</w:t>
            </w:r>
          </w:p>
          <w:p w14:paraId="5F24CD90"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Yes/No</w:t>
            </w:r>
          </w:p>
        </w:tc>
        <w:tc>
          <w:tcPr>
            <w:tcW w:w="1530" w:type="dxa"/>
            <w:tcBorders>
              <w:top w:val="double" w:sz="7" w:space="0" w:color="000000"/>
              <w:left w:val="single" w:sz="7" w:space="0" w:color="000000"/>
              <w:bottom w:val="double" w:sz="7" w:space="0" w:color="000000"/>
              <w:right w:val="double" w:sz="7" w:space="0" w:color="000000"/>
            </w:tcBorders>
          </w:tcPr>
          <w:p w14:paraId="5F24CD91" w14:textId="77777777" w:rsidR="00145D1B" w:rsidRPr="0063589E" w:rsidRDefault="00145D1B" w:rsidP="0063589E">
            <w:pPr>
              <w:jc w:val="center"/>
              <w:rPr>
                <w:rFonts w:ascii="Arial" w:hAnsi="Arial" w:cs="Arial"/>
                <w:b/>
                <w:bCs/>
                <w:sz w:val="22"/>
                <w:szCs w:val="22"/>
              </w:rPr>
            </w:pPr>
          </w:p>
          <w:p w14:paraId="5F24CD92"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Significant</w:t>
            </w:r>
          </w:p>
          <w:p w14:paraId="5F24CD93"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Yes/N</w:t>
            </w:r>
            <w:bookmarkStart w:id="0" w:name="_GoBack"/>
            <w:bookmarkEnd w:id="0"/>
            <w:r w:rsidRPr="0063589E">
              <w:rPr>
                <w:rFonts w:ascii="Arial" w:hAnsi="Arial" w:cs="Arial"/>
                <w:b/>
                <w:bCs/>
                <w:sz w:val="22"/>
                <w:szCs w:val="22"/>
              </w:rPr>
              <w:t>o</w:t>
            </w:r>
          </w:p>
        </w:tc>
        <w:tc>
          <w:tcPr>
            <w:tcW w:w="3060" w:type="dxa"/>
            <w:tcBorders>
              <w:top w:val="double" w:sz="7" w:space="0" w:color="000000"/>
              <w:left w:val="single" w:sz="7" w:space="0" w:color="000000"/>
              <w:bottom w:val="double" w:sz="7" w:space="0" w:color="000000"/>
              <w:right w:val="double" w:sz="7" w:space="0" w:color="000000"/>
            </w:tcBorders>
          </w:tcPr>
          <w:p w14:paraId="5F24CD94" w14:textId="77777777" w:rsidR="00145D1B" w:rsidRPr="0063589E" w:rsidRDefault="00145D1B" w:rsidP="0063589E">
            <w:pPr>
              <w:jc w:val="center"/>
              <w:rPr>
                <w:rFonts w:ascii="Arial" w:hAnsi="Arial" w:cs="Arial"/>
                <w:b/>
                <w:bCs/>
                <w:sz w:val="22"/>
                <w:szCs w:val="22"/>
              </w:rPr>
            </w:pPr>
          </w:p>
          <w:p w14:paraId="5F24CD95" w14:textId="77777777" w:rsidR="00145D1B" w:rsidRPr="0063589E" w:rsidRDefault="00145D1B" w:rsidP="0063589E">
            <w:pPr>
              <w:widowControl/>
              <w:jc w:val="center"/>
              <w:rPr>
                <w:rFonts w:ascii="Arial" w:hAnsi="Arial" w:cs="Arial"/>
                <w:b/>
                <w:bCs/>
                <w:sz w:val="22"/>
                <w:szCs w:val="22"/>
              </w:rPr>
            </w:pPr>
            <w:r w:rsidRPr="0063589E">
              <w:rPr>
                <w:rFonts w:ascii="Arial" w:hAnsi="Arial" w:cs="Arial"/>
                <w:b/>
                <w:bCs/>
                <w:sz w:val="22"/>
                <w:szCs w:val="22"/>
              </w:rPr>
              <w:t>If Difference, Why or Why Not Was a Comment Generated</w:t>
            </w:r>
          </w:p>
        </w:tc>
      </w:tr>
    </w:tbl>
    <w:p w14:paraId="5F24CD97" w14:textId="77777777" w:rsidR="00145D1B" w:rsidRPr="0063589E" w:rsidRDefault="00145D1B" w:rsidP="0063589E">
      <w:pPr>
        <w:rPr>
          <w:rFonts w:ascii="Arial" w:hAnsi="Arial" w:cs="Arial"/>
          <w:b/>
          <w:bCs/>
          <w:vanish/>
          <w:sz w:val="22"/>
          <w:szCs w:val="22"/>
        </w:rPr>
      </w:pPr>
    </w:p>
    <w:tbl>
      <w:tblPr>
        <w:tblW w:w="15120" w:type="dxa"/>
        <w:tblInd w:w="-960" w:type="dxa"/>
        <w:tblLayout w:type="fixed"/>
        <w:tblCellMar>
          <w:left w:w="120" w:type="dxa"/>
          <w:right w:w="120" w:type="dxa"/>
        </w:tblCellMar>
        <w:tblLook w:val="0000" w:firstRow="0" w:lastRow="0" w:firstColumn="0" w:lastColumn="0" w:noHBand="0" w:noVBand="0"/>
      </w:tblPr>
      <w:tblGrid>
        <w:gridCol w:w="1170"/>
        <w:gridCol w:w="1980"/>
        <w:gridCol w:w="1080"/>
        <w:gridCol w:w="1710"/>
        <w:gridCol w:w="3150"/>
        <w:gridCol w:w="1440"/>
        <w:gridCol w:w="1530"/>
        <w:gridCol w:w="3060"/>
      </w:tblGrid>
      <w:tr w:rsidR="00145D1B" w:rsidRPr="0063589E" w14:paraId="5F24CDAB" w14:textId="77777777" w:rsidTr="0063589E">
        <w:tc>
          <w:tcPr>
            <w:tcW w:w="1170" w:type="dxa"/>
            <w:tcBorders>
              <w:top w:val="single" w:sz="7" w:space="0" w:color="000000"/>
              <w:left w:val="single" w:sz="7" w:space="0" w:color="000000"/>
              <w:bottom w:val="single" w:sz="7" w:space="0" w:color="000000"/>
              <w:right w:val="single" w:sz="7" w:space="0" w:color="000000"/>
            </w:tcBorders>
          </w:tcPr>
          <w:p w14:paraId="5F24CD98" w14:textId="77777777" w:rsidR="00145D1B" w:rsidRPr="0063589E" w:rsidRDefault="00145D1B" w:rsidP="0063589E">
            <w:pPr>
              <w:rPr>
                <w:rFonts w:ascii="Arial" w:hAnsi="Arial" w:cs="Arial"/>
                <w:b/>
                <w:bCs/>
                <w:sz w:val="22"/>
                <w:szCs w:val="22"/>
              </w:rPr>
            </w:pPr>
          </w:p>
          <w:p w14:paraId="5F24CD99"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30.4</w:t>
            </w:r>
          </w:p>
          <w:p w14:paraId="5F24CD9A"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40.4</w:t>
            </w:r>
          </w:p>
          <w:p w14:paraId="5F24CD9B"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70.4</w:t>
            </w:r>
          </w:p>
        </w:tc>
        <w:tc>
          <w:tcPr>
            <w:tcW w:w="1980" w:type="dxa"/>
            <w:tcBorders>
              <w:top w:val="single" w:sz="7" w:space="0" w:color="000000"/>
              <w:left w:val="single" w:sz="7" w:space="0" w:color="000000"/>
              <w:bottom w:val="single" w:sz="7" w:space="0" w:color="000000"/>
              <w:right w:val="single" w:sz="7" w:space="0" w:color="000000"/>
            </w:tcBorders>
          </w:tcPr>
          <w:p w14:paraId="5F24CD9C" w14:textId="77777777" w:rsidR="00145D1B" w:rsidRPr="0063589E" w:rsidRDefault="00145D1B" w:rsidP="0063589E">
            <w:pPr>
              <w:rPr>
                <w:rFonts w:ascii="Arial" w:hAnsi="Arial" w:cs="Arial"/>
                <w:sz w:val="22"/>
                <w:szCs w:val="22"/>
              </w:rPr>
            </w:pPr>
          </w:p>
          <w:p w14:paraId="5F24CD9D"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t>Definitions</w:t>
            </w:r>
          </w:p>
        </w:tc>
        <w:tc>
          <w:tcPr>
            <w:tcW w:w="1080" w:type="dxa"/>
            <w:tcBorders>
              <w:top w:val="single" w:sz="7" w:space="0" w:color="000000"/>
              <w:left w:val="single" w:sz="7" w:space="0" w:color="000000"/>
              <w:bottom w:val="single" w:sz="7" w:space="0" w:color="000000"/>
              <w:right w:val="single" w:sz="7" w:space="0" w:color="000000"/>
            </w:tcBorders>
          </w:tcPr>
          <w:p w14:paraId="5F24CD9E" w14:textId="77777777" w:rsidR="00145D1B" w:rsidRPr="0063589E" w:rsidRDefault="00145D1B" w:rsidP="0063589E">
            <w:pPr>
              <w:rPr>
                <w:rFonts w:ascii="Arial" w:hAnsi="Arial" w:cs="Arial"/>
                <w:sz w:val="22"/>
                <w:szCs w:val="22"/>
              </w:rPr>
            </w:pPr>
          </w:p>
          <w:p w14:paraId="5F24CD9F" w14:textId="77777777" w:rsidR="00145D1B" w:rsidRPr="0063589E" w:rsidRDefault="00145D1B" w:rsidP="0063589E">
            <w:pPr>
              <w:widowControl/>
              <w:jc w:val="center"/>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A0" w14:textId="77777777" w:rsidR="00145D1B" w:rsidRPr="0063589E" w:rsidRDefault="00145D1B" w:rsidP="0063589E">
            <w:pPr>
              <w:rPr>
                <w:rFonts w:ascii="Arial" w:hAnsi="Arial" w:cs="Arial"/>
                <w:sz w:val="22"/>
                <w:szCs w:val="22"/>
              </w:rPr>
            </w:pPr>
          </w:p>
          <w:p w14:paraId="5F24CDA1" w14:textId="77777777" w:rsidR="00145D1B" w:rsidRPr="0063589E" w:rsidRDefault="00145D1B" w:rsidP="0063589E">
            <w:pPr>
              <w:widowControl/>
              <w:jc w:val="center"/>
              <w:rPr>
                <w:rFonts w:ascii="Arial" w:hAnsi="Arial" w:cs="Arial"/>
                <w:sz w:val="22"/>
                <w:szCs w:val="22"/>
              </w:rPr>
            </w:pPr>
            <w:r w:rsidRPr="0063589E">
              <w:rPr>
                <w:rFonts w:ascii="Arial" w:hAnsi="Arial" w:cs="Arial"/>
                <w:sz w:val="22"/>
                <w:szCs w:val="22"/>
              </w:rPr>
              <w:t>D</w:t>
            </w:r>
          </w:p>
        </w:tc>
        <w:tc>
          <w:tcPr>
            <w:tcW w:w="3150" w:type="dxa"/>
            <w:tcBorders>
              <w:top w:val="single" w:sz="7" w:space="0" w:color="000000"/>
              <w:left w:val="single" w:sz="7" w:space="0" w:color="000000"/>
              <w:bottom w:val="single" w:sz="7" w:space="0" w:color="000000"/>
              <w:right w:val="single" w:sz="7" w:space="0" w:color="000000"/>
            </w:tcBorders>
          </w:tcPr>
          <w:p w14:paraId="5F24CDA2" w14:textId="77777777" w:rsidR="00145D1B" w:rsidRPr="0063589E" w:rsidRDefault="00145D1B" w:rsidP="0063589E">
            <w:pPr>
              <w:rPr>
                <w:rFonts w:ascii="Arial" w:hAnsi="Arial" w:cs="Arial"/>
                <w:sz w:val="22"/>
                <w:szCs w:val="22"/>
              </w:rPr>
            </w:pPr>
          </w:p>
          <w:p w14:paraId="5F24CDA3" w14:textId="77777777" w:rsidR="00145D1B" w:rsidRPr="0063589E" w:rsidRDefault="00145D1B" w:rsidP="0063589E">
            <w:pPr>
              <w:widowControl/>
              <w:rPr>
                <w:rFonts w:ascii="Arial" w:hAnsi="Arial" w:cs="Arial"/>
                <w:sz w:val="22"/>
                <w:szCs w:val="22"/>
              </w:rPr>
            </w:pPr>
            <w:r w:rsidRPr="0063589E">
              <w:rPr>
                <w:rFonts w:ascii="Arial" w:hAnsi="Arial" w:cs="Arial"/>
                <w:b/>
                <w:bCs/>
                <w:sz w:val="22"/>
                <w:szCs w:val="22"/>
              </w:rPr>
              <w:t>Added Definition:</w:t>
            </w:r>
          </w:p>
          <w:p w14:paraId="5F24CDA4"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t>Principle Activity</w:t>
            </w:r>
          </w:p>
        </w:tc>
        <w:tc>
          <w:tcPr>
            <w:tcW w:w="1440" w:type="dxa"/>
            <w:tcBorders>
              <w:top w:val="single" w:sz="7" w:space="0" w:color="000000"/>
              <w:left w:val="single" w:sz="7" w:space="0" w:color="000000"/>
              <w:bottom w:val="single" w:sz="7" w:space="0" w:color="000000"/>
              <w:right w:val="single" w:sz="7" w:space="0" w:color="000000"/>
            </w:tcBorders>
          </w:tcPr>
          <w:p w14:paraId="5F24CDA5" w14:textId="77777777" w:rsidR="00145D1B" w:rsidRPr="0063589E" w:rsidRDefault="00145D1B" w:rsidP="0063589E">
            <w:pPr>
              <w:rPr>
                <w:rFonts w:ascii="Arial" w:hAnsi="Arial" w:cs="Arial"/>
                <w:sz w:val="22"/>
                <w:szCs w:val="22"/>
              </w:rPr>
            </w:pPr>
          </w:p>
          <w:p w14:paraId="5F24CDA6"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t>N/A</w:t>
            </w:r>
          </w:p>
        </w:tc>
        <w:tc>
          <w:tcPr>
            <w:tcW w:w="1530" w:type="dxa"/>
            <w:tcBorders>
              <w:top w:val="single" w:sz="7" w:space="0" w:color="000000"/>
              <w:left w:val="single" w:sz="7" w:space="0" w:color="000000"/>
              <w:bottom w:val="single" w:sz="7" w:space="0" w:color="000000"/>
              <w:right w:val="single" w:sz="7" w:space="0" w:color="000000"/>
            </w:tcBorders>
          </w:tcPr>
          <w:p w14:paraId="5F24CDA7" w14:textId="77777777" w:rsidR="00145D1B" w:rsidRPr="0063589E" w:rsidRDefault="00145D1B" w:rsidP="0063589E">
            <w:pPr>
              <w:rPr>
                <w:rFonts w:ascii="Arial" w:hAnsi="Arial" w:cs="Arial"/>
                <w:sz w:val="22"/>
                <w:szCs w:val="22"/>
              </w:rPr>
            </w:pPr>
          </w:p>
          <w:p w14:paraId="5F24CDA8" w14:textId="77777777" w:rsidR="00145D1B" w:rsidRPr="0063589E" w:rsidRDefault="00145D1B" w:rsidP="0063589E">
            <w:pPr>
              <w:widowControl/>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DA9" w14:textId="77777777" w:rsidR="00145D1B" w:rsidRPr="0063589E" w:rsidRDefault="00145D1B" w:rsidP="0063589E">
            <w:pPr>
              <w:rPr>
                <w:rFonts w:ascii="Arial" w:hAnsi="Arial" w:cs="Arial"/>
                <w:sz w:val="22"/>
                <w:szCs w:val="22"/>
              </w:rPr>
            </w:pPr>
          </w:p>
          <w:p w14:paraId="5F24CDAA" w14:textId="77777777" w:rsidR="00145D1B" w:rsidRPr="0063589E" w:rsidRDefault="00145D1B" w:rsidP="0063589E">
            <w:pPr>
              <w:widowControl/>
              <w:rPr>
                <w:rFonts w:ascii="Arial" w:hAnsi="Arial" w:cs="Arial"/>
                <w:sz w:val="22"/>
                <w:szCs w:val="22"/>
              </w:rPr>
            </w:pPr>
          </w:p>
        </w:tc>
      </w:tr>
      <w:tr w:rsidR="00145D1B" w:rsidRPr="0063589E" w14:paraId="5F24CDBD" w14:textId="77777777" w:rsidTr="0063589E">
        <w:tc>
          <w:tcPr>
            <w:tcW w:w="1170" w:type="dxa"/>
            <w:tcBorders>
              <w:top w:val="single" w:sz="7" w:space="0" w:color="000000"/>
              <w:left w:val="single" w:sz="7" w:space="0" w:color="000000"/>
              <w:bottom w:val="single" w:sz="7" w:space="0" w:color="000000"/>
              <w:right w:val="single" w:sz="7" w:space="0" w:color="000000"/>
            </w:tcBorders>
          </w:tcPr>
          <w:p w14:paraId="5F24CDAC" w14:textId="77777777" w:rsidR="00145D1B" w:rsidRPr="0063589E" w:rsidRDefault="00145D1B" w:rsidP="0063589E">
            <w:pPr>
              <w:rPr>
                <w:rFonts w:ascii="Arial" w:hAnsi="Arial" w:cs="Arial"/>
                <w:sz w:val="22"/>
                <w:szCs w:val="22"/>
              </w:rPr>
            </w:pPr>
          </w:p>
          <w:p w14:paraId="5F24CDAD" w14:textId="77777777" w:rsidR="00145D1B" w:rsidRPr="0063589E" w:rsidRDefault="00145D1B" w:rsidP="0063589E">
            <w:pPr>
              <w:widowControl/>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30.36</w:t>
            </w:r>
          </w:p>
          <w:p w14:paraId="5F24CDAE" w14:textId="0CB1D2F2" w:rsidR="00145D1B" w:rsidRPr="0063589E" w:rsidRDefault="00145D1B" w:rsidP="00E92CE2">
            <w:pPr>
              <w:widowControl/>
              <w:rPr>
                <w:rFonts w:ascii="Arial" w:hAnsi="Arial" w:cs="Arial"/>
                <w:sz w:val="22"/>
                <w:szCs w:val="22"/>
              </w:rPr>
            </w:pPr>
            <w:r w:rsidRPr="0063589E">
              <w:rPr>
                <w:rFonts w:ascii="Arial" w:hAnsi="Arial" w:cs="Arial"/>
                <w:sz w:val="22"/>
                <w:szCs w:val="22"/>
              </w:rPr>
              <w:t>(a)(b)</w:t>
            </w:r>
            <w:r w:rsidR="00E92CE2">
              <w:rPr>
                <w:rFonts w:ascii="Arial" w:hAnsi="Arial" w:cs="Arial"/>
                <w:sz w:val="22"/>
                <w:szCs w:val="22"/>
              </w:rPr>
              <w:t xml:space="preserve"> and (k)(4)</w:t>
            </w:r>
          </w:p>
        </w:tc>
        <w:tc>
          <w:tcPr>
            <w:tcW w:w="1980" w:type="dxa"/>
            <w:tcBorders>
              <w:top w:val="single" w:sz="7" w:space="0" w:color="000000"/>
              <w:left w:val="single" w:sz="7" w:space="0" w:color="000000"/>
              <w:bottom w:val="single" w:sz="7" w:space="0" w:color="000000"/>
              <w:right w:val="single" w:sz="7" w:space="0" w:color="000000"/>
            </w:tcBorders>
          </w:tcPr>
          <w:p w14:paraId="5F24CDAF" w14:textId="77777777" w:rsidR="00145D1B" w:rsidRPr="0063589E" w:rsidRDefault="00145D1B" w:rsidP="0063589E">
            <w:pPr>
              <w:rPr>
                <w:rFonts w:ascii="Arial" w:hAnsi="Arial" w:cs="Arial"/>
                <w:sz w:val="22"/>
                <w:szCs w:val="22"/>
              </w:rPr>
            </w:pPr>
          </w:p>
          <w:p w14:paraId="5F24CDB0"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DB1" w14:textId="77777777" w:rsidR="00145D1B" w:rsidRPr="0063589E" w:rsidRDefault="00145D1B" w:rsidP="0063589E">
            <w:pPr>
              <w:rPr>
                <w:rFonts w:ascii="Arial" w:hAnsi="Arial" w:cs="Arial"/>
                <w:sz w:val="22"/>
                <w:szCs w:val="22"/>
              </w:rPr>
            </w:pPr>
          </w:p>
          <w:p w14:paraId="5F24CDB2"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B3" w14:textId="77777777" w:rsidR="00145D1B" w:rsidRPr="0063589E" w:rsidRDefault="00145D1B" w:rsidP="0063589E">
            <w:pPr>
              <w:rPr>
                <w:rFonts w:ascii="Arial" w:hAnsi="Arial" w:cs="Arial"/>
                <w:sz w:val="22"/>
                <w:szCs w:val="22"/>
              </w:rPr>
            </w:pPr>
          </w:p>
          <w:p w14:paraId="5F24CDB4"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D</w:t>
            </w:r>
          </w:p>
        </w:tc>
        <w:tc>
          <w:tcPr>
            <w:tcW w:w="3150" w:type="dxa"/>
            <w:tcBorders>
              <w:top w:val="single" w:sz="7" w:space="0" w:color="000000"/>
              <w:left w:val="single" w:sz="7" w:space="0" w:color="000000"/>
              <w:bottom w:val="single" w:sz="7" w:space="0" w:color="000000"/>
              <w:right w:val="single" w:sz="7" w:space="0" w:color="000000"/>
            </w:tcBorders>
          </w:tcPr>
          <w:p w14:paraId="5F24CDB5" w14:textId="77777777" w:rsidR="00145D1B" w:rsidRPr="0063589E" w:rsidRDefault="00145D1B" w:rsidP="0063589E">
            <w:pPr>
              <w:rPr>
                <w:rFonts w:ascii="Arial" w:hAnsi="Arial" w:cs="Arial"/>
                <w:sz w:val="22"/>
                <w:szCs w:val="22"/>
              </w:rPr>
            </w:pPr>
          </w:p>
          <w:p w14:paraId="5F24CDB6" w14:textId="77777777" w:rsidR="00145D1B" w:rsidRPr="0063589E" w:rsidRDefault="0063589E"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Borders>
              <w:top w:val="single" w:sz="7" w:space="0" w:color="000000"/>
              <w:left w:val="single" w:sz="7" w:space="0" w:color="000000"/>
              <w:bottom w:val="single" w:sz="7" w:space="0" w:color="000000"/>
              <w:right w:val="single" w:sz="7" w:space="0" w:color="000000"/>
            </w:tcBorders>
          </w:tcPr>
          <w:p w14:paraId="5F24CDB7" w14:textId="77777777" w:rsidR="00145D1B" w:rsidRPr="0063589E" w:rsidRDefault="00145D1B" w:rsidP="0063589E">
            <w:pPr>
              <w:rPr>
                <w:rFonts w:ascii="Arial" w:hAnsi="Arial" w:cs="Arial"/>
                <w:sz w:val="22"/>
                <w:szCs w:val="22"/>
              </w:rPr>
            </w:pPr>
          </w:p>
          <w:p w14:paraId="5F24CDB8"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N/A</w:t>
            </w:r>
          </w:p>
        </w:tc>
        <w:tc>
          <w:tcPr>
            <w:tcW w:w="1530" w:type="dxa"/>
            <w:tcBorders>
              <w:top w:val="single" w:sz="7" w:space="0" w:color="000000"/>
              <w:left w:val="single" w:sz="7" w:space="0" w:color="000000"/>
              <w:bottom w:val="single" w:sz="7" w:space="0" w:color="000000"/>
              <w:right w:val="single" w:sz="7" w:space="0" w:color="000000"/>
            </w:tcBorders>
          </w:tcPr>
          <w:p w14:paraId="5F24CDB9" w14:textId="77777777" w:rsidR="00145D1B" w:rsidRPr="0063589E" w:rsidRDefault="00145D1B" w:rsidP="0063589E">
            <w:pPr>
              <w:rPr>
                <w:rFonts w:ascii="Arial" w:hAnsi="Arial" w:cs="Arial"/>
                <w:sz w:val="22"/>
                <w:szCs w:val="22"/>
              </w:rPr>
            </w:pPr>
          </w:p>
          <w:p w14:paraId="5F24CDBA"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DBB" w14:textId="77777777" w:rsidR="00145D1B" w:rsidRPr="0063589E" w:rsidRDefault="00145D1B" w:rsidP="0063589E">
            <w:pPr>
              <w:rPr>
                <w:rFonts w:ascii="Arial" w:hAnsi="Arial" w:cs="Arial"/>
                <w:sz w:val="22"/>
                <w:szCs w:val="22"/>
              </w:rPr>
            </w:pPr>
          </w:p>
          <w:p w14:paraId="5F24CDBC"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145D1B" w:rsidRPr="0063589E" w14:paraId="5F24CDCF" w14:textId="77777777" w:rsidTr="0063589E">
        <w:tc>
          <w:tcPr>
            <w:tcW w:w="1170" w:type="dxa"/>
            <w:tcBorders>
              <w:top w:val="single" w:sz="7" w:space="0" w:color="000000"/>
              <w:left w:val="single" w:sz="7" w:space="0" w:color="000000"/>
              <w:bottom w:val="single" w:sz="7" w:space="0" w:color="000000"/>
              <w:right w:val="single" w:sz="7" w:space="0" w:color="000000"/>
            </w:tcBorders>
          </w:tcPr>
          <w:p w14:paraId="5F24CDBE" w14:textId="77777777" w:rsidR="00145D1B" w:rsidRPr="0063589E" w:rsidRDefault="00145D1B" w:rsidP="0063589E">
            <w:pPr>
              <w:rPr>
                <w:rFonts w:ascii="Arial" w:hAnsi="Arial" w:cs="Arial"/>
                <w:sz w:val="22"/>
                <w:szCs w:val="22"/>
              </w:rPr>
            </w:pPr>
          </w:p>
          <w:p w14:paraId="5F24CDBF"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30.36</w:t>
            </w:r>
          </w:p>
          <w:p w14:paraId="2CD01B2B" w14:textId="77777777" w:rsidR="00E92CE2"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(c)(d)(e)</w:t>
            </w:r>
          </w:p>
          <w:p w14:paraId="5F24CDC0" w14:textId="5BA5C436" w:rsidR="00145D1B" w:rsidRPr="0063589E" w:rsidRDefault="00E92CE2" w:rsidP="00E92C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(f)</w:t>
            </w:r>
            <w:r w:rsidR="00145D1B" w:rsidRPr="0063589E">
              <w:rPr>
                <w:rFonts w:ascii="Arial" w:hAnsi="Arial" w:cs="Arial"/>
                <w:sz w:val="22"/>
                <w:szCs w:val="22"/>
              </w:rPr>
              <w:t xml:space="preserve"> g)(h)</w:t>
            </w:r>
            <w:r>
              <w:rPr>
                <w:rFonts w:ascii="Arial" w:hAnsi="Arial" w:cs="Arial"/>
                <w:sz w:val="22"/>
                <w:szCs w:val="22"/>
              </w:rPr>
              <w:t xml:space="preserve">(i) </w:t>
            </w:r>
            <w:r w:rsidR="00145D1B" w:rsidRPr="0063589E">
              <w:rPr>
                <w:rFonts w:ascii="Arial" w:hAnsi="Arial" w:cs="Arial"/>
                <w:sz w:val="22"/>
                <w:szCs w:val="22"/>
              </w:rPr>
              <w:t>(j) (k)</w:t>
            </w:r>
          </w:p>
        </w:tc>
        <w:tc>
          <w:tcPr>
            <w:tcW w:w="1980" w:type="dxa"/>
            <w:tcBorders>
              <w:top w:val="single" w:sz="7" w:space="0" w:color="000000"/>
              <w:left w:val="single" w:sz="7" w:space="0" w:color="000000"/>
              <w:bottom w:val="single" w:sz="7" w:space="0" w:color="000000"/>
              <w:right w:val="single" w:sz="7" w:space="0" w:color="000000"/>
            </w:tcBorders>
          </w:tcPr>
          <w:p w14:paraId="5F24CDC1" w14:textId="77777777" w:rsidR="00145D1B" w:rsidRPr="0063589E" w:rsidRDefault="00145D1B" w:rsidP="0063589E">
            <w:pPr>
              <w:rPr>
                <w:rFonts w:ascii="Arial" w:hAnsi="Arial" w:cs="Arial"/>
                <w:sz w:val="22"/>
                <w:szCs w:val="22"/>
              </w:rPr>
            </w:pPr>
          </w:p>
          <w:p w14:paraId="5F24CDC2"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DC3" w14:textId="77777777" w:rsidR="00145D1B" w:rsidRPr="0063589E" w:rsidRDefault="00145D1B" w:rsidP="0063589E">
            <w:pPr>
              <w:rPr>
                <w:rFonts w:ascii="Arial" w:hAnsi="Arial" w:cs="Arial"/>
                <w:sz w:val="22"/>
                <w:szCs w:val="22"/>
              </w:rPr>
            </w:pPr>
          </w:p>
          <w:p w14:paraId="5F24CDC4"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C5" w14:textId="77777777" w:rsidR="00145D1B" w:rsidRPr="0063589E" w:rsidRDefault="00145D1B" w:rsidP="0063589E">
            <w:pPr>
              <w:rPr>
                <w:rFonts w:ascii="Arial" w:hAnsi="Arial" w:cs="Arial"/>
                <w:sz w:val="22"/>
                <w:szCs w:val="22"/>
              </w:rPr>
            </w:pPr>
          </w:p>
          <w:p w14:paraId="5F24CDC6" w14:textId="77777777" w:rsidR="00145D1B" w:rsidRPr="0063589E" w:rsidRDefault="00145D1B" w:rsidP="0063589E">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ab/>
              <w:t>H&amp;S</w:t>
            </w:r>
          </w:p>
        </w:tc>
        <w:tc>
          <w:tcPr>
            <w:tcW w:w="3150" w:type="dxa"/>
            <w:tcBorders>
              <w:top w:val="single" w:sz="7" w:space="0" w:color="000000"/>
              <w:left w:val="single" w:sz="7" w:space="0" w:color="000000"/>
              <w:bottom w:val="single" w:sz="7" w:space="0" w:color="000000"/>
              <w:right w:val="single" w:sz="7" w:space="0" w:color="000000"/>
            </w:tcBorders>
          </w:tcPr>
          <w:p w14:paraId="5F24CDC7" w14:textId="77777777" w:rsidR="00145D1B" w:rsidRPr="0063589E" w:rsidRDefault="00145D1B" w:rsidP="0063589E">
            <w:pPr>
              <w:rPr>
                <w:rFonts w:ascii="Arial" w:hAnsi="Arial" w:cs="Arial"/>
                <w:sz w:val="22"/>
                <w:szCs w:val="22"/>
              </w:rPr>
            </w:pPr>
          </w:p>
          <w:p w14:paraId="5F24CDC8" w14:textId="77777777" w:rsidR="001228DF"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63589E">
              <w:rPr>
                <w:rFonts w:ascii="Arial" w:hAnsi="Arial" w:cs="Arial"/>
                <w:sz w:val="22"/>
                <w:szCs w:val="22"/>
              </w:rPr>
              <w:t>Section 30.36 was revised in this amendment.  This revision was superceded in later amendments.  The States are advised to adopt the current 30.36 language based on the compatibility categories listed to the left.  Reviewers should compare the current 30.36 to the State language when reviewing this section.</w:t>
            </w:r>
            <w:r w:rsidRPr="0063589E">
              <w:rPr>
                <w:rFonts w:ascii="Arial" w:hAnsi="Arial" w:cs="Arial"/>
                <w:b/>
                <w:bCs/>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5F24CDC9" w14:textId="77777777" w:rsidR="00145D1B" w:rsidRPr="0063589E" w:rsidRDefault="00145D1B" w:rsidP="0063589E">
            <w:pPr>
              <w:rPr>
                <w:rFonts w:ascii="Arial" w:hAnsi="Arial" w:cs="Arial"/>
                <w:sz w:val="22"/>
                <w:szCs w:val="22"/>
              </w:rPr>
            </w:pPr>
          </w:p>
          <w:p w14:paraId="5F24CDCA"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F24CDCB" w14:textId="77777777" w:rsidR="00145D1B" w:rsidRPr="0063589E" w:rsidRDefault="00145D1B" w:rsidP="0063589E">
            <w:pPr>
              <w:rPr>
                <w:rFonts w:ascii="Arial" w:hAnsi="Arial" w:cs="Arial"/>
                <w:sz w:val="22"/>
                <w:szCs w:val="22"/>
              </w:rPr>
            </w:pPr>
          </w:p>
          <w:p w14:paraId="5F24CDCC"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DCD" w14:textId="77777777" w:rsidR="00145D1B" w:rsidRPr="0063589E" w:rsidRDefault="00145D1B" w:rsidP="0063589E">
            <w:pPr>
              <w:rPr>
                <w:rFonts w:ascii="Arial" w:hAnsi="Arial" w:cs="Arial"/>
                <w:sz w:val="22"/>
                <w:szCs w:val="22"/>
              </w:rPr>
            </w:pPr>
          </w:p>
          <w:p w14:paraId="5F24CDCE"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145D1B" w:rsidRPr="0063589E" w14:paraId="5F24CDE1" w14:textId="77777777" w:rsidTr="0063589E">
        <w:tc>
          <w:tcPr>
            <w:tcW w:w="1170" w:type="dxa"/>
            <w:tcBorders>
              <w:top w:val="single" w:sz="7" w:space="0" w:color="000000"/>
              <w:left w:val="double" w:sz="7" w:space="0" w:color="000000"/>
              <w:bottom w:val="single" w:sz="7" w:space="0" w:color="000000"/>
              <w:right w:val="single" w:sz="7" w:space="0" w:color="000000"/>
            </w:tcBorders>
          </w:tcPr>
          <w:p w14:paraId="5F24CDD0" w14:textId="77777777" w:rsidR="00145D1B" w:rsidRPr="0063589E" w:rsidRDefault="00145D1B" w:rsidP="0063589E">
            <w:pPr>
              <w:rPr>
                <w:rFonts w:ascii="Arial" w:hAnsi="Arial" w:cs="Arial"/>
                <w:sz w:val="22"/>
                <w:szCs w:val="22"/>
              </w:rPr>
            </w:pPr>
          </w:p>
          <w:p w14:paraId="5F24CDD1"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40.42</w:t>
            </w:r>
          </w:p>
          <w:p w14:paraId="5F24CDD2"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 xml:space="preserve">(a)(b)&amp; (k)(4) </w:t>
            </w:r>
          </w:p>
        </w:tc>
        <w:tc>
          <w:tcPr>
            <w:tcW w:w="1980" w:type="dxa"/>
            <w:tcBorders>
              <w:top w:val="single" w:sz="7" w:space="0" w:color="000000"/>
              <w:left w:val="single" w:sz="7" w:space="0" w:color="000000"/>
              <w:bottom w:val="single" w:sz="7" w:space="0" w:color="000000"/>
              <w:right w:val="single" w:sz="7" w:space="0" w:color="000000"/>
            </w:tcBorders>
          </w:tcPr>
          <w:p w14:paraId="5F24CDD3" w14:textId="77777777" w:rsidR="00145D1B" w:rsidRPr="0063589E" w:rsidRDefault="00145D1B" w:rsidP="0063589E">
            <w:pPr>
              <w:rPr>
                <w:rFonts w:ascii="Arial" w:hAnsi="Arial" w:cs="Arial"/>
                <w:sz w:val="22"/>
                <w:szCs w:val="22"/>
              </w:rPr>
            </w:pPr>
          </w:p>
          <w:p w14:paraId="5F24CDD4"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DD5" w14:textId="77777777" w:rsidR="00145D1B" w:rsidRPr="0063589E" w:rsidRDefault="00145D1B" w:rsidP="0063589E">
            <w:pPr>
              <w:rPr>
                <w:rFonts w:ascii="Arial" w:hAnsi="Arial" w:cs="Arial"/>
                <w:sz w:val="22"/>
                <w:szCs w:val="22"/>
              </w:rPr>
            </w:pPr>
          </w:p>
          <w:p w14:paraId="5F24CDD6"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D7" w14:textId="77777777" w:rsidR="00145D1B" w:rsidRPr="0063589E" w:rsidRDefault="00145D1B" w:rsidP="0063589E">
            <w:pPr>
              <w:rPr>
                <w:rFonts w:ascii="Arial" w:hAnsi="Arial" w:cs="Arial"/>
                <w:sz w:val="22"/>
                <w:szCs w:val="22"/>
              </w:rPr>
            </w:pPr>
          </w:p>
          <w:p w14:paraId="5F24CDD8"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D</w:t>
            </w:r>
          </w:p>
        </w:tc>
        <w:tc>
          <w:tcPr>
            <w:tcW w:w="3150" w:type="dxa"/>
            <w:tcBorders>
              <w:top w:val="single" w:sz="7" w:space="0" w:color="000000"/>
              <w:left w:val="single" w:sz="7" w:space="0" w:color="000000"/>
              <w:bottom w:val="single" w:sz="7" w:space="0" w:color="000000"/>
              <w:right w:val="single" w:sz="7" w:space="0" w:color="000000"/>
            </w:tcBorders>
          </w:tcPr>
          <w:p w14:paraId="5F24CDD9" w14:textId="77777777" w:rsidR="00145D1B" w:rsidRPr="0063589E" w:rsidRDefault="00145D1B" w:rsidP="0063589E">
            <w:pPr>
              <w:rPr>
                <w:rFonts w:ascii="Arial" w:hAnsi="Arial" w:cs="Arial"/>
                <w:sz w:val="22"/>
                <w:szCs w:val="22"/>
              </w:rPr>
            </w:pPr>
          </w:p>
          <w:p w14:paraId="5F24CDDA" w14:textId="77777777" w:rsidR="00145D1B" w:rsidRPr="0063589E" w:rsidRDefault="0063589E"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Borders>
              <w:top w:val="single" w:sz="7" w:space="0" w:color="000000"/>
              <w:left w:val="single" w:sz="7" w:space="0" w:color="000000"/>
              <w:bottom w:val="single" w:sz="7" w:space="0" w:color="000000"/>
              <w:right w:val="single" w:sz="7" w:space="0" w:color="000000"/>
            </w:tcBorders>
          </w:tcPr>
          <w:p w14:paraId="5F24CDDB" w14:textId="77777777" w:rsidR="00145D1B" w:rsidRPr="0063589E" w:rsidRDefault="00145D1B" w:rsidP="0063589E">
            <w:pPr>
              <w:rPr>
                <w:rFonts w:ascii="Arial" w:hAnsi="Arial" w:cs="Arial"/>
                <w:sz w:val="22"/>
                <w:szCs w:val="22"/>
              </w:rPr>
            </w:pPr>
          </w:p>
          <w:p w14:paraId="5F24CDDC"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N/A</w:t>
            </w:r>
          </w:p>
        </w:tc>
        <w:tc>
          <w:tcPr>
            <w:tcW w:w="1530" w:type="dxa"/>
            <w:tcBorders>
              <w:top w:val="single" w:sz="7" w:space="0" w:color="000000"/>
              <w:left w:val="single" w:sz="7" w:space="0" w:color="000000"/>
              <w:bottom w:val="single" w:sz="7" w:space="0" w:color="000000"/>
              <w:right w:val="single" w:sz="7" w:space="0" w:color="000000"/>
            </w:tcBorders>
          </w:tcPr>
          <w:p w14:paraId="5F24CDDD" w14:textId="77777777" w:rsidR="00145D1B" w:rsidRPr="0063589E" w:rsidRDefault="00145D1B" w:rsidP="0063589E">
            <w:pPr>
              <w:rPr>
                <w:rFonts w:ascii="Arial" w:hAnsi="Arial" w:cs="Arial"/>
                <w:sz w:val="22"/>
                <w:szCs w:val="22"/>
              </w:rPr>
            </w:pPr>
          </w:p>
          <w:p w14:paraId="5F24CDDE"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DDF" w14:textId="77777777" w:rsidR="00145D1B" w:rsidRPr="0063589E" w:rsidRDefault="00145D1B" w:rsidP="0063589E">
            <w:pPr>
              <w:rPr>
                <w:rFonts w:ascii="Arial" w:hAnsi="Arial" w:cs="Arial"/>
                <w:sz w:val="22"/>
                <w:szCs w:val="22"/>
              </w:rPr>
            </w:pPr>
          </w:p>
          <w:p w14:paraId="5F24CDE0"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145D1B" w:rsidRPr="0063589E" w14:paraId="5F24CDF3" w14:textId="77777777" w:rsidTr="0063589E">
        <w:tc>
          <w:tcPr>
            <w:tcW w:w="1170" w:type="dxa"/>
            <w:tcBorders>
              <w:top w:val="single" w:sz="7" w:space="0" w:color="000000"/>
              <w:left w:val="double" w:sz="7" w:space="0" w:color="000000"/>
              <w:bottom w:val="single" w:sz="7" w:space="0" w:color="000000"/>
              <w:right w:val="single" w:sz="7" w:space="0" w:color="000000"/>
            </w:tcBorders>
          </w:tcPr>
          <w:p w14:paraId="5F24CDE2" w14:textId="77777777" w:rsidR="00145D1B" w:rsidRPr="0063589E" w:rsidRDefault="00145D1B" w:rsidP="0063589E">
            <w:pPr>
              <w:rPr>
                <w:rFonts w:ascii="Arial" w:hAnsi="Arial" w:cs="Arial"/>
                <w:sz w:val="22"/>
                <w:szCs w:val="22"/>
              </w:rPr>
            </w:pPr>
          </w:p>
          <w:p w14:paraId="5F24CDE3"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40.42</w:t>
            </w:r>
          </w:p>
          <w:p w14:paraId="5F24CDE4"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 xml:space="preserve"> (c)(d)(e) (f)(g)(h) (i)(j)&amp; (k)(1),(2), (3)</w:t>
            </w:r>
          </w:p>
        </w:tc>
        <w:tc>
          <w:tcPr>
            <w:tcW w:w="1980" w:type="dxa"/>
            <w:tcBorders>
              <w:top w:val="single" w:sz="7" w:space="0" w:color="000000"/>
              <w:left w:val="single" w:sz="7" w:space="0" w:color="000000"/>
              <w:bottom w:val="single" w:sz="7" w:space="0" w:color="000000"/>
              <w:right w:val="single" w:sz="7" w:space="0" w:color="000000"/>
            </w:tcBorders>
          </w:tcPr>
          <w:p w14:paraId="5F24CDE5" w14:textId="77777777" w:rsidR="00145D1B" w:rsidRPr="0063589E" w:rsidRDefault="00145D1B" w:rsidP="0063589E">
            <w:pPr>
              <w:rPr>
                <w:rFonts w:ascii="Arial" w:hAnsi="Arial" w:cs="Arial"/>
                <w:sz w:val="22"/>
                <w:szCs w:val="22"/>
              </w:rPr>
            </w:pPr>
          </w:p>
          <w:p w14:paraId="5F24CDE6"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DE7" w14:textId="77777777" w:rsidR="00145D1B" w:rsidRPr="0063589E" w:rsidRDefault="00145D1B" w:rsidP="0063589E">
            <w:pPr>
              <w:rPr>
                <w:rFonts w:ascii="Arial" w:hAnsi="Arial" w:cs="Arial"/>
                <w:sz w:val="22"/>
                <w:szCs w:val="22"/>
              </w:rPr>
            </w:pPr>
          </w:p>
          <w:p w14:paraId="5F24CDE8"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E9" w14:textId="77777777" w:rsidR="00145D1B" w:rsidRPr="0063589E" w:rsidRDefault="00145D1B" w:rsidP="0063589E">
            <w:pPr>
              <w:rPr>
                <w:rFonts w:ascii="Arial" w:hAnsi="Arial" w:cs="Arial"/>
                <w:sz w:val="22"/>
                <w:szCs w:val="22"/>
              </w:rPr>
            </w:pPr>
          </w:p>
          <w:p w14:paraId="5F24CDEA"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H&amp;S</w:t>
            </w:r>
          </w:p>
        </w:tc>
        <w:tc>
          <w:tcPr>
            <w:tcW w:w="3150" w:type="dxa"/>
            <w:tcBorders>
              <w:top w:val="single" w:sz="7" w:space="0" w:color="000000"/>
              <w:left w:val="single" w:sz="7" w:space="0" w:color="000000"/>
              <w:bottom w:val="single" w:sz="7" w:space="0" w:color="000000"/>
              <w:right w:val="single" w:sz="7" w:space="0" w:color="000000"/>
            </w:tcBorders>
          </w:tcPr>
          <w:p w14:paraId="5F24CDEB" w14:textId="77777777" w:rsidR="00145D1B" w:rsidRPr="0063589E" w:rsidRDefault="00145D1B" w:rsidP="0063589E">
            <w:pPr>
              <w:rPr>
                <w:rFonts w:ascii="Arial" w:hAnsi="Arial" w:cs="Arial"/>
                <w:sz w:val="22"/>
                <w:szCs w:val="22"/>
              </w:rPr>
            </w:pPr>
          </w:p>
          <w:p w14:paraId="5F24CDEC"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 xml:space="preserve">Section 40.42 was revised in this amendment.  This revision was superceded in later amendments.  The States are advised to adopt the current 40.42 language based on the compatibility categories listed to the left.  Reviewers should compare the current 40.42 to the State </w:t>
            </w:r>
            <w:r w:rsidRPr="0063589E">
              <w:rPr>
                <w:rFonts w:ascii="Arial" w:hAnsi="Arial" w:cs="Arial"/>
                <w:sz w:val="22"/>
                <w:szCs w:val="22"/>
              </w:rPr>
              <w:lastRenderedPageBreak/>
              <w:t xml:space="preserve">language when reviewing this section. </w:t>
            </w:r>
            <w:r w:rsidRPr="0063589E">
              <w:rPr>
                <w:rFonts w:ascii="Arial" w:hAnsi="Arial" w:cs="Arial"/>
                <w:b/>
                <w:bCs/>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5F24CDED" w14:textId="77777777" w:rsidR="00145D1B" w:rsidRPr="0063589E" w:rsidRDefault="00145D1B" w:rsidP="0063589E">
            <w:pPr>
              <w:rPr>
                <w:rFonts w:ascii="Arial" w:hAnsi="Arial" w:cs="Arial"/>
                <w:sz w:val="22"/>
                <w:szCs w:val="22"/>
              </w:rPr>
            </w:pPr>
          </w:p>
          <w:p w14:paraId="5F24CDEE"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F24CDEF" w14:textId="77777777" w:rsidR="00145D1B" w:rsidRPr="0063589E" w:rsidRDefault="00145D1B" w:rsidP="0063589E">
            <w:pPr>
              <w:rPr>
                <w:rFonts w:ascii="Arial" w:hAnsi="Arial" w:cs="Arial"/>
                <w:sz w:val="22"/>
                <w:szCs w:val="22"/>
              </w:rPr>
            </w:pPr>
          </w:p>
          <w:p w14:paraId="5F24CDF0"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DF1" w14:textId="77777777" w:rsidR="00145D1B" w:rsidRPr="0063589E" w:rsidRDefault="00145D1B" w:rsidP="0063589E">
            <w:pPr>
              <w:rPr>
                <w:rFonts w:ascii="Arial" w:hAnsi="Arial" w:cs="Arial"/>
                <w:sz w:val="22"/>
                <w:szCs w:val="22"/>
              </w:rPr>
            </w:pPr>
          </w:p>
          <w:p w14:paraId="5F24CDF2"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145D1B" w:rsidRPr="0063589E" w14:paraId="5F24CE05" w14:textId="77777777" w:rsidTr="0063589E">
        <w:tc>
          <w:tcPr>
            <w:tcW w:w="1170" w:type="dxa"/>
            <w:tcBorders>
              <w:top w:val="single" w:sz="7" w:space="0" w:color="000000"/>
              <w:left w:val="double" w:sz="7" w:space="0" w:color="000000"/>
              <w:bottom w:val="single" w:sz="7" w:space="0" w:color="000000"/>
              <w:right w:val="single" w:sz="7" w:space="0" w:color="000000"/>
            </w:tcBorders>
          </w:tcPr>
          <w:p w14:paraId="5F24CDF4" w14:textId="77777777" w:rsidR="00145D1B" w:rsidRPr="0063589E" w:rsidRDefault="00145D1B" w:rsidP="0063589E">
            <w:pPr>
              <w:rPr>
                <w:rFonts w:ascii="Arial" w:hAnsi="Arial" w:cs="Arial"/>
                <w:sz w:val="22"/>
                <w:szCs w:val="22"/>
              </w:rPr>
            </w:pPr>
          </w:p>
          <w:p w14:paraId="5F24CDF5"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70.38</w:t>
            </w:r>
          </w:p>
          <w:p w14:paraId="5F24CDF6"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 xml:space="preserve"> (a)(b)&amp; (k)(4)</w:t>
            </w:r>
          </w:p>
        </w:tc>
        <w:tc>
          <w:tcPr>
            <w:tcW w:w="1980" w:type="dxa"/>
            <w:tcBorders>
              <w:top w:val="single" w:sz="7" w:space="0" w:color="000000"/>
              <w:left w:val="single" w:sz="7" w:space="0" w:color="000000"/>
              <w:bottom w:val="single" w:sz="7" w:space="0" w:color="000000"/>
              <w:right w:val="single" w:sz="7" w:space="0" w:color="000000"/>
            </w:tcBorders>
          </w:tcPr>
          <w:p w14:paraId="5F24CDF7" w14:textId="77777777" w:rsidR="00145D1B" w:rsidRPr="0063589E" w:rsidRDefault="00145D1B" w:rsidP="0063589E">
            <w:pPr>
              <w:rPr>
                <w:rFonts w:ascii="Arial" w:hAnsi="Arial" w:cs="Arial"/>
                <w:sz w:val="22"/>
                <w:szCs w:val="22"/>
              </w:rPr>
            </w:pPr>
          </w:p>
          <w:p w14:paraId="5F24CDF8"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DF9" w14:textId="77777777" w:rsidR="00145D1B" w:rsidRPr="0063589E" w:rsidRDefault="00145D1B" w:rsidP="0063589E">
            <w:pPr>
              <w:rPr>
                <w:rFonts w:ascii="Arial" w:hAnsi="Arial" w:cs="Arial"/>
                <w:sz w:val="22"/>
                <w:szCs w:val="22"/>
              </w:rPr>
            </w:pPr>
          </w:p>
          <w:p w14:paraId="5F24CDFA"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DFB" w14:textId="77777777" w:rsidR="00145D1B" w:rsidRPr="0063589E" w:rsidRDefault="00145D1B" w:rsidP="0063589E">
            <w:pPr>
              <w:rPr>
                <w:rFonts w:ascii="Arial" w:hAnsi="Arial" w:cs="Arial"/>
                <w:sz w:val="22"/>
                <w:szCs w:val="22"/>
              </w:rPr>
            </w:pPr>
          </w:p>
          <w:p w14:paraId="5F24CDFC"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D</w:t>
            </w:r>
          </w:p>
        </w:tc>
        <w:tc>
          <w:tcPr>
            <w:tcW w:w="3150" w:type="dxa"/>
            <w:tcBorders>
              <w:top w:val="single" w:sz="7" w:space="0" w:color="000000"/>
              <w:left w:val="single" w:sz="7" w:space="0" w:color="000000"/>
              <w:bottom w:val="single" w:sz="7" w:space="0" w:color="000000"/>
              <w:right w:val="single" w:sz="7" w:space="0" w:color="000000"/>
            </w:tcBorders>
          </w:tcPr>
          <w:p w14:paraId="5F24CDFD" w14:textId="77777777" w:rsidR="00145D1B" w:rsidRPr="0063589E" w:rsidRDefault="00145D1B" w:rsidP="0063589E">
            <w:pPr>
              <w:rPr>
                <w:rFonts w:ascii="Arial" w:hAnsi="Arial" w:cs="Arial"/>
                <w:sz w:val="22"/>
                <w:szCs w:val="22"/>
              </w:rPr>
            </w:pPr>
          </w:p>
          <w:p w14:paraId="5F24CDFE" w14:textId="77777777" w:rsidR="00145D1B" w:rsidRPr="0063589E" w:rsidRDefault="0063589E"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Borders>
              <w:top w:val="single" w:sz="7" w:space="0" w:color="000000"/>
              <w:left w:val="single" w:sz="7" w:space="0" w:color="000000"/>
              <w:bottom w:val="single" w:sz="7" w:space="0" w:color="000000"/>
              <w:right w:val="single" w:sz="7" w:space="0" w:color="000000"/>
            </w:tcBorders>
          </w:tcPr>
          <w:p w14:paraId="5F24CDFF" w14:textId="77777777" w:rsidR="00145D1B" w:rsidRPr="0063589E" w:rsidRDefault="00145D1B" w:rsidP="0063589E">
            <w:pPr>
              <w:rPr>
                <w:rFonts w:ascii="Arial" w:hAnsi="Arial" w:cs="Arial"/>
                <w:sz w:val="22"/>
                <w:szCs w:val="22"/>
              </w:rPr>
            </w:pPr>
          </w:p>
          <w:p w14:paraId="5F24CE00"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N/A</w:t>
            </w:r>
          </w:p>
        </w:tc>
        <w:tc>
          <w:tcPr>
            <w:tcW w:w="1530" w:type="dxa"/>
            <w:tcBorders>
              <w:top w:val="single" w:sz="7" w:space="0" w:color="000000"/>
              <w:left w:val="single" w:sz="7" w:space="0" w:color="000000"/>
              <w:bottom w:val="single" w:sz="7" w:space="0" w:color="000000"/>
              <w:right w:val="single" w:sz="7" w:space="0" w:color="000000"/>
            </w:tcBorders>
          </w:tcPr>
          <w:p w14:paraId="5F24CE01" w14:textId="77777777" w:rsidR="00145D1B" w:rsidRPr="0063589E" w:rsidRDefault="00145D1B" w:rsidP="0063589E">
            <w:pPr>
              <w:rPr>
                <w:rFonts w:ascii="Arial" w:hAnsi="Arial" w:cs="Arial"/>
                <w:sz w:val="22"/>
                <w:szCs w:val="22"/>
              </w:rPr>
            </w:pPr>
          </w:p>
          <w:p w14:paraId="5F24CE02"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E03" w14:textId="77777777" w:rsidR="00145D1B" w:rsidRPr="0063589E" w:rsidRDefault="00145D1B" w:rsidP="0063589E">
            <w:pPr>
              <w:rPr>
                <w:rFonts w:ascii="Arial" w:hAnsi="Arial" w:cs="Arial"/>
                <w:sz w:val="22"/>
                <w:szCs w:val="22"/>
              </w:rPr>
            </w:pPr>
          </w:p>
          <w:p w14:paraId="5F24CE04"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145D1B" w:rsidRPr="0063589E" w14:paraId="5F24CE18" w14:textId="77777777" w:rsidTr="0063589E">
        <w:tc>
          <w:tcPr>
            <w:tcW w:w="1170" w:type="dxa"/>
            <w:tcBorders>
              <w:top w:val="single" w:sz="7" w:space="0" w:color="000000"/>
              <w:left w:val="double" w:sz="7" w:space="0" w:color="000000"/>
              <w:bottom w:val="single" w:sz="7" w:space="0" w:color="000000"/>
              <w:right w:val="single" w:sz="7" w:space="0" w:color="000000"/>
            </w:tcBorders>
          </w:tcPr>
          <w:p w14:paraId="5F24CE06" w14:textId="77777777" w:rsidR="00145D1B" w:rsidRPr="0063589E" w:rsidRDefault="00145D1B" w:rsidP="0063589E">
            <w:pPr>
              <w:rPr>
                <w:rFonts w:ascii="Arial" w:hAnsi="Arial" w:cs="Arial"/>
                <w:sz w:val="22"/>
                <w:szCs w:val="22"/>
              </w:rPr>
            </w:pPr>
          </w:p>
          <w:p w14:paraId="5F24CE07"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sym w:font="WP TypographicSymbols" w:char="0027"/>
            </w:r>
            <w:r w:rsidRPr="0063589E">
              <w:rPr>
                <w:rFonts w:ascii="Arial" w:hAnsi="Arial" w:cs="Arial"/>
                <w:sz w:val="22"/>
                <w:szCs w:val="22"/>
              </w:rPr>
              <w:t>70.38</w:t>
            </w:r>
          </w:p>
          <w:p w14:paraId="5F24CE08"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(c)(d)(e)</w:t>
            </w:r>
          </w:p>
          <w:p w14:paraId="5F24CE09"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3589E">
              <w:rPr>
                <w:rFonts w:ascii="Arial" w:hAnsi="Arial" w:cs="Arial"/>
                <w:sz w:val="22"/>
                <w:szCs w:val="22"/>
              </w:rPr>
              <w:t>(f) (g)(h) (i)(j)&amp; (k)(1), (2),(3)</w:t>
            </w:r>
          </w:p>
        </w:tc>
        <w:tc>
          <w:tcPr>
            <w:tcW w:w="1980" w:type="dxa"/>
            <w:tcBorders>
              <w:top w:val="single" w:sz="7" w:space="0" w:color="000000"/>
              <w:left w:val="single" w:sz="7" w:space="0" w:color="000000"/>
              <w:bottom w:val="single" w:sz="7" w:space="0" w:color="000000"/>
              <w:right w:val="single" w:sz="7" w:space="0" w:color="000000"/>
            </w:tcBorders>
          </w:tcPr>
          <w:p w14:paraId="5F24CE0A" w14:textId="77777777" w:rsidR="00145D1B" w:rsidRPr="0063589E" w:rsidRDefault="00145D1B" w:rsidP="0063589E">
            <w:pPr>
              <w:rPr>
                <w:rFonts w:ascii="Arial" w:hAnsi="Arial" w:cs="Arial"/>
                <w:sz w:val="22"/>
                <w:szCs w:val="22"/>
              </w:rPr>
            </w:pPr>
          </w:p>
          <w:p w14:paraId="5F24CE0B"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Expiration and termination of licenses and decommissioning of sites and separate buildings or outdoor areas</w:t>
            </w:r>
          </w:p>
        </w:tc>
        <w:tc>
          <w:tcPr>
            <w:tcW w:w="1080" w:type="dxa"/>
            <w:tcBorders>
              <w:top w:val="single" w:sz="7" w:space="0" w:color="000000"/>
              <w:left w:val="single" w:sz="7" w:space="0" w:color="000000"/>
              <w:bottom w:val="single" w:sz="7" w:space="0" w:color="000000"/>
              <w:right w:val="single" w:sz="7" w:space="0" w:color="000000"/>
            </w:tcBorders>
          </w:tcPr>
          <w:p w14:paraId="5F24CE0C" w14:textId="77777777" w:rsidR="00145D1B" w:rsidRPr="0063589E" w:rsidRDefault="00145D1B" w:rsidP="0063589E">
            <w:pPr>
              <w:rPr>
                <w:rFonts w:ascii="Arial" w:hAnsi="Arial" w:cs="Arial"/>
                <w:sz w:val="22"/>
                <w:szCs w:val="22"/>
              </w:rPr>
            </w:pPr>
          </w:p>
          <w:p w14:paraId="5F24CE0D"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5F24CE0E" w14:textId="77777777" w:rsidR="00145D1B" w:rsidRPr="0063589E" w:rsidRDefault="00145D1B" w:rsidP="0063589E">
            <w:pPr>
              <w:rPr>
                <w:rFonts w:ascii="Arial" w:hAnsi="Arial" w:cs="Arial"/>
                <w:sz w:val="22"/>
                <w:szCs w:val="22"/>
              </w:rPr>
            </w:pPr>
          </w:p>
          <w:p w14:paraId="5F24CE0F"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H&amp;S</w:t>
            </w:r>
          </w:p>
        </w:tc>
        <w:tc>
          <w:tcPr>
            <w:tcW w:w="3150" w:type="dxa"/>
            <w:tcBorders>
              <w:top w:val="single" w:sz="7" w:space="0" w:color="000000"/>
              <w:left w:val="single" w:sz="7" w:space="0" w:color="000000"/>
              <w:bottom w:val="single" w:sz="7" w:space="0" w:color="000000"/>
              <w:right w:val="single" w:sz="7" w:space="0" w:color="000000"/>
            </w:tcBorders>
          </w:tcPr>
          <w:p w14:paraId="5F24CE10" w14:textId="77777777" w:rsidR="00145D1B" w:rsidRPr="0063589E" w:rsidRDefault="00145D1B" w:rsidP="0063589E">
            <w:pPr>
              <w:rPr>
                <w:rFonts w:ascii="Arial" w:hAnsi="Arial" w:cs="Arial"/>
                <w:sz w:val="22"/>
                <w:szCs w:val="22"/>
              </w:rPr>
            </w:pPr>
          </w:p>
          <w:p w14:paraId="5F24CE11"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589E">
              <w:rPr>
                <w:rFonts w:ascii="Arial" w:hAnsi="Arial" w:cs="Arial"/>
                <w:sz w:val="22"/>
                <w:szCs w:val="22"/>
              </w:rPr>
              <w:t>Section 70.38 was revised in this amendment.  This revision was superceded in later amendments.  The States are advised to adopt the current 70.38 language based on the compatibility categories listed to the left.  Reviewers should compare the current 70.38 to the State language when reviewing this section.</w:t>
            </w:r>
          </w:p>
        </w:tc>
        <w:tc>
          <w:tcPr>
            <w:tcW w:w="1440" w:type="dxa"/>
            <w:tcBorders>
              <w:top w:val="single" w:sz="7" w:space="0" w:color="000000"/>
              <w:left w:val="single" w:sz="7" w:space="0" w:color="000000"/>
              <w:bottom w:val="single" w:sz="7" w:space="0" w:color="000000"/>
              <w:right w:val="single" w:sz="7" w:space="0" w:color="000000"/>
            </w:tcBorders>
          </w:tcPr>
          <w:p w14:paraId="5F24CE12" w14:textId="77777777" w:rsidR="00145D1B" w:rsidRPr="0063589E" w:rsidRDefault="00145D1B" w:rsidP="0063589E">
            <w:pPr>
              <w:rPr>
                <w:rFonts w:ascii="Arial" w:hAnsi="Arial" w:cs="Arial"/>
                <w:sz w:val="22"/>
                <w:szCs w:val="22"/>
              </w:rPr>
            </w:pPr>
          </w:p>
          <w:p w14:paraId="5F24CE13"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F24CE14" w14:textId="77777777" w:rsidR="00145D1B" w:rsidRPr="0063589E" w:rsidRDefault="00145D1B" w:rsidP="0063589E">
            <w:pPr>
              <w:rPr>
                <w:rFonts w:ascii="Arial" w:hAnsi="Arial" w:cs="Arial"/>
                <w:sz w:val="22"/>
                <w:szCs w:val="22"/>
              </w:rPr>
            </w:pPr>
          </w:p>
          <w:p w14:paraId="5F24CE15"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14:paraId="5F24CE16" w14:textId="77777777" w:rsidR="00145D1B" w:rsidRPr="0063589E" w:rsidRDefault="00145D1B" w:rsidP="0063589E">
            <w:pPr>
              <w:rPr>
                <w:rFonts w:ascii="Arial" w:hAnsi="Arial" w:cs="Arial"/>
                <w:sz w:val="22"/>
                <w:szCs w:val="22"/>
              </w:rPr>
            </w:pPr>
          </w:p>
          <w:p w14:paraId="5F24CE17" w14:textId="77777777" w:rsidR="00145D1B" w:rsidRPr="0063589E" w:rsidRDefault="00145D1B" w:rsidP="006358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14:paraId="5F24CE19" w14:textId="77777777" w:rsidR="00145D1B" w:rsidRDefault="00145D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145D1B" w:rsidSect="00D67BAF">
      <w:footerReference w:type="default" r:id="rId9"/>
      <w:pgSz w:w="15840" w:h="12240" w:orient="landscape"/>
      <w:pgMar w:top="720" w:right="1440" w:bottom="720" w:left="1440" w:header="54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4CE1C" w14:textId="77777777" w:rsidR="00213136" w:rsidRDefault="00213136" w:rsidP="00213136">
      <w:r>
        <w:separator/>
      </w:r>
    </w:p>
  </w:endnote>
  <w:endnote w:type="continuationSeparator" w:id="0">
    <w:p w14:paraId="5F24CE1D" w14:textId="77777777" w:rsidR="00213136" w:rsidRDefault="00213136" w:rsidP="0021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CE1E" w14:textId="77777777" w:rsidR="00213136" w:rsidRDefault="00986A1F">
    <w:pPr>
      <w:pStyle w:val="Footer"/>
      <w:jc w:val="center"/>
    </w:pPr>
    <w:r>
      <w:fldChar w:fldCharType="begin"/>
    </w:r>
    <w:r>
      <w:instrText xml:space="preserve"> PAGE   \* MERGEFORMAT </w:instrText>
    </w:r>
    <w:r>
      <w:fldChar w:fldCharType="separate"/>
    </w:r>
    <w:r>
      <w:rPr>
        <w:noProof/>
      </w:rPr>
      <w:t>2</w:t>
    </w:r>
    <w:r>
      <w:rPr>
        <w:noProof/>
      </w:rPr>
      <w:fldChar w:fldCharType="end"/>
    </w:r>
  </w:p>
  <w:p w14:paraId="5F24CE1F" w14:textId="77777777" w:rsidR="00213136" w:rsidRDefault="0021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CE1A" w14:textId="77777777" w:rsidR="00213136" w:rsidRDefault="00213136" w:rsidP="00213136">
      <w:r>
        <w:separator/>
      </w:r>
    </w:p>
  </w:footnote>
  <w:footnote w:type="continuationSeparator" w:id="0">
    <w:p w14:paraId="5F24CE1B" w14:textId="77777777" w:rsidR="00213136" w:rsidRDefault="00213136" w:rsidP="0021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1B"/>
    <w:rsid w:val="001228DF"/>
    <w:rsid w:val="00145D1B"/>
    <w:rsid w:val="00213136"/>
    <w:rsid w:val="004F0EBC"/>
    <w:rsid w:val="005711A3"/>
    <w:rsid w:val="0063589E"/>
    <w:rsid w:val="007D26E1"/>
    <w:rsid w:val="00944957"/>
    <w:rsid w:val="00986A1F"/>
    <w:rsid w:val="00D67BAF"/>
    <w:rsid w:val="00E92CE2"/>
    <w:rsid w:val="00F9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CD7C"/>
  <w15:docId w15:val="{36BC3326-64FC-426D-921D-73B4747A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213136"/>
    <w:pPr>
      <w:tabs>
        <w:tab w:val="center" w:pos="4680"/>
        <w:tab w:val="right" w:pos="9360"/>
      </w:tabs>
    </w:pPr>
  </w:style>
  <w:style w:type="character" w:customStyle="1" w:styleId="HeaderChar">
    <w:name w:val="Header Char"/>
    <w:basedOn w:val="DefaultParagraphFont"/>
    <w:link w:val="Header"/>
    <w:rsid w:val="00213136"/>
    <w:rPr>
      <w:sz w:val="24"/>
      <w:szCs w:val="24"/>
    </w:rPr>
  </w:style>
  <w:style w:type="paragraph" w:styleId="Footer">
    <w:name w:val="footer"/>
    <w:basedOn w:val="Normal"/>
    <w:link w:val="FooterChar"/>
    <w:uiPriority w:val="99"/>
    <w:rsid w:val="00213136"/>
    <w:pPr>
      <w:tabs>
        <w:tab w:val="center" w:pos="4680"/>
        <w:tab w:val="right" w:pos="9360"/>
      </w:tabs>
    </w:pPr>
  </w:style>
  <w:style w:type="character" w:customStyle="1" w:styleId="FooterChar">
    <w:name w:val="Footer Char"/>
    <w:basedOn w:val="DefaultParagraphFont"/>
    <w:link w:val="Footer"/>
    <w:uiPriority w:val="99"/>
    <w:rsid w:val="00213136"/>
    <w:rPr>
      <w:sz w:val="24"/>
      <w:szCs w:val="24"/>
    </w:rPr>
  </w:style>
  <w:style w:type="character" w:styleId="Hyperlink">
    <w:name w:val="Hyperlink"/>
    <w:basedOn w:val="DefaultParagraphFont"/>
    <w:unhideWhenUsed/>
    <w:rsid w:val="00944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F0A93-5737-47D8-B5D9-82407B418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E4500-43F1-4F01-B052-E75EDFA1860B}">
  <ds:schemaRefs>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15A2A74A-0F82-4771-9266-69DE565A2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Timeliness in Decommissioning of Materials Facilities</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Timeliness in Decommissioning of Materials Facilities</dc:title>
  <dc:subject/>
  <dc:creator>KNM1</dc:creator>
  <cp:keywords/>
  <dc:description/>
  <cp:lastModifiedBy>Beardsley, Michelle</cp:lastModifiedBy>
  <cp:revision>2</cp:revision>
  <dcterms:created xsi:type="dcterms:W3CDTF">2015-12-09T13:50:00Z</dcterms:created>
  <dcterms:modified xsi:type="dcterms:W3CDTF">2015-12-09T13:50:00Z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