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7AD128" w14:textId="77777777" w:rsidR="00EB0E8D" w:rsidRDefault="00EB0E8D" w:rsidP="00EB63AA">
      <w:pPr>
        <w:widowControl/>
        <w:tabs>
          <w:tab w:val="center" w:pos="4680"/>
        </w:tabs>
        <w:jc w:val="right"/>
        <w:rPr>
          <w:rFonts w:ascii="Mona Lisa Recut" w:hAnsi="Mona Lisa Recut" w:cs="Mona Lisa Recut"/>
        </w:rPr>
      </w:pPr>
      <w:r>
        <w:rPr>
          <w:rFonts w:ascii="Univers" w:hAnsi="Univers" w:cs="Univers"/>
          <w:b/>
          <w:bCs/>
          <w:sz w:val="38"/>
          <w:szCs w:val="38"/>
        </w:rPr>
        <w:t>NRC INSPECTION MANUAL</w:t>
      </w:r>
      <w:r w:rsidRPr="0040773A">
        <w:t xml:space="preserve"> </w:t>
      </w:r>
      <w:r w:rsidR="00EB63AA">
        <w:tab/>
        <w:t xml:space="preserve">   </w:t>
      </w:r>
      <w:r w:rsidRPr="00757F4B">
        <w:rPr>
          <w:sz w:val="20"/>
          <w:szCs w:val="20"/>
        </w:rPr>
        <w:t>NMSS/</w:t>
      </w:r>
      <w:r w:rsidR="00EB63AA">
        <w:rPr>
          <w:sz w:val="20"/>
          <w:szCs w:val="20"/>
        </w:rPr>
        <w:t>FCSE</w:t>
      </w:r>
    </w:p>
    <w:p w14:paraId="44B6B4F6" w14:textId="77777777" w:rsidR="00EB0E8D" w:rsidRDefault="00EB0E8D" w:rsidP="00EB0E8D">
      <w:pPr>
        <w:widowControl/>
        <w:spacing w:line="28" w:lineRule="exact"/>
        <w:rPr>
          <w:rFonts w:ascii="Mona Lisa Recut" w:hAnsi="Mona Lisa Recut" w:cs="Mona Lisa Recu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1" layoutInCell="0" allowOverlap="1" wp14:anchorId="2D85E67C" wp14:editId="04E7F5B2">
                <wp:simplePos x="0" y="0"/>
                <wp:positionH relativeFrom="page">
                  <wp:posOffset>914400</wp:posOffset>
                </wp:positionH>
                <wp:positionV relativeFrom="paragraph">
                  <wp:posOffset>0</wp:posOffset>
                </wp:positionV>
                <wp:extent cx="5943600" cy="1778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77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7175C2" id="Rectangle 2" o:spid="_x0000_s1026" style="position:absolute;margin-left:1in;margin-top:0;width:468pt;height:1.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1gidAIAAPcEAAAOAAAAZHJzL2Uyb0RvYy54bWysVNtuEzEQfUfiHyy/p3thc9lVN1XbEIRU&#10;oKLwAY7t3bXw2sZ2smkR/87Ym4QUXipEHhzPznh85swZX17te4l23DqhVY2zixQjrqhmQrU1/vpl&#10;PVlg5DxRjEiteI0fucNXy9evLgdT8Vx3WjJuESRRrhpMjTvvTZUkjna8J+5CG67A2WjbEw+mbRNm&#10;yQDZe5nkaTpLBm2ZsZpy5+DranTiZczfNJz6T03juEeyxoDNx9XGdRPWZHlJqtYS0wl6gEH+AUVP&#10;hIJLT6lWxBO0teKvVL2gVjvd+Auq+0Q3jaA81gDVZOkf1Tx0xPBYC5DjzIkm9//S0o+7e4sEq3GO&#10;kSI9tOgzkEZUKznKAz2DcRVEPZh7Gwp05k7Tbw4pfdtBFL+2Vg8dJwxAZSE+eXYgGA6Oos3wQTPI&#10;TrZeR6b2je1DQuAA7WNDHk8N4XuPKHyclsWbWQp9o+DL5vNFbFhCquNhY51/x3WPwqbGFqDH5GR3&#10;53wAQ6pjSASvpWBrIWU0bLu5lRbtSNBG/EX8UON5mFQhWOlwbMw4fgGMcEfwBbSx1z/KLC/Sm7yc&#10;rGeL+aRYF9NJOU8XkzQrb8pZWpTFav0zAMyKqhOMcXUnFD/qLite1tfDBIyKicpDQ6AuFnUO3b2s&#10;wl54mEEp+hovTjSQKjT1rWJQM6k8EXLcJ8+xR4qBgON/pCRKIHR9VM9Gs0dQgNXQIeglvBaw6bR9&#10;wmiAyaux+74llmMk3ytQUZkVRRjVaBTTeQ6GPfdszj1EUUhVY4/RuL3143hvjRVtBzdlkRilr0F5&#10;jYiqCKocUR30CtMVKzi8BGF8z+0Y9fu9Wv4CAAD//wMAUEsDBBQABgAIAAAAIQBMXRbb2gAAAAcB&#10;AAAPAAAAZHJzL2Rvd25yZXYueG1sTI9BT8MwDIXvSPyHyEjcWMJWqqo0nQCJ66SVXbiljWkrGic0&#10;2Vb+/bwTXCw/Peu9z9V2cZM44RxHTxoeVwoEUuftSL2Gw8f7QwEiJkPWTJ5Qwy9G2Na3N5UprT/T&#10;Hk9N6gWHUCyNhiGlUEoZuwGdiSsfkNj78rMzieXcSzubM4e7Sa6VyqUzI3HDYAK+Ddh9N0fHvZ+b&#10;RoXi57Unt8v2bR42bf6k9f3d8vIMIuGS/o7his/oUDNT649ko5hYZxn/kjTwvNqqULy1GtYFyLqS&#10;//nrCwAAAP//AwBQSwECLQAUAAYACAAAACEAtoM4kv4AAADhAQAAEwAAAAAAAAAAAAAAAAAAAAAA&#10;W0NvbnRlbnRfVHlwZXNdLnhtbFBLAQItABQABgAIAAAAIQA4/SH/1gAAAJQBAAALAAAAAAAAAAAA&#10;AAAAAC8BAABfcmVscy8ucmVsc1BLAQItABQABgAIAAAAIQDsv1gidAIAAPcEAAAOAAAAAAAAAAAA&#10;AAAAAC4CAABkcnMvZTJvRG9jLnhtbFBLAQItABQABgAIAAAAIQBMXRbb2gAAAAcBAAAPAAAAAAAA&#10;AAAAAAAAAM4EAABkcnMvZG93bnJldi54bWxQSwUGAAAAAAQABADzAAAA1QUAAAAA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14:paraId="30491B82" w14:textId="77777777" w:rsidR="00EB0E8D" w:rsidRDefault="00EB0E8D" w:rsidP="00EB0E8D">
      <w:pPr>
        <w:widowControl/>
        <w:tabs>
          <w:tab w:val="center" w:pos="4680"/>
        </w:tabs>
      </w:pPr>
      <w:r>
        <w:rPr>
          <w:rFonts w:ascii="Mona Lisa Recut" w:hAnsi="Mona Lisa Recut" w:cs="Mona Lisa Recut"/>
        </w:rPr>
        <w:fldChar w:fldCharType="begin"/>
      </w:r>
      <w:r>
        <w:rPr>
          <w:rFonts w:ascii="Mona Lisa Recut" w:hAnsi="Mona Lisa Recut" w:cs="Mona Lisa Recut"/>
        </w:rPr>
        <w:instrText>ADVANCE \d4</w:instrText>
      </w:r>
      <w:r>
        <w:rPr>
          <w:rFonts w:ascii="Mona Lisa Recut" w:hAnsi="Mona Lisa Recut" w:cs="Mona Lisa Recut"/>
        </w:rPr>
        <w:fldChar w:fldCharType="end"/>
      </w:r>
      <w:r>
        <w:rPr>
          <w:rFonts w:ascii="Mona Lisa Recut" w:hAnsi="Mona Lisa Recut" w:cs="Mona Lisa Recut"/>
        </w:rPr>
        <w:tab/>
      </w:r>
      <w:r>
        <w:t xml:space="preserve">INSPECTION PROCEDURE </w:t>
      </w:r>
      <w:r w:rsidRPr="000321DB">
        <w:t>88117</w:t>
      </w:r>
      <w:r>
        <w:t xml:space="preserve"> </w:t>
      </w:r>
    </w:p>
    <w:p w14:paraId="7FB11168" w14:textId="77777777" w:rsidR="00EB0E8D" w:rsidRDefault="00EB0E8D" w:rsidP="00EB0E8D">
      <w:pPr>
        <w:widowControl/>
        <w:spacing w:line="28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1" layoutInCell="0" allowOverlap="1" wp14:anchorId="51C96E8D" wp14:editId="37A2FC9A">
                <wp:simplePos x="0" y="0"/>
                <wp:positionH relativeFrom="page">
                  <wp:posOffset>914400</wp:posOffset>
                </wp:positionH>
                <wp:positionV relativeFrom="paragraph">
                  <wp:posOffset>0</wp:posOffset>
                </wp:positionV>
                <wp:extent cx="5943600" cy="17780"/>
                <wp:effectExtent l="0" t="0" r="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77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DF7677" id="Rectangle 1" o:spid="_x0000_s1026" style="position:absolute;margin-left:1in;margin-top:0;width:468pt;height:1.4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RLtdAIAAPcEAAAOAAAAZHJzL2Uyb0RvYy54bWysVFFv0zAQfkfiP1h+75KUrG2ipdPYKEIa&#10;MDH4Aa7tNBaObc5u04H475ydtXTwMiH64Ppy5/N333fni8t9r8lOglfWNLQ4yymRhluhzKahXz6v&#10;JgtKfGBGMG2NbOiD9PRy+fLFxeBqObWd1UICwSTG14NraBeCq7PM8072zJ9ZJw06Wws9C2jCJhPA&#10;Bsze62ya57NssCAcWC69x683o5MuU/62lTx8bFsvA9ENRWwhrZDWdVyz5QWrN8Bcp/gjDPYPKHqm&#10;DF56THXDAiNbUH+l6hUH620bzrjtM9u2istUA1ZT5H9Uc98xJ1MtSI53R5r8/0vLP+zugCiB2lFi&#10;WI8SfULSmNloSYpIz+B8jVH37g5igd7dWv7VE2OvO4ySVwB26CQTCCrFZ08ORMPjUbIe3luB2dk2&#10;2MTUvoU+JkQOyD4J8nAURO4D4fjxvCpfzXLUjaOvmM8XSbCM1YfDDnx4K21P4qahgNBTcra79QHB&#10;Y+ghJIG3WomV0joZsFlfayA7Fnsj/WK9eMSfhmkTg42Nx0b3+AUx4h3RF9EmrX9UxbTMX0+ryWq2&#10;mE/KVXk+qeb5YpIX1etqlpdVebP6GQEWZd0pIaS5VUYe+q4on6fr4wSMHZM6jwyRulTUKXT/vAp7&#10;FXAGteobujjSwOoo6hsjsGZWB6b0uM+eYk98IQGH/0RJaoGo+tg9aysesAPAokKoJb4WuOksfKdk&#10;wMlrqP+2ZSAp0e8MdlFVlGUc1WSU5/MpGnDqWZ96mOGYqqGBknF7Hcbx3jpQmw5vKhIxxl5h57Uq&#10;dUXsyhEV4o4GTleq4PEliON7aqeo3+/V8hcAAAD//wMAUEsDBBQABgAIAAAAIQBMXRbb2gAAAAcB&#10;AAAPAAAAZHJzL2Rvd25yZXYueG1sTI9BT8MwDIXvSPyHyEjcWMJWqqo0nQCJ66SVXbiljWkrGic0&#10;2Vb+/bwTXCw/Peu9z9V2cZM44RxHTxoeVwoEUuftSL2Gw8f7QwEiJkPWTJ5Qwy9G2Na3N5UprT/T&#10;Hk9N6gWHUCyNhiGlUEoZuwGdiSsfkNj78rMzieXcSzubM4e7Sa6VyqUzI3HDYAK+Ddh9N0fHvZ+b&#10;RoXi57Unt8v2bR42bf6k9f3d8vIMIuGS/o7his/oUDNT649ko5hYZxn/kjTwvNqqULy1GtYFyLqS&#10;//nrCwAAAP//AwBQSwECLQAUAAYACAAAACEAtoM4kv4AAADhAQAAEwAAAAAAAAAAAAAAAAAAAAAA&#10;W0NvbnRlbnRfVHlwZXNdLnhtbFBLAQItABQABgAIAAAAIQA4/SH/1gAAAJQBAAALAAAAAAAAAAAA&#10;AAAAAC8BAABfcmVscy8ucmVsc1BLAQItABQABgAIAAAAIQBP9RLtdAIAAPcEAAAOAAAAAAAAAAAA&#10;AAAAAC4CAABkcnMvZTJvRG9jLnhtbFBLAQItABQABgAIAAAAIQBMXRbb2gAAAAcBAAAPAAAAAAAA&#10;AAAAAAAAAM4EAABkcnMvZG93bnJldi54bWxQSwUGAAAAAAQABADzAAAA1QUAAAAA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14:paraId="46F5B20D" w14:textId="77777777" w:rsidR="00EB0E8D" w:rsidRDefault="00EB0E8D" w:rsidP="00EB0E8D">
      <w:pPr>
        <w:widowControl/>
        <w:tabs>
          <w:tab w:val="left" w:pos="-136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bookmarkStart w:id="0" w:name="_GoBack"/>
      <w:bookmarkEnd w:id="0"/>
    </w:p>
    <w:p w14:paraId="5ABC6C85" w14:textId="77777777" w:rsidR="00EB0E8D" w:rsidRDefault="00EB0E8D" w:rsidP="00EB0E8D">
      <w:pPr>
        <w:widowControl/>
        <w:tabs>
          <w:tab w:val="left" w:pos="-136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</w:pPr>
      <w:r>
        <w:t xml:space="preserve">FACILITY CHANGES </w:t>
      </w:r>
      <w:r w:rsidR="0071270A">
        <w:t xml:space="preserve">(LICENSE APPLICATION) </w:t>
      </w:r>
      <w:r>
        <w:t>AND CHANGE PROCESS (10 CFR 70.72)</w:t>
      </w:r>
    </w:p>
    <w:p w14:paraId="099C1551" w14:textId="77777777" w:rsidR="00EB0E8D" w:rsidRDefault="00EB0E8D" w:rsidP="00EB0E8D">
      <w:pPr>
        <w:widowControl/>
        <w:tabs>
          <w:tab w:val="left" w:pos="-136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</w:pPr>
      <w:r>
        <w:t xml:space="preserve">(PRE-LICENSING AND CONSTRUCTION) </w:t>
      </w:r>
    </w:p>
    <w:p w14:paraId="173A113F" w14:textId="77777777" w:rsidR="00EB0E8D" w:rsidRDefault="00EB0E8D" w:rsidP="00EB0E8D">
      <w:pPr>
        <w:widowControl/>
        <w:tabs>
          <w:tab w:val="left" w:pos="-136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4320"/>
      </w:pPr>
    </w:p>
    <w:p w14:paraId="4D14112F" w14:textId="77777777" w:rsidR="004A3B74" w:rsidRDefault="004A3B74" w:rsidP="00EB0E8D">
      <w:pPr>
        <w:widowControl/>
        <w:tabs>
          <w:tab w:val="left" w:pos="-136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4320"/>
      </w:pPr>
    </w:p>
    <w:p w14:paraId="29B44ED1" w14:textId="551656A4" w:rsidR="00EB0E8D" w:rsidRDefault="00EB0E8D" w:rsidP="000321DB">
      <w:pPr>
        <w:widowControl/>
        <w:tabs>
          <w:tab w:val="left" w:pos="-136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 xml:space="preserve">PROGRAM APPLICABILITY: </w:t>
      </w:r>
      <w:r w:rsidR="004A3B74">
        <w:t xml:space="preserve"> </w:t>
      </w:r>
      <w:r>
        <w:t>2630</w:t>
      </w:r>
    </w:p>
    <w:p w14:paraId="1483079D" w14:textId="77777777" w:rsidR="00EB0E8D" w:rsidRDefault="00EB0E8D" w:rsidP="000321DB">
      <w:pPr>
        <w:widowControl/>
        <w:tabs>
          <w:tab w:val="left" w:pos="-136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01C7D387" w14:textId="77777777" w:rsidR="00EB0E8D" w:rsidRDefault="00EB0E8D" w:rsidP="000321DB">
      <w:pPr>
        <w:widowControl/>
        <w:tabs>
          <w:tab w:val="left" w:pos="-136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1440"/>
      </w:pPr>
      <w:r>
        <w:t>88117</w:t>
      </w:r>
      <w:r>
        <w:noBreakHyphen/>
        <w:t>01</w:t>
      </w:r>
      <w:r>
        <w:tab/>
      </w:r>
      <w:r>
        <w:tab/>
        <w:t>INSPECTION OBJECTIVES</w:t>
      </w:r>
    </w:p>
    <w:p w14:paraId="6A0A8C13" w14:textId="77777777" w:rsidR="00EB0E8D" w:rsidRDefault="00EB0E8D" w:rsidP="000321DB">
      <w:pPr>
        <w:widowControl/>
        <w:tabs>
          <w:tab w:val="left" w:pos="-136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31ACB149" w14:textId="6ACDBA69" w:rsidR="007C7306" w:rsidRPr="00E51AA8" w:rsidRDefault="007C7306" w:rsidP="000321DB">
      <w:p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</w:pPr>
      <w:r w:rsidRPr="00E51AA8">
        <w:t>The objectives of this procedure are to provide the requirements and guidance for evaluating the</w:t>
      </w:r>
      <w:r w:rsidR="00FF3469" w:rsidRPr="00E51AA8">
        <w:t xml:space="preserve"> CB&amp;I </w:t>
      </w:r>
      <w:r w:rsidR="00B74D60" w:rsidRPr="00E51AA8">
        <w:t>AREVA MOX Services</w:t>
      </w:r>
      <w:r w:rsidR="008F6A3C" w:rsidRPr="00E51AA8">
        <w:t>, LLC</w:t>
      </w:r>
      <w:r w:rsidR="00B74D60" w:rsidRPr="00E51AA8">
        <w:t xml:space="preserve"> (MOX Services) </w:t>
      </w:r>
      <w:r w:rsidRPr="00E51AA8">
        <w:t xml:space="preserve">change control program.  Specifically the evaluation is to determine whether the following aspects of the </w:t>
      </w:r>
      <w:r w:rsidR="008F6A3C" w:rsidRPr="00E51AA8">
        <w:t xml:space="preserve">MOX Services </w:t>
      </w:r>
      <w:r w:rsidRPr="00E51AA8">
        <w:t>change control program meet U.S. Nuclear Regulatory Commission (NRC) issued license or certificate requirements:</w:t>
      </w:r>
    </w:p>
    <w:p w14:paraId="491A1C14" w14:textId="77777777" w:rsidR="007C7306" w:rsidRPr="00E51AA8" w:rsidRDefault="007C7306" w:rsidP="000321DB">
      <w:pPr>
        <w:widowControl/>
        <w:tabs>
          <w:tab w:val="left" w:pos="-136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09B40DF3" w14:textId="71753DDC" w:rsidR="007C7306" w:rsidRPr="00E51AA8" w:rsidRDefault="00EB0E8D" w:rsidP="000321DB">
      <w:pPr>
        <w:pStyle w:val="ListParagraph"/>
        <w:widowControl/>
        <w:numPr>
          <w:ilvl w:val="1"/>
          <w:numId w:val="1"/>
        </w:numPr>
        <w:tabs>
          <w:tab w:val="left" w:pos="-136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0" w:firstLine="0"/>
      </w:pPr>
      <w:r w:rsidRPr="00E51AA8">
        <w:t>To determine that the</w:t>
      </w:r>
      <w:r w:rsidR="00C72A45" w:rsidRPr="00E51AA8">
        <w:t xml:space="preserve"> MOX Services</w:t>
      </w:r>
      <w:r w:rsidRPr="00E51AA8">
        <w:t xml:space="preserve"> maintains </w:t>
      </w:r>
      <w:r w:rsidR="007C7306" w:rsidRPr="00E51AA8">
        <w:t xml:space="preserve">adequate </w:t>
      </w:r>
      <w:r w:rsidR="00414CD3" w:rsidRPr="00E51AA8">
        <w:t xml:space="preserve">quality assurance </w:t>
      </w:r>
      <w:r w:rsidRPr="00E51AA8">
        <w:t xml:space="preserve">records of changes to its facility </w:t>
      </w:r>
      <w:r w:rsidR="007C7306" w:rsidRPr="00E51AA8">
        <w:t xml:space="preserve">or design </w:t>
      </w:r>
      <w:r w:rsidRPr="00E51AA8">
        <w:t xml:space="preserve">carried out under </w:t>
      </w:r>
      <w:r w:rsidR="007C7306" w:rsidRPr="00E51AA8">
        <w:t>Chapter 16 of the license application for the</w:t>
      </w:r>
      <w:r w:rsidR="00D9033F" w:rsidRPr="00E51AA8">
        <w:t xml:space="preserve"> Mixed Oxide Fuel Fabrication Facility</w:t>
      </w:r>
      <w:r w:rsidR="007C7306" w:rsidRPr="00E51AA8">
        <w:t xml:space="preserve"> </w:t>
      </w:r>
      <w:r w:rsidR="00D9033F" w:rsidRPr="00E51AA8">
        <w:t>(</w:t>
      </w:r>
      <w:r w:rsidR="007C7306" w:rsidRPr="00E51AA8">
        <w:t>MFFF</w:t>
      </w:r>
      <w:r w:rsidR="00D9033F" w:rsidRPr="00E51AA8">
        <w:t>)</w:t>
      </w:r>
      <w:r w:rsidR="007C7306" w:rsidRPr="00E51AA8">
        <w:t xml:space="preserve"> and under </w:t>
      </w:r>
      <w:r w:rsidR="001623D9" w:rsidRPr="00E51AA8">
        <w:t xml:space="preserve">Title 10 </w:t>
      </w:r>
      <w:r w:rsidR="001623D9" w:rsidRPr="00E51AA8">
        <w:rPr>
          <w:i/>
        </w:rPr>
        <w:t>Code of Federal Regulations</w:t>
      </w:r>
      <w:r w:rsidR="001623D9" w:rsidRPr="00E51AA8">
        <w:t xml:space="preserve"> (10 CFR) </w:t>
      </w:r>
      <w:r w:rsidR="007C7306" w:rsidRPr="00E51AA8">
        <w:t>70.72 of the Integrated Safety Analyses Summary</w:t>
      </w:r>
      <w:r w:rsidR="000E760B" w:rsidRPr="00E51AA8">
        <w:t>.</w:t>
      </w:r>
    </w:p>
    <w:p w14:paraId="5B87DF38" w14:textId="77777777" w:rsidR="007C7306" w:rsidRPr="00E51AA8" w:rsidRDefault="007C7306" w:rsidP="000321DB">
      <w:pPr>
        <w:pStyle w:val="ListParagraph"/>
        <w:widowControl/>
        <w:tabs>
          <w:tab w:val="left" w:pos="-136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0"/>
      </w:pPr>
    </w:p>
    <w:p w14:paraId="068B4D2D" w14:textId="1EE69741" w:rsidR="00EB0E8D" w:rsidRPr="00E51AA8" w:rsidRDefault="00EB0E8D" w:rsidP="000321DB">
      <w:pPr>
        <w:pStyle w:val="ListParagraph"/>
        <w:widowControl/>
        <w:numPr>
          <w:ilvl w:val="1"/>
          <w:numId w:val="1"/>
        </w:numPr>
        <w:tabs>
          <w:tab w:val="left" w:pos="-136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0" w:firstLine="0"/>
        <w:rPr>
          <w:rFonts w:ascii="Zurich Cn BT" w:hAnsi="Zurich Cn BT" w:cs="Zurich Cn BT"/>
        </w:rPr>
      </w:pPr>
      <w:r w:rsidRPr="00E51AA8">
        <w:t xml:space="preserve">To verify that </w:t>
      </w:r>
      <w:r w:rsidR="006B14B2" w:rsidRPr="00E51AA8">
        <w:t>MOX Services</w:t>
      </w:r>
      <w:r w:rsidR="00C231BA" w:rsidRPr="00E51AA8">
        <w:t xml:space="preserve"> </w:t>
      </w:r>
      <w:r w:rsidR="009851D2" w:rsidRPr="00E51AA8">
        <w:t>Quality Assurance (</w:t>
      </w:r>
      <w:r w:rsidR="00C231BA" w:rsidRPr="00E51AA8">
        <w:t>QA</w:t>
      </w:r>
      <w:r w:rsidR="009851D2" w:rsidRPr="00E51AA8">
        <w:t>)</w:t>
      </w:r>
      <w:r w:rsidRPr="00E51AA8">
        <w:t xml:space="preserve"> records include a written evaluation that provides the bases for the determination that the changes do not require prior Commission approval.  To verify that these records are maintained until termination of the license.</w:t>
      </w:r>
    </w:p>
    <w:p w14:paraId="291C650E" w14:textId="77777777" w:rsidR="007C7306" w:rsidRPr="00E51AA8" w:rsidRDefault="007C7306" w:rsidP="000321DB">
      <w:pPr>
        <w:pStyle w:val="ListParagraph"/>
        <w:ind w:left="0"/>
        <w:rPr>
          <w:rFonts w:ascii="Zurich Cn BT" w:hAnsi="Zurich Cn BT" w:cs="Zurich Cn BT"/>
        </w:rPr>
      </w:pPr>
    </w:p>
    <w:p w14:paraId="415D9C48" w14:textId="39D31A88" w:rsidR="007C7306" w:rsidRPr="00E51AA8" w:rsidRDefault="007C7306" w:rsidP="000321DB">
      <w:pPr>
        <w:pStyle w:val="ListParagraph"/>
        <w:widowControl/>
        <w:numPr>
          <w:ilvl w:val="1"/>
          <w:numId w:val="1"/>
        </w:numPr>
        <w:tabs>
          <w:tab w:val="left" w:pos="-136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0" w:firstLine="0"/>
      </w:pPr>
      <w:r w:rsidRPr="00E51AA8">
        <w:rPr>
          <w:rFonts w:ascii="Zurich Cn BT" w:hAnsi="Zurich Cn BT" w:cs="Zurich Cn BT"/>
        </w:rPr>
        <w:t xml:space="preserve"> </w:t>
      </w:r>
      <w:r w:rsidRPr="00E51AA8">
        <w:t>To determine whether</w:t>
      </w:r>
      <w:r w:rsidR="00D9033F" w:rsidRPr="00E51AA8">
        <w:t xml:space="preserve"> MOX Services</w:t>
      </w:r>
      <w:r w:rsidRPr="00E51AA8">
        <w:t xml:space="preserve"> has established an effective change control process to evaluate, implement, and track changes that may impact the </w:t>
      </w:r>
      <w:r w:rsidR="004F7DF3" w:rsidRPr="00E51AA8">
        <w:t>integrated safety analysis (</w:t>
      </w:r>
      <w:r w:rsidRPr="00E51AA8">
        <w:t>ISA</w:t>
      </w:r>
      <w:r w:rsidR="004F7DF3" w:rsidRPr="00E51AA8">
        <w:t>)</w:t>
      </w:r>
      <w:r w:rsidRPr="00E51AA8">
        <w:t xml:space="preserve"> and the licensing basis of the facility.</w:t>
      </w:r>
    </w:p>
    <w:p w14:paraId="3F4159F6" w14:textId="77777777" w:rsidR="00EB0E8D" w:rsidRPr="00E51AA8" w:rsidRDefault="00EB0E8D" w:rsidP="000321DB"/>
    <w:p w14:paraId="49250A1C" w14:textId="77777777" w:rsidR="00EB0E8D" w:rsidRPr="00E51AA8" w:rsidRDefault="00EB0E8D" w:rsidP="000321DB"/>
    <w:p w14:paraId="2D01A28C" w14:textId="77777777" w:rsidR="00EB0E8D" w:rsidRPr="00E51AA8" w:rsidRDefault="00EB0E8D" w:rsidP="000321DB">
      <w:r w:rsidRPr="00E51AA8">
        <w:t>88117-02</w:t>
      </w:r>
      <w:r w:rsidRPr="00E51AA8">
        <w:tab/>
        <w:t>INSPECTION REQUIREMENTS</w:t>
      </w:r>
      <w:r w:rsidR="0091773F" w:rsidRPr="00E51AA8">
        <w:t xml:space="preserve"> AND INSPECTION GUIDANCE</w:t>
      </w:r>
    </w:p>
    <w:p w14:paraId="32C5AE8D" w14:textId="77777777" w:rsidR="00EB0E8D" w:rsidRPr="00E51AA8" w:rsidRDefault="00EB0E8D" w:rsidP="000321DB"/>
    <w:p w14:paraId="64C61AF5" w14:textId="5444B468" w:rsidR="0091773F" w:rsidRPr="00E51AA8" w:rsidRDefault="0091773F" w:rsidP="000321DB">
      <w:pPr>
        <w:widowControl/>
        <w:tabs>
          <w:tab w:val="left" w:pos="-136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 w:rsidRPr="00E51AA8">
        <w:t xml:space="preserve">The inspector </w:t>
      </w:r>
      <w:r w:rsidR="00174A89" w:rsidRPr="00E51AA8">
        <w:t xml:space="preserve">should </w:t>
      </w:r>
      <w:r w:rsidRPr="00E51AA8">
        <w:t xml:space="preserve">verify that the design changes </w:t>
      </w:r>
      <w:r w:rsidR="00132E56" w:rsidRPr="00E51AA8">
        <w:t xml:space="preserve">were </w:t>
      </w:r>
      <w:r w:rsidRPr="00E51AA8">
        <w:t>appropriately classified and the controls of that classification were applied in accordance with</w:t>
      </w:r>
      <w:r w:rsidR="00811F75" w:rsidRPr="00E51AA8">
        <w:t xml:space="preserve"> MOX Services</w:t>
      </w:r>
      <w:r w:rsidRPr="00E51AA8">
        <w:t xml:space="preserve"> NRC</w:t>
      </w:r>
      <w:r w:rsidR="005C1557" w:rsidRPr="00E51AA8">
        <w:t>-</w:t>
      </w:r>
      <w:r w:rsidRPr="00E51AA8">
        <w:t xml:space="preserve">approved </w:t>
      </w:r>
      <w:r w:rsidR="00492D0C" w:rsidRPr="00E51AA8">
        <w:t xml:space="preserve">QA </w:t>
      </w:r>
      <w:r w:rsidRPr="00E51AA8">
        <w:t xml:space="preserve">Plan.  The inspector </w:t>
      </w:r>
      <w:r w:rsidR="00492D0C" w:rsidRPr="00E51AA8">
        <w:t xml:space="preserve">should </w:t>
      </w:r>
      <w:r w:rsidRPr="00E51AA8">
        <w:t>also v</w:t>
      </w:r>
      <w:r w:rsidR="00414CD3" w:rsidRPr="00E51AA8">
        <w:t>erify that</w:t>
      </w:r>
      <w:r w:rsidR="00492D0C" w:rsidRPr="00E51AA8">
        <w:t xml:space="preserve"> MOX Services</w:t>
      </w:r>
      <w:r w:rsidR="00414CD3" w:rsidRPr="00E51AA8">
        <w:t xml:space="preserve"> </w:t>
      </w:r>
      <w:r w:rsidRPr="00E51AA8">
        <w:t>has fulfilled the requirements for evaluation of proposed design changes and modifications in accordance with 10 CFR 70.72 and Chapter 16 of the</w:t>
      </w:r>
      <w:r w:rsidR="00155FAF" w:rsidRPr="00E51AA8">
        <w:t xml:space="preserve"> license application</w:t>
      </w:r>
      <w:r w:rsidRPr="00E51AA8">
        <w:t xml:space="preserve"> </w:t>
      </w:r>
      <w:r w:rsidR="00155FAF" w:rsidRPr="00E51AA8">
        <w:t>(</w:t>
      </w:r>
      <w:r w:rsidRPr="00E51AA8">
        <w:t>LA</w:t>
      </w:r>
      <w:r w:rsidR="00155FAF" w:rsidRPr="00E51AA8">
        <w:t>)</w:t>
      </w:r>
      <w:r w:rsidRPr="00E51AA8">
        <w:t>.</w:t>
      </w:r>
    </w:p>
    <w:p w14:paraId="1F050AA3" w14:textId="77777777" w:rsidR="0091773F" w:rsidRPr="00E51AA8" w:rsidRDefault="0091773F" w:rsidP="000321DB"/>
    <w:p w14:paraId="1F75DCB1" w14:textId="77777777" w:rsidR="00EB0E8D" w:rsidRPr="00E51AA8" w:rsidRDefault="00EB0E8D" w:rsidP="000321DB">
      <w:pPr>
        <w:widowControl/>
        <w:tabs>
          <w:tab w:val="left" w:pos="-136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u w:val="single"/>
        </w:rPr>
      </w:pPr>
      <w:r w:rsidRPr="00E51AA8">
        <w:t>02.01</w:t>
      </w:r>
      <w:r w:rsidRPr="00E51AA8">
        <w:tab/>
      </w:r>
      <w:r w:rsidRPr="00E51AA8">
        <w:rPr>
          <w:u w:val="single"/>
        </w:rPr>
        <w:t>Programmatic and Administrative Controls</w:t>
      </w:r>
    </w:p>
    <w:p w14:paraId="07A0451A" w14:textId="77777777" w:rsidR="001040B6" w:rsidRPr="00E51AA8" w:rsidRDefault="001040B6" w:rsidP="000321DB">
      <w:pPr>
        <w:widowControl/>
        <w:tabs>
          <w:tab w:val="left" w:pos="-136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u w:val="single"/>
        </w:rPr>
      </w:pPr>
    </w:p>
    <w:p w14:paraId="760BCC32" w14:textId="77777777" w:rsidR="004A3B74" w:rsidRDefault="001040B6" w:rsidP="000321DB">
      <w:pPr>
        <w:numPr>
          <w:ilvl w:val="0"/>
          <w:numId w:val="2"/>
        </w:numPr>
        <w:tabs>
          <w:tab w:val="left" w:pos="274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ind w:left="807" w:hanging="533"/>
      </w:pPr>
      <w:r w:rsidRPr="00E51AA8">
        <w:t>Inspection Requirement.  Verify that the licensee has written effective procedures to properly address the following aspects of modifications in accordance with 10 CFR 70.72 and Chapter 16 of the LA.</w:t>
      </w:r>
      <w:r w:rsidR="004C4B9A" w:rsidRPr="00E51AA8">
        <w:t xml:space="preserve">  Verify that the procedures include:</w:t>
      </w:r>
    </w:p>
    <w:p w14:paraId="526C5718" w14:textId="77777777" w:rsidR="004A3B74" w:rsidRDefault="004A3B74" w:rsidP="004A3B74">
      <w:pPr>
        <w:tabs>
          <w:tab w:val="left" w:pos="274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</w:pPr>
    </w:p>
    <w:p w14:paraId="7D5BFD5F" w14:textId="77777777" w:rsidR="004A3B74" w:rsidRDefault="00D6119E" w:rsidP="000321DB">
      <w:pPr>
        <w:numPr>
          <w:ilvl w:val="1"/>
          <w:numId w:val="2"/>
        </w:numPr>
        <w:tabs>
          <w:tab w:val="left" w:pos="274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sectPr w:rsidR="004A3B74" w:rsidSect="000321DB">
          <w:footerReference w:type="default" r:id="rId8"/>
          <w:pgSz w:w="12240" w:h="15840"/>
          <w:pgMar w:top="1440" w:right="1440" w:bottom="1440" w:left="1440" w:header="1440" w:footer="1440" w:gutter="0"/>
          <w:cols w:space="720"/>
          <w:docGrid w:linePitch="360"/>
        </w:sectPr>
      </w:pPr>
      <w:r w:rsidRPr="00E51AA8">
        <w:t xml:space="preserve">Impacts to information in the LA or </w:t>
      </w:r>
      <w:r w:rsidR="00E56D17" w:rsidRPr="00E51AA8">
        <w:t>Integrated Safety Analysis Summary (</w:t>
      </w:r>
      <w:r w:rsidRPr="00E51AA8">
        <w:t>ISAS</w:t>
      </w:r>
      <w:r w:rsidR="00E56D17" w:rsidRPr="00E51AA8">
        <w:t>)</w:t>
      </w:r>
      <w:r w:rsidR="001040B6" w:rsidRPr="00E51AA8">
        <w:t>,</w:t>
      </w:r>
    </w:p>
    <w:p w14:paraId="73985133" w14:textId="6B9D1C3D" w:rsidR="001040B6" w:rsidRPr="00E51AA8" w:rsidRDefault="001040B6" w:rsidP="000321DB">
      <w:pPr>
        <w:numPr>
          <w:ilvl w:val="1"/>
          <w:numId w:val="2"/>
        </w:numPr>
        <w:tabs>
          <w:tab w:val="left" w:pos="274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</w:pPr>
      <w:r w:rsidRPr="00E51AA8">
        <w:lastRenderedPageBreak/>
        <w:t xml:space="preserve">Impact </w:t>
      </w:r>
      <w:r w:rsidR="00F77E3C" w:rsidRPr="00E51AA8">
        <w:t>to regulatory commitments</w:t>
      </w:r>
      <w:r w:rsidRPr="00E51AA8">
        <w:t>,</w:t>
      </w:r>
    </w:p>
    <w:p w14:paraId="3570091D" w14:textId="77777777" w:rsidR="001040B6" w:rsidRPr="00E51AA8" w:rsidRDefault="001040B6" w:rsidP="000321DB">
      <w:pPr>
        <w:tabs>
          <w:tab w:val="left" w:pos="274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ind w:left="1440" w:hanging="634"/>
      </w:pPr>
    </w:p>
    <w:p w14:paraId="261A737B" w14:textId="3E35D2CC" w:rsidR="001040B6" w:rsidRPr="00E51AA8" w:rsidRDefault="00F77E3C" w:rsidP="000321DB">
      <w:pPr>
        <w:numPr>
          <w:ilvl w:val="1"/>
          <w:numId w:val="2"/>
        </w:numPr>
        <w:tabs>
          <w:tab w:val="left" w:pos="274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</w:pPr>
      <w:r w:rsidRPr="00E51AA8">
        <w:t>Impact to Environmental Report</w:t>
      </w:r>
      <w:r w:rsidR="001040B6" w:rsidRPr="00E51AA8">
        <w:t>,</w:t>
      </w:r>
      <w:r w:rsidRPr="00E51AA8">
        <w:t xml:space="preserve"> </w:t>
      </w:r>
    </w:p>
    <w:p w14:paraId="5FCCF645" w14:textId="77777777" w:rsidR="001040B6" w:rsidRPr="00E51AA8" w:rsidRDefault="001040B6" w:rsidP="000321DB">
      <w:pPr>
        <w:tabs>
          <w:tab w:val="left" w:pos="274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ind w:left="1440" w:hanging="634"/>
      </w:pPr>
    </w:p>
    <w:p w14:paraId="5510A4EF" w14:textId="093863AC" w:rsidR="001040B6" w:rsidRPr="00E51AA8" w:rsidRDefault="00D6119E" w:rsidP="000321DB">
      <w:pPr>
        <w:numPr>
          <w:ilvl w:val="1"/>
          <w:numId w:val="2"/>
        </w:numPr>
        <w:tabs>
          <w:tab w:val="left" w:pos="274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</w:pPr>
      <w:r w:rsidRPr="00E51AA8">
        <w:t>Revision</w:t>
      </w:r>
      <w:r w:rsidR="0091773F" w:rsidRPr="00E51AA8">
        <w:t>s</w:t>
      </w:r>
      <w:r w:rsidRPr="00E51AA8">
        <w:t xml:space="preserve"> to Nuclear Safety Evaluations or Nuclear</w:t>
      </w:r>
      <w:r w:rsidR="00F77E3C" w:rsidRPr="00E51AA8">
        <w:t xml:space="preserve"> Criticality Safety Evaluations.</w:t>
      </w:r>
    </w:p>
    <w:p w14:paraId="109576DF" w14:textId="77777777" w:rsidR="00414CD3" w:rsidRPr="00E51AA8" w:rsidRDefault="00414CD3" w:rsidP="000321DB">
      <w:pPr>
        <w:pStyle w:val="ListParagraph"/>
      </w:pPr>
    </w:p>
    <w:p w14:paraId="445BCB5D" w14:textId="0159BF10" w:rsidR="00414CD3" w:rsidRPr="00E51AA8" w:rsidRDefault="00414CD3" w:rsidP="000321DB">
      <w:pPr>
        <w:numPr>
          <w:ilvl w:val="1"/>
          <w:numId w:val="2"/>
        </w:numPr>
        <w:tabs>
          <w:tab w:val="left" w:pos="274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</w:pPr>
      <w:r w:rsidRPr="00E51AA8">
        <w:t>Requirements for</w:t>
      </w:r>
      <w:r w:rsidR="00E12EFE" w:rsidRPr="00E51AA8">
        <w:t xml:space="preserve"> MOX Services</w:t>
      </w:r>
      <w:r w:rsidRPr="00E51AA8">
        <w:t xml:space="preserve"> safety committees to review proposed design changes and modifications</w:t>
      </w:r>
      <w:r w:rsidR="00320CE6" w:rsidRPr="00E51AA8">
        <w:t>.</w:t>
      </w:r>
      <w:r w:rsidRPr="00E51AA8">
        <w:t xml:space="preserve"> </w:t>
      </w:r>
    </w:p>
    <w:p w14:paraId="7A9445EE" w14:textId="77777777" w:rsidR="00EB0E8D" w:rsidRPr="00E51AA8" w:rsidRDefault="00EB0E8D" w:rsidP="000321DB"/>
    <w:p w14:paraId="254BA4E3" w14:textId="01FD1AF4" w:rsidR="00E56D17" w:rsidRPr="00E51AA8" w:rsidRDefault="0091773F" w:rsidP="000321DB">
      <w:pPr>
        <w:pStyle w:val="ListParagraph"/>
        <w:widowControl/>
        <w:numPr>
          <w:ilvl w:val="0"/>
          <w:numId w:val="2"/>
        </w:numPr>
        <w:tabs>
          <w:tab w:val="left" w:pos="-136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807" w:hanging="533"/>
      </w:pPr>
      <w:r w:rsidRPr="00E51AA8">
        <w:t xml:space="preserve"> Inspection Guidance.  The inspector should review changes that were made to MOX Services </w:t>
      </w:r>
      <w:r w:rsidR="00FB5F74" w:rsidRPr="00E51AA8">
        <w:t xml:space="preserve">procedures </w:t>
      </w:r>
      <w:r w:rsidRPr="00E51AA8">
        <w:t xml:space="preserve">related to the control of the change process.  MOX Services has defined its Licensing Basis Configuration program in </w:t>
      </w:r>
      <w:r w:rsidR="00FB5F74" w:rsidRPr="00E51AA8">
        <w:t xml:space="preserve">Project </w:t>
      </w:r>
      <w:r w:rsidRPr="00E51AA8">
        <w:t>Procedure</w:t>
      </w:r>
      <w:r w:rsidR="00155FAF" w:rsidRPr="00E51AA8">
        <w:t xml:space="preserve"> (PP)</w:t>
      </w:r>
      <w:r w:rsidRPr="00E51AA8">
        <w:t xml:space="preserve"> 8-6 which is entitled “Licensing Basis Configuration Management</w:t>
      </w:r>
      <w:r w:rsidR="00190DCF" w:rsidRPr="00E51AA8">
        <w:t>.</w:t>
      </w:r>
      <w:r w:rsidRPr="00E51AA8">
        <w:t xml:space="preserve">”  This document discusses the responsibilities of various parties within MOX Services related </w:t>
      </w:r>
      <w:r w:rsidR="00155FAF" w:rsidRPr="00E51AA8">
        <w:t xml:space="preserve">to </w:t>
      </w:r>
      <w:r w:rsidRPr="00E51AA8">
        <w:t>the change process.  The document also refers to PP</w:t>
      </w:r>
      <w:r w:rsidR="001623D9" w:rsidRPr="00E51AA8">
        <w:t xml:space="preserve"> </w:t>
      </w:r>
      <w:r w:rsidRPr="00E51AA8">
        <w:t xml:space="preserve">9-3, </w:t>
      </w:r>
      <w:r w:rsidR="001623D9" w:rsidRPr="00E51AA8">
        <w:t>"D</w:t>
      </w:r>
      <w:r w:rsidRPr="00E51AA8">
        <w:t xml:space="preserve">esign </w:t>
      </w:r>
      <w:r w:rsidR="001623D9" w:rsidRPr="00E51AA8">
        <w:t>C</w:t>
      </w:r>
      <w:r w:rsidRPr="00E51AA8">
        <w:t>ontrol</w:t>
      </w:r>
      <w:r w:rsidR="00190DCF" w:rsidRPr="00E51AA8">
        <w:t>,</w:t>
      </w:r>
      <w:r w:rsidR="001623D9" w:rsidRPr="00E51AA8">
        <w:t>"</w:t>
      </w:r>
      <w:r w:rsidRPr="00E51AA8">
        <w:t xml:space="preserve"> which discusses the process for reviewing design changes prior to the evaluating the change under PP</w:t>
      </w:r>
      <w:r w:rsidR="001623D9" w:rsidRPr="00E51AA8">
        <w:t> </w:t>
      </w:r>
      <w:r w:rsidRPr="00E51AA8">
        <w:t>8</w:t>
      </w:r>
      <w:r w:rsidR="000321DB" w:rsidRPr="00E51AA8">
        <w:noBreakHyphen/>
      </w:r>
      <w:r w:rsidRPr="00E51AA8">
        <w:t xml:space="preserve">6.  </w:t>
      </w:r>
    </w:p>
    <w:p w14:paraId="620161D1" w14:textId="77777777" w:rsidR="00E56D17" w:rsidRPr="00E51AA8" w:rsidRDefault="00E56D17" w:rsidP="00E56D17">
      <w:pPr>
        <w:pStyle w:val="ListParagraph"/>
        <w:widowControl/>
        <w:tabs>
          <w:tab w:val="left" w:pos="-136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807" w:hanging="533"/>
      </w:pPr>
    </w:p>
    <w:p w14:paraId="6A128875" w14:textId="419AD483" w:rsidR="00E56D17" w:rsidRPr="00E51AA8" w:rsidRDefault="00E56D17" w:rsidP="000321DB">
      <w:pPr>
        <w:pStyle w:val="ListParagraph"/>
        <w:widowControl/>
        <w:tabs>
          <w:tab w:val="left" w:pos="-136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807" w:hanging="533"/>
      </w:pPr>
      <w:r w:rsidRPr="00E51AA8">
        <w:tab/>
      </w:r>
      <w:r w:rsidRPr="00E51AA8">
        <w:tab/>
      </w:r>
      <w:r w:rsidR="006B14B2" w:rsidRPr="00E51AA8">
        <w:t xml:space="preserve"> </w:t>
      </w:r>
      <w:r w:rsidR="00364EBB" w:rsidRPr="00E51AA8">
        <w:t xml:space="preserve">MOX Services documents </w:t>
      </w:r>
      <w:r w:rsidR="0091773F" w:rsidRPr="00E51AA8">
        <w:t xml:space="preserve">the evaluation in the change process </w:t>
      </w:r>
      <w:r w:rsidR="00E51B02" w:rsidRPr="00E51AA8">
        <w:t xml:space="preserve">by </w:t>
      </w:r>
      <w:r w:rsidR="0091773F" w:rsidRPr="00E51AA8">
        <w:t xml:space="preserve">using an Applicability Determination Form (ADF).  </w:t>
      </w:r>
      <w:r w:rsidR="001C760D" w:rsidRPr="00E51AA8">
        <w:t xml:space="preserve">The </w:t>
      </w:r>
      <w:r w:rsidR="0091773F" w:rsidRPr="00E51AA8">
        <w:t xml:space="preserve">ADF is used to document the evaluation of the change.  The ADF is also a permanent QA record.  There are two sections of the ADF form.  The first section is the applicability determination which provides a brief summary and reason for the change.  There is a series of questions that are answered by the preparer to determine whether additional screening for LA/ISAS changes are needed.  </w:t>
      </w:r>
    </w:p>
    <w:p w14:paraId="6409E22B" w14:textId="77777777" w:rsidR="00E56D17" w:rsidRPr="00E51AA8" w:rsidRDefault="00E56D17" w:rsidP="000321DB">
      <w:pPr>
        <w:pStyle w:val="ListParagraph"/>
        <w:widowControl/>
        <w:tabs>
          <w:tab w:val="left" w:pos="-136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807" w:hanging="533"/>
      </w:pPr>
    </w:p>
    <w:p w14:paraId="6A367A83" w14:textId="6C8E24C9" w:rsidR="00E56D17" w:rsidRPr="00E51AA8" w:rsidRDefault="00E56D17" w:rsidP="000321DB">
      <w:pPr>
        <w:pStyle w:val="ListParagraph"/>
        <w:widowControl/>
        <w:tabs>
          <w:tab w:val="left" w:pos="-136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807" w:hanging="533"/>
      </w:pPr>
      <w:r w:rsidRPr="00E51AA8">
        <w:tab/>
      </w:r>
      <w:r w:rsidRPr="00E51AA8">
        <w:tab/>
      </w:r>
      <w:r w:rsidR="006B14B2" w:rsidRPr="00E51AA8">
        <w:t xml:space="preserve"> </w:t>
      </w:r>
      <w:r w:rsidR="0091773F" w:rsidRPr="00E51AA8">
        <w:t xml:space="preserve">The second portion of the form is a series of questions related to impacts to the LA or ISAS.  The questions </w:t>
      </w:r>
      <w:r w:rsidR="00155FAF" w:rsidRPr="00E51AA8">
        <w:t xml:space="preserve">should be </w:t>
      </w:r>
      <w:r w:rsidR="0091773F" w:rsidRPr="00E51AA8">
        <w:t xml:space="preserve">consistent with those contained in Chapter 16 of the LA.  If the answer to any of the questions in Section 2 is yes, then a summary evaluation </w:t>
      </w:r>
      <w:r w:rsidR="00155FAF" w:rsidRPr="00E51AA8">
        <w:t xml:space="preserve">should be </w:t>
      </w:r>
      <w:r w:rsidR="0091773F" w:rsidRPr="00E51AA8">
        <w:t xml:space="preserve">written </w:t>
      </w:r>
      <w:r w:rsidR="00155FAF" w:rsidRPr="00E51AA8">
        <w:t xml:space="preserve">and should </w:t>
      </w:r>
      <w:r w:rsidR="0091773F" w:rsidRPr="00E51AA8">
        <w:t xml:space="preserve">contain the changes to LA and ISAS that will be integrated into those documents.  In the event </w:t>
      </w:r>
      <w:r w:rsidR="00155FAF" w:rsidRPr="00E51AA8">
        <w:t xml:space="preserve">that </w:t>
      </w:r>
      <w:r w:rsidR="0091773F" w:rsidRPr="00E51AA8">
        <w:t>a License Amendment is needed, the changes</w:t>
      </w:r>
      <w:r w:rsidR="00155FAF" w:rsidRPr="00E51AA8">
        <w:t xml:space="preserve"> shall</w:t>
      </w:r>
      <w:r w:rsidR="0091773F" w:rsidRPr="00E51AA8">
        <w:t xml:space="preserve"> not be made until approved by the NRC.  The final determination </w:t>
      </w:r>
      <w:r w:rsidR="00155FAF" w:rsidRPr="00E51AA8">
        <w:t xml:space="preserve">should be </w:t>
      </w:r>
      <w:r w:rsidR="0091773F" w:rsidRPr="00E51AA8">
        <w:t xml:space="preserve">signed off by the Licensing Manager.  </w:t>
      </w:r>
      <w:r w:rsidR="00155FAF" w:rsidRPr="00E51AA8">
        <w:t>The inspector should verify that the licensee</w:t>
      </w:r>
      <w:r w:rsidR="006B14B2" w:rsidRPr="00E51AA8">
        <w:t>/</w:t>
      </w:r>
      <w:r w:rsidR="00414CD3" w:rsidRPr="00E51AA8">
        <w:t>Construction Authorization holder</w:t>
      </w:r>
      <w:r w:rsidR="00155FAF" w:rsidRPr="00E51AA8">
        <w:t xml:space="preserve"> has followed their administrative process.</w:t>
      </w:r>
    </w:p>
    <w:p w14:paraId="4706ED33" w14:textId="77777777" w:rsidR="00E56D17" w:rsidRPr="00E51AA8" w:rsidRDefault="00E56D17" w:rsidP="000321DB">
      <w:pPr>
        <w:pStyle w:val="ListParagraph"/>
        <w:widowControl/>
        <w:tabs>
          <w:tab w:val="left" w:pos="-136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807" w:hanging="533"/>
      </w:pPr>
    </w:p>
    <w:p w14:paraId="6FC68FCC" w14:textId="113EA6A2" w:rsidR="0091773F" w:rsidRPr="00E51AA8" w:rsidRDefault="00E56D17" w:rsidP="000321DB">
      <w:pPr>
        <w:pStyle w:val="ListParagraph"/>
        <w:widowControl/>
        <w:tabs>
          <w:tab w:val="left" w:pos="-136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807" w:hanging="533"/>
      </w:pPr>
      <w:r w:rsidRPr="00E51AA8">
        <w:tab/>
      </w:r>
      <w:r w:rsidRPr="00E51AA8">
        <w:tab/>
      </w:r>
      <w:r w:rsidR="006B14B2" w:rsidRPr="00E51AA8">
        <w:t xml:space="preserve"> </w:t>
      </w:r>
      <w:r w:rsidR="0091773F" w:rsidRPr="00E51AA8">
        <w:t xml:space="preserve">The inspectors should </w:t>
      </w:r>
      <w:r w:rsidR="00155FAF" w:rsidRPr="00E51AA8">
        <w:t>ensure</w:t>
      </w:r>
      <w:r w:rsidR="0091773F" w:rsidRPr="00E51AA8">
        <w:t xml:space="preserve"> that the revisions to the procedures related to the change process do not compromise the intent of the change program </w:t>
      </w:r>
      <w:r w:rsidR="00C231BA" w:rsidRPr="00E51AA8">
        <w:t xml:space="preserve">in Chapter 16 of the LA </w:t>
      </w:r>
      <w:r w:rsidR="0091773F" w:rsidRPr="00E51AA8">
        <w:t xml:space="preserve">and are consistent with </w:t>
      </w:r>
      <w:r w:rsidR="00FC473C" w:rsidRPr="00E51AA8">
        <w:t xml:space="preserve">the intent of the </w:t>
      </w:r>
      <w:r w:rsidR="0091773F" w:rsidRPr="00E51AA8">
        <w:t xml:space="preserve">guidance </w:t>
      </w:r>
      <w:r w:rsidR="00FC473C" w:rsidRPr="00E51AA8">
        <w:t xml:space="preserve">provided </w:t>
      </w:r>
      <w:r w:rsidR="0091773F" w:rsidRPr="00E51AA8">
        <w:t xml:space="preserve">in </w:t>
      </w:r>
      <w:r w:rsidR="00147E77" w:rsidRPr="00E51AA8">
        <w:t>Regulatory Guide (</w:t>
      </w:r>
      <w:r w:rsidR="0091773F" w:rsidRPr="00E51AA8">
        <w:t>RG</w:t>
      </w:r>
      <w:r w:rsidR="00147E77" w:rsidRPr="00E51AA8">
        <w:t>)</w:t>
      </w:r>
      <w:r w:rsidR="0091773F" w:rsidRPr="00E51AA8">
        <w:t xml:space="preserve"> 3.74</w:t>
      </w:r>
      <w:r w:rsidR="006C1052" w:rsidRPr="00E51AA8">
        <w:t xml:space="preserve">, </w:t>
      </w:r>
      <w:r w:rsidR="001623D9" w:rsidRPr="00E51AA8">
        <w:t>"</w:t>
      </w:r>
      <w:r w:rsidR="006C1052" w:rsidRPr="00E51AA8">
        <w:t>Guidance for Fuel Cycle Facility Change Process</w:t>
      </w:r>
      <w:r w:rsidR="0091773F" w:rsidRPr="00E51AA8">
        <w:t>.</w:t>
      </w:r>
      <w:r w:rsidR="001623D9" w:rsidRPr="00E51AA8">
        <w:t>"</w:t>
      </w:r>
    </w:p>
    <w:p w14:paraId="7514C1D6" w14:textId="77777777" w:rsidR="004F3222" w:rsidRPr="00E51AA8" w:rsidRDefault="004F3222" w:rsidP="000321DB">
      <w:pPr>
        <w:widowControl/>
        <w:tabs>
          <w:tab w:val="left" w:pos="-136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79DC04CB" w14:textId="77777777" w:rsidR="00EB0E8D" w:rsidRPr="00E51AA8" w:rsidRDefault="00BB3BF0" w:rsidP="000321DB">
      <w:pPr>
        <w:widowControl/>
        <w:tabs>
          <w:tab w:val="left" w:pos="-136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 w:rsidRPr="00E51AA8">
        <w:t>02.02</w:t>
      </w:r>
      <w:r w:rsidR="00EB0E8D" w:rsidRPr="00E51AA8">
        <w:tab/>
      </w:r>
      <w:r w:rsidR="00EB0E8D" w:rsidRPr="00E51AA8">
        <w:rPr>
          <w:u w:val="single"/>
        </w:rPr>
        <w:t>Facility Change Records</w:t>
      </w:r>
    </w:p>
    <w:p w14:paraId="08B0DBD5" w14:textId="77777777" w:rsidR="00EB0E8D" w:rsidRPr="00E51AA8" w:rsidRDefault="00EB0E8D" w:rsidP="000321DB"/>
    <w:p w14:paraId="03EE2611" w14:textId="77777777" w:rsidR="0054054F" w:rsidRPr="00E51AA8" w:rsidRDefault="0091773F" w:rsidP="000321DB">
      <w:pPr>
        <w:pStyle w:val="ListParagraph"/>
        <w:numPr>
          <w:ilvl w:val="0"/>
          <w:numId w:val="3"/>
        </w:numPr>
        <w:ind w:left="807" w:hanging="533"/>
      </w:pPr>
      <w:r w:rsidRPr="00E51AA8">
        <w:t xml:space="preserve">Inspection Requirements.  </w:t>
      </w:r>
    </w:p>
    <w:p w14:paraId="623709AE" w14:textId="77777777" w:rsidR="0054054F" w:rsidRPr="00E51AA8" w:rsidRDefault="0054054F" w:rsidP="000321DB">
      <w:pPr>
        <w:pStyle w:val="ListParagraph"/>
      </w:pPr>
    </w:p>
    <w:p w14:paraId="7B728BA0" w14:textId="77777777" w:rsidR="004A3B74" w:rsidRDefault="00456DB6" w:rsidP="00423BB2">
      <w:pPr>
        <w:pStyle w:val="ListParagraph"/>
        <w:numPr>
          <w:ilvl w:val="0"/>
          <w:numId w:val="5"/>
        </w:numPr>
        <w:ind w:left="1440" w:hanging="634"/>
        <w:sectPr w:rsidR="004A3B74" w:rsidSect="000321DB">
          <w:pgSz w:w="12240" w:h="15840"/>
          <w:pgMar w:top="1440" w:right="1440" w:bottom="1440" w:left="1440" w:header="1440" w:footer="1440" w:gutter="0"/>
          <w:cols w:space="720"/>
          <w:docGrid w:linePitch="360"/>
        </w:sectPr>
      </w:pPr>
      <w:r w:rsidRPr="00E51AA8">
        <w:t>Verify that</w:t>
      </w:r>
      <w:r w:rsidR="00617678" w:rsidRPr="00E51AA8">
        <w:t xml:space="preserve"> MOX Services</w:t>
      </w:r>
      <w:r w:rsidRPr="00E51AA8">
        <w:t xml:space="preserve"> ha</w:t>
      </w:r>
      <w:r w:rsidR="00C231BA" w:rsidRPr="00E51AA8">
        <w:t>s</w:t>
      </w:r>
      <w:r w:rsidRPr="00E51AA8">
        <w:t xml:space="preserve"> </w:t>
      </w:r>
      <w:r w:rsidR="00D6119E" w:rsidRPr="00E51AA8">
        <w:t>maintain</w:t>
      </w:r>
      <w:r w:rsidRPr="00E51AA8">
        <w:t>ed</w:t>
      </w:r>
      <w:r w:rsidR="00D6119E" w:rsidRPr="00E51AA8">
        <w:t xml:space="preserve"> reco</w:t>
      </w:r>
      <w:r w:rsidR="00C231BA" w:rsidRPr="00E51AA8">
        <w:t>rds of any changes made to its</w:t>
      </w:r>
      <w:r w:rsidR="00D6119E" w:rsidRPr="00E51AA8">
        <w:t xml:space="preserve"> facilities </w:t>
      </w:r>
      <w:r w:rsidR="005B5005" w:rsidRPr="00E51AA8">
        <w:t xml:space="preserve">in accordance with </w:t>
      </w:r>
      <w:r w:rsidR="00D6119E" w:rsidRPr="00E51AA8">
        <w:t xml:space="preserve">10 CFR 70.72 until license termination, including a written evaluation that provides the bases for determining that no prior NRC approval under 10 CFR 70.72(c) or (d) is required. </w:t>
      </w:r>
    </w:p>
    <w:p w14:paraId="29C35D1E" w14:textId="7F901D02" w:rsidR="00D6119E" w:rsidRPr="00E51AA8" w:rsidRDefault="00FD3883" w:rsidP="000321DB">
      <w:pPr>
        <w:pStyle w:val="ListParagraph"/>
        <w:numPr>
          <w:ilvl w:val="0"/>
          <w:numId w:val="5"/>
        </w:numPr>
        <w:ind w:left="1440" w:hanging="634"/>
      </w:pPr>
      <w:r w:rsidRPr="00E51AA8">
        <w:lastRenderedPageBreak/>
        <w:t xml:space="preserve">Verify that </w:t>
      </w:r>
      <w:r w:rsidR="00D6119E" w:rsidRPr="00E51AA8">
        <w:t xml:space="preserve">for changes to the LA, </w:t>
      </w:r>
      <w:r w:rsidR="00617678" w:rsidRPr="00E51AA8">
        <w:t xml:space="preserve">MOX Services </w:t>
      </w:r>
      <w:r w:rsidR="00D6119E" w:rsidRPr="00E51AA8">
        <w:t>maintain</w:t>
      </w:r>
      <w:r w:rsidRPr="00E51AA8">
        <w:t>ed</w:t>
      </w:r>
      <w:r w:rsidR="00D6119E" w:rsidRPr="00E51AA8">
        <w:t xml:space="preserve"> records regarding the determination that no license amendment was needed in accordance with Chapter 16 of the LA.</w:t>
      </w:r>
    </w:p>
    <w:p w14:paraId="46D80E7B" w14:textId="77777777" w:rsidR="0091773F" w:rsidRPr="00E51AA8" w:rsidRDefault="0091773F" w:rsidP="000321DB">
      <w:pPr>
        <w:pStyle w:val="ListParagraph"/>
      </w:pPr>
    </w:p>
    <w:p w14:paraId="69B06291" w14:textId="77777777" w:rsidR="0054054F" w:rsidRPr="00E51AA8" w:rsidRDefault="0091773F" w:rsidP="000321DB">
      <w:pPr>
        <w:pStyle w:val="ListParagraph"/>
        <w:widowControl/>
        <w:numPr>
          <w:ilvl w:val="0"/>
          <w:numId w:val="3"/>
        </w:numPr>
        <w:tabs>
          <w:tab w:val="left" w:pos="-136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807" w:hanging="533"/>
      </w:pPr>
      <w:r w:rsidRPr="00E51AA8">
        <w:t xml:space="preserve">Inspection Guidance.  </w:t>
      </w:r>
    </w:p>
    <w:p w14:paraId="2EC2455F" w14:textId="77777777" w:rsidR="0054054F" w:rsidRPr="00E51AA8" w:rsidRDefault="0054054F" w:rsidP="000321DB">
      <w:pPr>
        <w:pStyle w:val="ListParagraph"/>
        <w:widowControl/>
        <w:tabs>
          <w:tab w:val="left" w:pos="-136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6DEC082E" w14:textId="43BF41F6" w:rsidR="00FD3883" w:rsidRPr="00E51AA8" w:rsidRDefault="0091773F" w:rsidP="000321DB">
      <w:pPr>
        <w:pStyle w:val="ListParagraph"/>
        <w:numPr>
          <w:ilvl w:val="1"/>
          <w:numId w:val="2"/>
        </w:numPr>
      </w:pPr>
      <w:r w:rsidRPr="00E51AA8">
        <w:t xml:space="preserve">The inspection staff should select a sample of changes reported by MOX Services as part of the annual update to the LA and ISAS.  The </w:t>
      </w:r>
      <w:r w:rsidR="00993E58" w:rsidRPr="00E51AA8">
        <w:t xml:space="preserve">samples </w:t>
      </w:r>
      <w:r w:rsidRPr="00E51AA8">
        <w:t>selected should include a variety of disciplines and emphasize the changes with a higher degree of safety significance.  The technical disciplines</w:t>
      </w:r>
      <w:r w:rsidR="005B5005" w:rsidRPr="00E51AA8">
        <w:t xml:space="preserve"> may</w:t>
      </w:r>
      <w:r w:rsidRPr="00E51AA8">
        <w:t xml:space="preserve"> include fluid mechanics, </w:t>
      </w:r>
      <w:r w:rsidR="0054054F" w:rsidRPr="00E51AA8">
        <w:t>heating, ventilation, and air conditioning (</w:t>
      </w:r>
      <w:r w:rsidRPr="00E51AA8">
        <w:t>HVAC</w:t>
      </w:r>
      <w:r w:rsidR="0054054F" w:rsidRPr="00E51AA8">
        <w:t>)</w:t>
      </w:r>
      <w:r w:rsidRPr="00E51AA8">
        <w:t xml:space="preserve">, </w:t>
      </w:r>
      <w:r w:rsidR="00993E58" w:rsidRPr="00E51AA8">
        <w:t xml:space="preserve">process </w:t>
      </w:r>
      <w:r w:rsidRPr="00E51AA8">
        <w:t>piping, chemical safety, criticality safety, fire safety, emergency power, structure, load handling, electrical power, the sintering furnace</w:t>
      </w:r>
      <w:r w:rsidR="0054054F" w:rsidRPr="00E51AA8">
        <w:t>,</w:t>
      </w:r>
      <w:r w:rsidRPr="00E51AA8">
        <w:t xml:space="preserve"> and software. </w:t>
      </w:r>
      <w:r w:rsidR="001623D9" w:rsidRPr="00E51AA8">
        <w:t xml:space="preserve"> </w:t>
      </w:r>
      <w:r w:rsidRPr="00E51AA8">
        <w:t xml:space="preserve">The sample should also contain a few ADFs </w:t>
      </w:r>
      <w:r w:rsidR="00FC473C" w:rsidRPr="00E51AA8">
        <w:t xml:space="preserve">in </w:t>
      </w:r>
      <w:r w:rsidRPr="00E51AA8">
        <w:t xml:space="preserve">which </w:t>
      </w:r>
      <w:r w:rsidR="00FC473C" w:rsidRPr="00E51AA8">
        <w:t>the results of the evaluation determined that a</w:t>
      </w:r>
      <w:r w:rsidRPr="00E51AA8">
        <w:t xml:space="preserve"> change to the LA or ISAS</w:t>
      </w:r>
      <w:r w:rsidR="00FC473C" w:rsidRPr="00E51AA8">
        <w:t xml:space="preserve"> was not needed</w:t>
      </w:r>
      <w:r w:rsidRPr="00E51AA8">
        <w:t xml:space="preserve">.  </w:t>
      </w:r>
    </w:p>
    <w:p w14:paraId="1302AF2B" w14:textId="77777777" w:rsidR="00FD3883" w:rsidRPr="00E51AA8" w:rsidRDefault="00FD3883" w:rsidP="000321DB">
      <w:pPr>
        <w:pStyle w:val="ListParagraph"/>
        <w:ind w:left="1440" w:hanging="634"/>
      </w:pPr>
    </w:p>
    <w:p w14:paraId="6906D22B" w14:textId="2003DC27" w:rsidR="00FD3883" w:rsidRPr="00E51AA8" w:rsidRDefault="0091773F" w:rsidP="000321DB">
      <w:pPr>
        <w:pStyle w:val="ListParagraph"/>
        <w:ind w:left="1440"/>
      </w:pPr>
      <w:r w:rsidRPr="00E51AA8">
        <w:t xml:space="preserve">The </w:t>
      </w:r>
      <w:r w:rsidR="0054054F" w:rsidRPr="00E51AA8">
        <w:t xml:space="preserve">inspector </w:t>
      </w:r>
      <w:r w:rsidRPr="00E51AA8">
        <w:t>should evaluate the sampling of ADFs to determine whether the change process outlined</w:t>
      </w:r>
      <w:r w:rsidR="0054054F" w:rsidRPr="00E51AA8">
        <w:t xml:space="preserve"> in</w:t>
      </w:r>
      <w:r w:rsidRPr="00E51AA8">
        <w:t xml:space="preserve"> Chapter 16</w:t>
      </w:r>
      <w:r w:rsidR="0054054F" w:rsidRPr="00E51AA8">
        <w:t xml:space="preserve"> of the license application</w:t>
      </w:r>
      <w:r w:rsidRPr="00E51AA8">
        <w:t xml:space="preserve"> </w:t>
      </w:r>
      <w:r w:rsidR="006B14B2" w:rsidRPr="00E51AA8">
        <w:t>and the requirements of 10 CFR 70.72 are</w:t>
      </w:r>
      <w:r w:rsidRPr="00E51AA8">
        <w:t xml:space="preserve"> functioning as required and whether evaluations were properly screening changes in order to </w:t>
      </w:r>
      <w:r w:rsidR="0054054F" w:rsidRPr="00E51AA8">
        <w:t>en</w:t>
      </w:r>
      <w:r w:rsidRPr="00E51AA8">
        <w:t>sure that the applicants</w:t>
      </w:r>
      <w:r w:rsidR="00712D42">
        <w:t>'</w:t>
      </w:r>
      <w:r w:rsidRPr="00E51AA8">
        <w:t xml:space="preserve"> commitments related to the regulatory requirements of </w:t>
      </w:r>
      <w:r w:rsidR="00A76B8E" w:rsidRPr="00E51AA8">
        <w:t xml:space="preserve">10 CFR </w:t>
      </w:r>
      <w:r w:rsidRPr="00E51AA8">
        <w:t xml:space="preserve">Part 70 have been met.  </w:t>
      </w:r>
    </w:p>
    <w:p w14:paraId="4134E540" w14:textId="77777777" w:rsidR="00EB56A5" w:rsidRPr="00E51AA8" w:rsidRDefault="00EB56A5" w:rsidP="000321DB">
      <w:pPr>
        <w:pStyle w:val="ListParagraph"/>
        <w:ind w:left="1440"/>
      </w:pPr>
    </w:p>
    <w:p w14:paraId="39C21A72" w14:textId="7929F8CA" w:rsidR="00BB2C24" w:rsidRPr="00E51AA8" w:rsidRDefault="008D0144" w:rsidP="000321DB">
      <w:pPr>
        <w:pStyle w:val="ListParagraph"/>
        <w:ind w:left="1440"/>
      </w:pPr>
      <w:r w:rsidRPr="00E51AA8">
        <w:t xml:space="preserve">The inspection staff may </w:t>
      </w:r>
      <w:r w:rsidR="005E1E3C" w:rsidRPr="00E51AA8">
        <w:t xml:space="preserve">elect to </w:t>
      </w:r>
      <w:r w:rsidRPr="00E51AA8">
        <w:t>use</w:t>
      </w:r>
      <w:r w:rsidR="008830E6" w:rsidRPr="00E51AA8">
        <w:t xml:space="preserve"> military standard MIL-STD-105D, Sampling Procedures and Tables for Inspection</w:t>
      </w:r>
      <w:r w:rsidR="004242B6" w:rsidRPr="00E51AA8">
        <w:t xml:space="preserve"> by Attributes</w:t>
      </w:r>
      <w:r w:rsidR="005E1E3C" w:rsidRPr="00E51AA8">
        <w:t>, as</w:t>
      </w:r>
      <w:r w:rsidR="004242B6" w:rsidRPr="00E51AA8">
        <w:t xml:space="preserve"> guidance for selecting the sample size.</w:t>
      </w:r>
      <w:r w:rsidR="006823A9" w:rsidRPr="00E51AA8">
        <w:t xml:space="preserve">  It should be noted that MIL-STD-105D does not consider the relative importance between different </w:t>
      </w:r>
      <w:r w:rsidR="001E2277" w:rsidRPr="00E51AA8">
        <w:t xml:space="preserve">populations.  Using MIL-STD-105D, the following sample sizes </w:t>
      </w:r>
      <w:r w:rsidR="007A2C9E" w:rsidRPr="00E51AA8">
        <w:t xml:space="preserve">for the review of ADF’s </w:t>
      </w:r>
      <w:r w:rsidR="001E2277" w:rsidRPr="00E51AA8">
        <w:t>would be recommended:</w:t>
      </w:r>
      <w:r w:rsidRPr="00E51AA8">
        <w:t xml:space="preserve"> </w:t>
      </w:r>
    </w:p>
    <w:p w14:paraId="63403BC7" w14:textId="77777777" w:rsidR="003B5224" w:rsidRPr="00E51AA8" w:rsidRDefault="003B5224" w:rsidP="000321DB">
      <w:pPr>
        <w:pStyle w:val="ListParagraph"/>
        <w:ind w:left="1440"/>
      </w:pPr>
    </w:p>
    <w:tbl>
      <w:tblPr>
        <w:tblW w:w="0" w:type="auto"/>
        <w:tblInd w:w="20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90"/>
        <w:gridCol w:w="2520"/>
      </w:tblGrid>
      <w:tr w:rsidR="00E51AA8" w:rsidRPr="00E51AA8" w14:paraId="2FEEF8BE" w14:textId="77777777" w:rsidTr="00BB2C24">
        <w:trPr>
          <w:trHeight w:hRule="exact" w:val="480"/>
          <w:tblHeader/>
        </w:trPr>
        <w:tc>
          <w:tcPr>
            <w:tcW w:w="3090" w:type="dxa"/>
            <w:tcBorders>
              <w:top w:val="single" w:sz="7" w:space="0" w:color="000000"/>
              <w:left w:val="single" w:sz="6" w:space="0" w:color="FFFFFF"/>
              <w:bottom w:val="single" w:sz="7" w:space="0" w:color="000000"/>
              <w:right w:val="single" w:sz="6" w:space="0" w:color="FFFFFF"/>
            </w:tcBorders>
            <w:vAlign w:val="bottom"/>
          </w:tcPr>
          <w:p w14:paraId="3BA6FEC1" w14:textId="1B63D1BC" w:rsidR="000172F6" w:rsidRPr="00E51AA8" w:rsidRDefault="007A2C9E" w:rsidP="00BB2C24">
            <w:pPr>
              <w:tabs>
                <w:tab w:val="left" w:pos="240"/>
                <w:tab w:val="left" w:pos="84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</w:tabs>
            </w:pPr>
            <w:r w:rsidRPr="00E51AA8">
              <w:t>Number of Changes</w:t>
            </w:r>
          </w:p>
        </w:tc>
        <w:tc>
          <w:tcPr>
            <w:tcW w:w="2520" w:type="dxa"/>
            <w:tcBorders>
              <w:top w:val="single" w:sz="7" w:space="0" w:color="000000"/>
              <w:left w:val="single" w:sz="6" w:space="0" w:color="FFFFFF"/>
              <w:bottom w:val="single" w:sz="7" w:space="0" w:color="000000"/>
              <w:right w:val="single" w:sz="6" w:space="0" w:color="FFFFFF"/>
            </w:tcBorders>
            <w:vAlign w:val="bottom"/>
          </w:tcPr>
          <w:p w14:paraId="1087FBFF" w14:textId="6DE021C6" w:rsidR="000172F6" w:rsidRPr="00E51AA8" w:rsidRDefault="007A2C9E" w:rsidP="00BB2C24">
            <w:pPr>
              <w:tabs>
                <w:tab w:val="left" w:pos="240"/>
                <w:tab w:val="left" w:pos="84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</w:tabs>
            </w:pPr>
            <w:r w:rsidRPr="00E51AA8">
              <w:t>ADF’s selected</w:t>
            </w:r>
          </w:p>
        </w:tc>
      </w:tr>
      <w:tr w:rsidR="00E51AA8" w:rsidRPr="00E51AA8" w14:paraId="105851EB" w14:textId="77777777" w:rsidTr="00BB2C24">
        <w:trPr>
          <w:trHeight w:hRule="exact" w:val="432"/>
        </w:trPr>
        <w:tc>
          <w:tcPr>
            <w:tcW w:w="3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bottom"/>
          </w:tcPr>
          <w:p w14:paraId="7DC95C2C" w14:textId="77777777" w:rsidR="000172F6" w:rsidRPr="00E51AA8" w:rsidRDefault="000172F6" w:rsidP="00BB2C24">
            <w:pPr>
              <w:tabs>
                <w:tab w:val="left" w:pos="240"/>
                <w:tab w:val="left" w:pos="84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</w:tabs>
            </w:pPr>
            <w:r w:rsidRPr="00E51AA8">
              <w:t>2</w:t>
            </w:r>
            <w:r w:rsidRPr="00E51AA8">
              <w:noBreakHyphen/>
              <w:t>8</w:t>
            </w:r>
          </w:p>
        </w:tc>
        <w:tc>
          <w:tcPr>
            <w:tcW w:w="2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bottom"/>
          </w:tcPr>
          <w:p w14:paraId="30E20B4E" w14:textId="77777777" w:rsidR="000172F6" w:rsidRPr="00E51AA8" w:rsidRDefault="000172F6" w:rsidP="00BB2C24">
            <w:pPr>
              <w:tabs>
                <w:tab w:val="left" w:pos="240"/>
                <w:tab w:val="left" w:pos="84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</w:tabs>
            </w:pPr>
            <w:r w:rsidRPr="00E51AA8">
              <w:t>2</w:t>
            </w:r>
          </w:p>
        </w:tc>
      </w:tr>
      <w:tr w:rsidR="00E51AA8" w:rsidRPr="00E51AA8" w14:paraId="4654E5D3" w14:textId="77777777" w:rsidTr="00BB2C24">
        <w:trPr>
          <w:trHeight w:hRule="exact" w:val="432"/>
        </w:trPr>
        <w:tc>
          <w:tcPr>
            <w:tcW w:w="3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bottom"/>
          </w:tcPr>
          <w:p w14:paraId="274B67BC" w14:textId="77777777" w:rsidR="000172F6" w:rsidRPr="00E51AA8" w:rsidRDefault="000172F6" w:rsidP="00BB2C24">
            <w:pPr>
              <w:tabs>
                <w:tab w:val="left" w:pos="240"/>
                <w:tab w:val="left" w:pos="84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</w:tabs>
            </w:pPr>
            <w:r w:rsidRPr="00E51AA8">
              <w:t>9</w:t>
            </w:r>
            <w:r w:rsidRPr="00E51AA8">
              <w:noBreakHyphen/>
              <w:t>15</w:t>
            </w:r>
          </w:p>
        </w:tc>
        <w:tc>
          <w:tcPr>
            <w:tcW w:w="2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bottom"/>
          </w:tcPr>
          <w:p w14:paraId="12D75617" w14:textId="77777777" w:rsidR="000172F6" w:rsidRPr="00E51AA8" w:rsidRDefault="000172F6" w:rsidP="00BB2C24">
            <w:pPr>
              <w:tabs>
                <w:tab w:val="left" w:pos="240"/>
                <w:tab w:val="left" w:pos="84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</w:tabs>
            </w:pPr>
            <w:r w:rsidRPr="00E51AA8">
              <w:t>3</w:t>
            </w:r>
          </w:p>
        </w:tc>
      </w:tr>
      <w:tr w:rsidR="00E51AA8" w:rsidRPr="00E51AA8" w14:paraId="29B58CE8" w14:textId="77777777" w:rsidTr="00BB2C24">
        <w:trPr>
          <w:trHeight w:hRule="exact" w:val="432"/>
        </w:trPr>
        <w:tc>
          <w:tcPr>
            <w:tcW w:w="3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bottom"/>
          </w:tcPr>
          <w:p w14:paraId="4201B016" w14:textId="77777777" w:rsidR="000172F6" w:rsidRPr="00E51AA8" w:rsidRDefault="000172F6" w:rsidP="00BB2C24">
            <w:pPr>
              <w:tabs>
                <w:tab w:val="left" w:pos="240"/>
                <w:tab w:val="left" w:pos="84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</w:tabs>
            </w:pPr>
            <w:r w:rsidRPr="00E51AA8">
              <w:t>16</w:t>
            </w:r>
            <w:r w:rsidRPr="00E51AA8">
              <w:noBreakHyphen/>
              <w:t>25</w:t>
            </w:r>
          </w:p>
        </w:tc>
        <w:tc>
          <w:tcPr>
            <w:tcW w:w="2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bottom"/>
          </w:tcPr>
          <w:p w14:paraId="55CD0D10" w14:textId="77777777" w:rsidR="000172F6" w:rsidRPr="00E51AA8" w:rsidRDefault="000172F6" w:rsidP="00BB2C24">
            <w:pPr>
              <w:tabs>
                <w:tab w:val="left" w:pos="240"/>
                <w:tab w:val="left" w:pos="84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</w:tabs>
            </w:pPr>
            <w:r w:rsidRPr="00E51AA8">
              <w:t>5</w:t>
            </w:r>
          </w:p>
        </w:tc>
      </w:tr>
      <w:tr w:rsidR="00E51AA8" w:rsidRPr="00E51AA8" w14:paraId="01C467FB" w14:textId="77777777" w:rsidTr="00BB2C24">
        <w:trPr>
          <w:trHeight w:hRule="exact" w:val="432"/>
        </w:trPr>
        <w:tc>
          <w:tcPr>
            <w:tcW w:w="3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bottom"/>
          </w:tcPr>
          <w:p w14:paraId="34EB690A" w14:textId="77777777" w:rsidR="000172F6" w:rsidRPr="00E51AA8" w:rsidRDefault="000172F6" w:rsidP="00BB2C24">
            <w:pPr>
              <w:tabs>
                <w:tab w:val="left" w:pos="240"/>
                <w:tab w:val="left" w:pos="84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</w:tabs>
            </w:pPr>
            <w:r w:rsidRPr="00E51AA8">
              <w:t>26</w:t>
            </w:r>
            <w:r w:rsidRPr="00E51AA8">
              <w:noBreakHyphen/>
              <w:t>50</w:t>
            </w:r>
          </w:p>
        </w:tc>
        <w:tc>
          <w:tcPr>
            <w:tcW w:w="2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bottom"/>
          </w:tcPr>
          <w:p w14:paraId="4629666B" w14:textId="77777777" w:rsidR="000172F6" w:rsidRPr="00E51AA8" w:rsidRDefault="000172F6" w:rsidP="00BB2C24">
            <w:pPr>
              <w:tabs>
                <w:tab w:val="left" w:pos="240"/>
                <w:tab w:val="left" w:pos="84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</w:tabs>
            </w:pPr>
            <w:r w:rsidRPr="00E51AA8">
              <w:t>8</w:t>
            </w:r>
          </w:p>
        </w:tc>
      </w:tr>
      <w:tr w:rsidR="00E51AA8" w:rsidRPr="00E51AA8" w14:paraId="0BED38C8" w14:textId="77777777" w:rsidTr="00BB2C24">
        <w:trPr>
          <w:trHeight w:hRule="exact" w:val="432"/>
        </w:trPr>
        <w:tc>
          <w:tcPr>
            <w:tcW w:w="3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bottom"/>
          </w:tcPr>
          <w:p w14:paraId="66D5AAE0" w14:textId="77777777" w:rsidR="000172F6" w:rsidRPr="00E51AA8" w:rsidRDefault="000172F6" w:rsidP="00BB2C24">
            <w:pPr>
              <w:tabs>
                <w:tab w:val="left" w:pos="240"/>
                <w:tab w:val="left" w:pos="84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</w:tabs>
            </w:pPr>
            <w:r w:rsidRPr="00E51AA8">
              <w:t>51</w:t>
            </w:r>
            <w:r w:rsidRPr="00E51AA8">
              <w:noBreakHyphen/>
              <w:t>90</w:t>
            </w:r>
          </w:p>
        </w:tc>
        <w:tc>
          <w:tcPr>
            <w:tcW w:w="2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bottom"/>
          </w:tcPr>
          <w:p w14:paraId="2E09310A" w14:textId="77777777" w:rsidR="000172F6" w:rsidRPr="00E51AA8" w:rsidRDefault="000172F6" w:rsidP="00BB2C24">
            <w:pPr>
              <w:tabs>
                <w:tab w:val="left" w:pos="240"/>
                <w:tab w:val="left" w:pos="84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</w:tabs>
            </w:pPr>
            <w:r w:rsidRPr="00E51AA8">
              <w:t>13</w:t>
            </w:r>
          </w:p>
        </w:tc>
      </w:tr>
      <w:tr w:rsidR="00E51AA8" w:rsidRPr="00E51AA8" w14:paraId="48CCA6C5" w14:textId="77777777" w:rsidTr="00BB2C24">
        <w:trPr>
          <w:trHeight w:hRule="exact" w:val="432"/>
        </w:trPr>
        <w:tc>
          <w:tcPr>
            <w:tcW w:w="3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bottom"/>
          </w:tcPr>
          <w:p w14:paraId="26A80C73" w14:textId="77777777" w:rsidR="000172F6" w:rsidRPr="00E51AA8" w:rsidRDefault="000172F6" w:rsidP="00BB2C24">
            <w:pPr>
              <w:tabs>
                <w:tab w:val="left" w:pos="240"/>
                <w:tab w:val="left" w:pos="84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</w:tabs>
            </w:pPr>
            <w:r w:rsidRPr="00E51AA8">
              <w:t>91</w:t>
            </w:r>
            <w:r w:rsidRPr="00E51AA8">
              <w:noBreakHyphen/>
              <w:t>150</w:t>
            </w:r>
          </w:p>
        </w:tc>
        <w:tc>
          <w:tcPr>
            <w:tcW w:w="2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bottom"/>
          </w:tcPr>
          <w:p w14:paraId="17F26FAC" w14:textId="77777777" w:rsidR="000172F6" w:rsidRPr="00E51AA8" w:rsidRDefault="000172F6" w:rsidP="00BB2C24">
            <w:pPr>
              <w:tabs>
                <w:tab w:val="left" w:pos="240"/>
                <w:tab w:val="left" w:pos="84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</w:tabs>
            </w:pPr>
            <w:r w:rsidRPr="00E51AA8">
              <w:t>20</w:t>
            </w:r>
          </w:p>
        </w:tc>
      </w:tr>
      <w:tr w:rsidR="00E51AA8" w:rsidRPr="00E51AA8" w14:paraId="6DCDDC87" w14:textId="77777777" w:rsidTr="00BB2C24">
        <w:trPr>
          <w:trHeight w:hRule="exact" w:val="432"/>
        </w:trPr>
        <w:tc>
          <w:tcPr>
            <w:tcW w:w="3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bottom"/>
          </w:tcPr>
          <w:p w14:paraId="6E26BE69" w14:textId="77777777" w:rsidR="000172F6" w:rsidRPr="00E51AA8" w:rsidRDefault="000172F6" w:rsidP="00BB2C24">
            <w:pPr>
              <w:tabs>
                <w:tab w:val="left" w:pos="240"/>
                <w:tab w:val="left" w:pos="84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</w:tabs>
            </w:pPr>
            <w:r w:rsidRPr="00E51AA8">
              <w:t>151</w:t>
            </w:r>
            <w:r w:rsidRPr="00E51AA8">
              <w:noBreakHyphen/>
              <w:t>280</w:t>
            </w:r>
          </w:p>
        </w:tc>
        <w:tc>
          <w:tcPr>
            <w:tcW w:w="2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bottom"/>
          </w:tcPr>
          <w:p w14:paraId="5F63C318" w14:textId="77777777" w:rsidR="000172F6" w:rsidRPr="00E51AA8" w:rsidRDefault="000172F6" w:rsidP="00BB2C24">
            <w:pPr>
              <w:tabs>
                <w:tab w:val="left" w:pos="240"/>
                <w:tab w:val="left" w:pos="84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</w:tabs>
            </w:pPr>
            <w:r w:rsidRPr="00E51AA8">
              <w:t>32</w:t>
            </w:r>
          </w:p>
        </w:tc>
      </w:tr>
      <w:tr w:rsidR="00E51AA8" w:rsidRPr="00E51AA8" w14:paraId="74328147" w14:textId="77777777" w:rsidTr="00BB2C24">
        <w:trPr>
          <w:trHeight w:hRule="exact" w:val="432"/>
        </w:trPr>
        <w:tc>
          <w:tcPr>
            <w:tcW w:w="3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bottom"/>
          </w:tcPr>
          <w:p w14:paraId="0D921B43" w14:textId="77777777" w:rsidR="000172F6" w:rsidRPr="00E51AA8" w:rsidRDefault="000172F6" w:rsidP="00BB2C24">
            <w:pPr>
              <w:tabs>
                <w:tab w:val="left" w:pos="240"/>
                <w:tab w:val="left" w:pos="84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</w:tabs>
            </w:pPr>
            <w:r w:rsidRPr="00E51AA8">
              <w:t>281</w:t>
            </w:r>
            <w:r w:rsidRPr="00E51AA8">
              <w:noBreakHyphen/>
              <w:t>500</w:t>
            </w:r>
          </w:p>
        </w:tc>
        <w:tc>
          <w:tcPr>
            <w:tcW w:w="2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bottom"/>
          </w:tcPr>
          <w:p w14:paraId="392C8254" w14:textId="77777777" w:rsidR="000172F6" w:rsidRPr="00E51AA8" w:rsidRDefault="000172F6" w:rsidP="00BB2C24">
            <w:pPr>
              <w:tabs>
                <w:tab w:val="left" w:pos="240"/>
                <w:tab w:val="left" w:pos="84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</w:tabs>
            </w:pPr>
            <w:r w:rsidRPr="00E51AA8">
              <w:t>50</w:t>
            </w:r>
          </w:p>
        </w:tc>
      </w:tr>
      <w:tr w:rsidR="00E51AA8" w:rsidRPr="00E51AA8" w14:paraId="4A653D20" w14:textId="77777777" w:rsidTr="00BB2C24">
        <w:trPr>
          <w:trHeight w:hRule="exact" w:val="432"/>
        </w:trPr>
        <w:tc>
          <w:tcPr>
            <w:tcW w:w="3090" w:type="dxa"/>
            <w:tcBorders>
              <w:top w:val="single" w:sz="6" w:space="0" w:color="FFFFFF"/>
              <w:left w:val="single" w:sz="6" w:space="0" w:color="FFFFFF"/>
              <w:bottom w:val="single" w:sz="7" w:space="0" w:color="000000"/>
              <w:right w:val="single" w:sz="6" w:space="0" w:color="FFFFFF"/>
            </w:tcBorders>
            <w:vAlign w:val="bottom"/>
          </w:tcPr>
          <w:p w14:paraId="5096675E" w14:textId="77777777" w:rsidR="000172F6" w:rsidRPr="00E51AA8" w:rsidRDefault="000172F6" w:rsidP="00BB2C24">
            <w:pPr>
              <w:tabs>
                <w:tab w:val="left" w:pos="240"/>
                <w:tab w:val="left" w:pos="84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</w:tabs>
            </w:pPr>
            <w:r w:rsidRPr="00E51AA8">
              <w:t>501</w:t>
            </w:r>
            <w:r w:rsidRPr="00E51AA8">
              <w:noBreakHyphen/>
              <w:t>1200</w:t>
            </w:r>
          </w:p>
        </w:tc>
        <w:tc>
          <w:tcPr>
            <w:tcW w:w="2520" w:type="dxa"/>
            <w:tcBorders>
              <w:top w:val="single" w:sz="6" w:space="0" w:color="FFFFFF"/>
              <w:left w:val="single" w:sz="6" w:space="0" w:color="FFFFFF"/>
              <w:bottom w:val="single" w:sz="7" w:space="0" w:color="000000"/>
              <w:right w:val="single" w:sz="6" w:space="0" w:color="FFFFFF"/>
            </w:tcBorders>
            <w:vAlign w:val="bottom"/>
          </w:tcPr>
          <w:p w14:paraId="3508749D" w14:textId="77777777" w:rsidR="000172F6" w:rsidRPr="00E51AA8" w:rsidRDefault="000172F6" w:rsidP="00BB2C24">
            <w:pPr>
              <w:tabs>
                <w:tab w:val="left" w:pos="240"/>
                <w:tab w:val="left" w:pos="84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</w:tabs>
            </w:pPr>
            <w:r w:rsidRPr="00E51AA8">
              <w:t>80</w:t>
            </w:r>
          </w:p>
        </w:tc>
      </w:tr>
    </w:tbl>
    <w:p w14:paraId="28BC2B79" w14:textId="77777777" w:rsidR="004A3B74" w:rsidRDefault="004A3B74" w:rsidP="000321DB">
      <w:pPr>
        <w:ind w:left="1440" w:hanging="634"/>
        <w:sectPr w:rsidR="004A3B74" w:rsidSect="000321DB">
          <w:pgSz w:w="12240" w:h="15840"/>
          <w:pgMar w:top="1440" w:right="1440" w:bottom="1440" w:left="1440" w:header="1440" w:footer="1440" w:gutter="0"/>
          <w:cols w:space="720"/>
          <w:docGrid w:linePitch="360"/>
        </w:sectPr>
      </w:pPr>
    </w:p>
    <w:p w14:paraId="45B9BBC0" w14:textId="74638397" w:rsidR="00FD3883" w:rsidRPr="00E51AA8" w:rsidRDefault="00FD3883" w:rsidP="000321DB">
      <w:pPr>
        <w:ind w:left="1440" w:hanging="634"/>
      </w:pPr>
    </w:p>
    <w:p w14:paraId="077A62A8" w14:textId="4F31BB62" w:rsidR="00D6119E" w:rsidRPr="00E51AA8" w:rsidRDefault="0091773F" w:rsidP="007D0414">
      <w:pPr>
        <w:pStyle w:val="ListParagraph"/>
        <w:numPr>
          <w:ilvl w:val="1"/>
          <w:numId w:val="2"/>
        </w:numPr>
      </w:pPr>
      <w:r w:rsidRPr="00E51AA8">
        <w:t>The inspect</w:t>
      </w:r>
      <w:r w:rsidR="0054054F" w:rsidRPr="00E51AA8">
        <w:t>or</w:t>
      </w:r>
      <w:r w:rsidRPr="00E51AA8">
        <w:t xml:space="preserve"> should evaluate whether any changes identified by MOX Services in the annual updates should have been sent into the NRC for prior approval via an amendment.  </w:t>
      </w:r>
    </w:p>
    <w:p w14:paraId="385D2C66" w14:textId="77777777" w:rsidR="004F3222" w:rsidRPr="00E51AA8" w:rsidRDefault="004F3222" w:rsidP="00D1452A">
      <w:pPr>
        <w:ind w:left="806"/>
      </w:pPr>
    </w:p>
    <w:p w14:paraId="7D276E84" w14:textId="77777777" w:rsidR="00EB0E8D" w:rsidRPr="00E51AA8" w:rsidRDefault="00EB0E8D" w:rsidP="000321DB"/>
    <w:p w14:paraId="6CC7BF17" w14:textId="77777777" w:rsidR="00EB0E8D" w:rsidRPr="00E51AA8" w:rsidRDefault="00EB0E8D" w:rsidP="000321DB">
      <w:pPr>
        <w:widowControl/>
        <w:tabs>
          <w:tab w:val="left" w:pos="-136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 w:rsidRPr="00E51AA8">
        <w:t>88117-0</w:t>
      </w:r>
      <w:r w:rsidR="0091773F" w:rsidRPr="00E51AA8">
        <w:t>3</w:t>
      </w:r>
      <w:r w:rsidRPr="00E51AA8">
        <w:tab/>
        <w:t>RESOURCE ESTIMATE</w:t>
      </w:r>
    </w:p>
    <w:p w14:paraId="45FAC4A0" w14:textId="77777777" w:rsidR="00EB0E8D" w:rsidRPr="00E51AA8" w:rsidRDefault="00EB0E8D" w:rsidP="000321DB">
      <w:pPr>
        <w:widowControl/>
        <w:tabs>
          <w:tab w:val="left" w:pos="-136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4055FDED" w14:textId="17D49B46" w:rsidR="00EB0E8D" w:rsidRPr="00E51AA8" w:rsidRDefault="00EB0E8D" w:rsidP="000321DB">
      <w:pPr>
        <w:widowControl/>
        <w:tabs>
          <w:tab w:val="left" w:pos="-136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 w:rsidRPr="00E51AA8">
        <w:t>Inspection resources necessary to complete this inspection procedure are estimated to be 32</w:t>
      </w:r>
      <w:r w:rsidR="006D76EB" w:rsidRPr="00E51AA8">
        <w:noBreakHyphen/>
      </w:r>
      <w:r w:rsidR="007A2C9E" w:rsidRPr="00E51AA8">
        <w:t>96</w:t>
      </w:r>
      <w:r w:rsidRPr="00E51AA8">
        <w:t xml:space="preserve"> hours of inspection per facility visit.  The basics of this inspection procedure should be conducted commensurate with ongoing construction activities.</w:t>
      </w:r>
    </w:p>
    <w:p w14:paraId="697D100E" w14:textId="77777777" w:rsidR="004F3222" w:rsidRPr="00E51AA8" w:rsidRDefault="004F3222" w:rsidP="000321DB">
      <w:pPr>
        <w:widowControl/>
        <w:tabs>
          <w:tab w:val="left" w:pos="-136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68AFBB75" w14:textId="77777777" w:rsidR="00EB0E8D" w:rsidRDefault="00EB0E8D" w:rsidP="000321DB">
      <w:pPr>
        <w:widowControl/>
        <w:tabs>
          <w:tab w:val="left" w:pos="-136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38B76041" w14:textId="77777777" w:rsidR="00EB0E8D" w:rsidRDefault="00EB0E8D" w:rsidP="000321DB">
      <w:pPr>
        <w:widowControl/>
        <w:tabs>
          <w:tab w:val="left" w:pos="-136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080" w:hanging="1080"/>
      </w:pPr>
      <w:r>
        <w:t>88117-0</w:t>
      </w:r>
      <w:r w:rsidR="0091773F">
        <w:t>4</w:t>
      </w:r>
      <w:r>
        <w:tab/>
        <w:t>REFERENCES</w:t>
      </w:r>
    </w:p>
    <w:p w14:paraId="6DF474E7" w14:textId="77777777" w:rsidR="00EB0E8D" w:rsidRDefault="00EB0E8D" w:rsidP="000321DB">
      <w:pPr>
        <w:widowControl/>
        <w:tabs>
          <w:tab w:val="left" w:pos="-136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5635B335" w14:textId="77777777" w:rsidR="00EB0E8D" w:rsidRDefault="001040B6" w:rsidP="000321DB">
      <w:pPr>
        <w:widowControl/>
        <w:tabs>
          <w:tab w:val="left" w:pos="-136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 w:rsidRPr="00BE22CE">
        <w:t>Regulatory Guide 3.74, “Guidance for Fuel Cycle Change Processes,” dated January 2012</w:t>
      </w:r>
      <w:r w:rsidR="0091773F">
        <w:t>.</w:t>
      </w:r>
    </w:p>
    <w:p w14:paraId="7DDDE277" w14:textId="77777777" w:rsidR="004F3222" w:rsidRDefault="004F3222" w:rsidP="000321DB">
      <w:pPr>
        <w:widowControl/>
        <w:tabs>
          <w:tab w:val="left" w:pos="-136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6DBF89F8" w14:textId="77777777" w:rsidR="0091773F" w:rsidRDefault="0091773F" w:rsidP="000321DB">
      <w:pPr>
        <w:widowControl/>
        <w:tabs>
          <w:tab w:val="left" w:pos="-136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681CE5DA" w14:textId="77777777" w:rsidR="0091773F" w:rsidRPr="00353281" w:rsidRDefault="0091773F" w:rsidP="000321DB">
      <w:r w:rsidRPr="00353281">
        <w:t>88</w:t>
      </w:r>
      <w:r>
        <w:t>117</w:t>
      </w:r>
      <w:r w:rsidRPr="00353281">
        <w:t>-05</w:t>
      </w:r>
      <w:r w:rsidRPr="009A7211">
        <w:tab/>
      </w:r>
      <w:r w:rsidRPr="00353281">
        <w:t>PROCEDURE COMPLETION</w:t>
      </w:r>
    </w:p>
    <w:p w14:paraId="37AAD8A7" w14:textId="77777777" w:rsidR="0091773F" w:rsidRPr="00353281" w:rsidRDefault="0091773F" w:rsidP="000321DB"/>
    <w:p w14:paraId="30464D32" w14:textId="77777777" w:rsidR="0091773F" w:rsidRPr="00353281" w:rsidRDefault="0091773F" w:rsidP="000321DB">
      <w:p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</w:pPr>
      <w:r w:rsidRPr="00353281">
        <w:t xml:space="preserve">Implementation of each applicable inspection requirement will constitute completion of this procedure.  Individual inspection samples and breadth of review will be determined by the inspector based on requirement compliance, </w:t>
      </w:r>
      <w:r>
        <w:t>risk-significance</w:t>
      </w:r>
      <w:r w:rsidRPr="00353281">
        <w:t xml:space="preserve"> of activity, and extent of the activity or records available.</w:t>
      </w:r>
    </w:p>
    <w:p w14:paraId="140C386E" w14:textId="77777777" w:rsidR="0091773F" w:rsidRPr="00353281" w:rsidRDefault="0091773F" w:rsidP="0091773F">
      <w:p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jc w:val="both"/>
      </w:pPr>
    </w:p>
    <w:p w14:paraId="33DD8F74" w14:textId="77777777" w:rsidR="0091773F" w:rsidRPr="00353281" w:rsidRDefault="0091773F" w:rsidP="0091773F">
      <w:p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jc w:val="both"/>
      </w:pPr>
    </w:p>
    <w:p w14:paraId="6FBFD61C" w14:textId="3EDE058E" w:rsidR="00EB0E8D" w:rsidRDefault="0091773F" w:rsidP="00320CE6">
      <w:p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jc w:val="center"/>
      </w:pPr>
      <w:r w:rsidRPr="00353281">
        <w:t>END</w:t>
      </w:r>
    </w:p>
    <w:p w14:paraId="2D2792A8" w14:textId="77777777" w:rsidR="008E476A" w:rsidRDefault="008E476A" w:rsidP="00320CE6">
      <w:p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jc w:val="center"/>
      </w:pPr>
    </w:p>
    <w:p w14:paraId="420DA243" w14:textId="0F951F41" w:rsidR="008E476A" w:rsidRDefault="008E476A">
      <w:pPr>
        <w:widowControl/>
        <w:autoSpaceDE/>
        <w:autoSpaceDN/>
        <w:adjustRightInd/>
        <w:spacing w:after="200" w:line="276" w:lineRule="auto"/>
      </w:pPr>
      <w:r>
        <w:br w:type="page"/>
      </w:r>
    </w:p>
    <w:p w14:paraId="03BF7FAE" w14:textId="77777777" w:rsidR="008E476A" w:rsidRDefault="008E476A" w:rsidP="008E476A">
      <w:p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sectPr w:rsidR="008E476A" w:rsidSect="000321DB">
          <w:pgSz w:w="12240" w:h="15840"/>
          <w:pgMar w:top="1440" w:right="1440" w:bottom="1440" w:left="1440" w:header="1440" w:footer="1440" w:gutter="0"/>
          <w:cols w:space="720"/>
          <w:docGrid w:linePitch="360"/>
        </w:sectPr>
      </w:pPr>
    </w:p>
    <w:p w14:paraId="193AE131" w14:textId="32A215F1" w:rsidR="00DB4527" w:rsidRDefault="00DB4527" w:rsidP="00DB4527">
      <w:p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jc w:val="center"/>
      </w:pPr>
      <w:r>
        <w:lastRenderedPageBreak/>
        <w:t>Attachment 1 - Revision History for IP 88117</w:t>
      </w:r>
    </w:p>
    <w:p w14:paraId="0F30843D" w14:textId="77777777" w:rsidR="00DB4527" w:rsidRDefault="00DB4527" w:rsidP="00DB4527">
      <w:p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jc w:val="center"/>
      </w:pPr>
    </w:p>
    <w:tbl>
      <w:tblPr>
        <w:tblW w:w="5000" w:type="pct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553"/>
        <w:gridCol w:w="1812"/>
        <w:gridCol w:w="4918"/>
        <w:gridCol w:w="1985"/>
        <w:gridCol w:w="2674"/>
      </w:tblGrid>
      <w:tr w:rsidR="00DB4527" w:rsidRPr="00DB4527" w14:paraId="075A5958" w14:textId="77777777" w:rsidTr="00AF1EA8">
        <w:trPr>
          <w:trHeight w:val="1036"/>
        </w:trPr>
        <w:tc>
          <w:tcPr>
            <w:tcW w:w="6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0F4277" w14:textId="77777777" w:rsidR="00DB4527" w:rsidRPr="00DB4527" w:rsidRDefault="00DB4527" w:rsidP="004A3B74">
            <w:pPr>
              <w:tabs>
                <w:tab w:val="left" w:pos="274"/>
                <w:tab w:val="left" w:pos="806"/>
                <w:tab w:val="left" w:pos="1440"/>
                <w:tab w:val="left" w:pos="2074"/>
                <w:tab w:val="left" w:pos="2707"/>
                <w:tab w:val="left" w:pos="3240"/>
                <w:tab w:val="left" w:pos="3874"/>
                <w:tab w:val="left" w:pos="4507"/>
                <w:tab w:val="left" w:pos="5040"/>
                <w:tab w:val="left" w:pos="5674"/>
                <w:tab w:val="left" w:pos="6307"/>
                <w:tab w:val="left" w:pos="7474"/>
                <w:tab w:val="left" w:pos="8107"/>
                <w:tab w:val="left" w:pos="8726"/>
              </w:tabs>
              <w:rPr>
                <w:rFonts w:eastAsia="Times New Roman"/>
              </w:rPr>
            </w:pPr>
            <w:r w:rsidRPr="00DB4527">
              <w:rPr>
                <w:rFonts w:eastAsia="Times New Roman"/>
              </w:rPr>
              <w:t>Commitment Tracking Number</w:t>
            </w:r>
          </w:p>
        </w:tc>
        <w:tc>
          <w:tcPr>
            <w:tcW w:w="7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75BF8D" w14:textId="77777777" w:rsidR="00DB4527" w:rsidRPr="00DB4527" w:rsidRDefault="00DB4527" w:rsidP="004A3B74">
            <w:pPr>
              <w:tabs>
                <w:tab w:val="left" w:pos="274"/>
                <w:tab w:val="left" w:pos="806"/>
                <w:tab w:val="left" w:pos="1440"/>
                <w:tab w:val="left" w:pos="2074"/>
                <w:tab w:val="left" w:pos="2707"/>
                <w:tab w:val="left" w:pos="3240"/>
                <w:tab w:val="left" w:pos="3874"/>
                <w:tab w:val="left" w:pos="4507"/>
                <w:tab w:val="left" w:pos="5040"/>
                <w:tab w:val="left" w:pos="5674"/>
                <w:tab w:val="left" w:pos="6307"/>
                <w:tab w:val="left" w:pos="7474"/>
                <w:tab w:val="left" w:pos="8107"/>
                <w:tab w:val="left" w:pos="8726"/>
              </w:tabs>
              <w:rPr>
                <w:rFonts w:eastAsia="Times New Roman"/>
              </w:rPr>
            </w:pPr>
            <w:r w:rsidRPr="00DB4527">
              <w:rPr>
                <w:rFonts w:eastAsia="Times New Roman"/>
              </w:rPr>
              <w:t>Accession Number</w:t>
            </w:r>
          </w:p>
          <w:p w14:paraId="3C42426A" w14:textId="77777777" w:rsidR="00DB4527" w:rsidRPr="00DB4527" w:rsidRDefault="00DB4527" w:rsidP="004A3B74">
            <w:pPr>
              <w:tabs>
                <w:tab w:val="left" w:pos="274"/>
                <w:tab w:val="left" w:pos="806"/>
                <w:tab w:val="left" w:pos="1440"/>
                <w:tab w:val="left" w:pos="2074"/>
                <w:tab w:val="left" w:pos="2707"/>
                <w:tab w:val="left" w:pos="3240"/>
                <w:tab w:val="left" w:pos="3874"/>
                <w:tab w:val="left" w:pos="4507"/>
                <w:tab w:val="left" w:pos="5040"/>
                <w:tab w:val="left" w:pos="5674"/>
                <w:tab w:val="left" w:pos="6307"/>
                <w:tab w:val="left" w:pos="7474"/>
                <w:tab w:val="left" w:pos="8107"/>
                <w:tab w:val="left" w:pos="8726"/>
              </w:tabs>
              <w:rPr>
                <w:rFonts w:eastAsia="Times New Roman"/>
              </w:rPr>
            </w:pPr>
            <w:r w:rsidRPr="00DB4527">
              <w:rPr>
                <w:rFonts w:eastAsia="Times New Roman"/>
              </w:rPr>
              <w:t>Issue Date</w:t>
            </w:r>
          </w:p>
          <w:p w14:paraId="54FAAD34" w14:textId="77777777" w:rsidR="00DB4527" w:rsidRPr="00DB4527" w:rsidRDefault="00DB4527" w:rsidP="004A3B74">
            <w:pPr>
              <w:tabs>
                <w:tab w:val="left" w:pos="274"/>
                <w:tab w:val="left" w:pos="806"/>
                <w:tab w:val="left" w:pos="1440"/>
                <w:tab w:val="left" w:pos="2074"/>
                <w:tab w:val="left" w:pos="2707"/>
                <w:tab w:val="left" w:pos="3240"/>
                <w:tab w:val="left" w:pos="3874"/>
                <w:tab w:val="left" w:pos="4507"/>
                <w:tab w:val="left" w:pos="5040"/>
                <w:tab w:val="left" w:pos="5674"/>
                <w:tab w:val="left" w:pos="6307"/>
                <w:tab w:val="left" w:pos="7474"/>
                <w:tab w:val="left" w:pos="8107"/>
                <w:tab w:val="left" w:pos="8726"/>
              </w:tabs>
              <w:rPr>
                <w:rFonts w:eastAsia="Times New Roman"/>
              </w:rPr>
            </w:pPr>
            <w:r w:rsidRPr="00DB4527">
              <w:rPr>
                <w:rFonts w:eastAsia="Times New Roman"/>
              </w:rPr>
              <w:t>Change Notice</w:t>
            </w:r>
          </w:p>
        </w:tc>
        <w:tc>
          <w:tcPr>
            <w:tcW w:w="19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D395C8" w14:textId="77777777" w:rsidR="00DB4527" w:rsidRPr="00DB4527" w:rsidRDefault="00DB4527" w:rsidP="004A3B74">
            <w:pPr>
              <w:tabs>
                <w:tab w:val="left" w:pos="274"/>
                <w:tab w:val="left" w:pos="806"/>
                <w:tab w:val="left" w:pos="1440"/>
                <w:tab w:val="left" w:pos="2074"/>
                <w:tab w:val="left" w:pos="2707"/>
                <w:tab w:val="left" w:pos="3240"/>
                <w:tab w:val="left" w:pos="3874"/>
                <w:tab w:val="left" w:pos="4507"/>
                <w:tab w:val="left" w:pos="5040"/>
                <w:tab w:val="left" w:pos="5674"/>
                <w:tab w:val="left" w:pos="6307"/>
                <w:tab w:val="left" w:pos="7474"/>
                <w:tab w:val="left" w:pos="8107"/>
                <w:tab w:val="left" w:pos="8726"/>
              </w:tabs>
              <w:jc w:val="center"/>
              <w:rPr>
                <w:rFonts w:eastAsia="Times New Roman"/>
              </w:rPr>
            </w:pPr>
            <w:r w:rsidRPr="00DB4527">
              <w:rPr>
                <w:rFonts w:eastAsia="Times New Roman"/>
              </w:rPr>
              <w:t>Description of Change</w:t>
            </w:r>
          </w:p>
        </w:tc>
        <w:tc>
          <w:tcPr>
            <w:tcW w:w="76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25F717" w14:textId="77777777" w:rsidR="00DB4527" w:rsidRPr="00DB4527" w:rsidRDefault="00DB4527" w:rsidP="004A3B74">
            <w:pPr>
              <w:tabs>
                <w:tab w:val="left" w:pos="274"/>
                <w:tab w:val="left" w:pos="806"/>
                <w:tab w:val="left" w:pos="1440"/>
                <w:tab w:val="left" w:pos="2074"/>
                <w:tab w:val="left" w:pos="2707"/>
                <w:tab w:val="left" w:pos="3240"/>
                <w:tab w:val="left" w:pos="3874"/>
                <w:tab w:val="left" w:pos="4507"/>
                <w:tab w:val="left" w:pos="5040"/>
                <w:tab w:val="left" w:pos="5674"/>
                <w:tab w:val="left" w:pos="6307"/>
                <w:tab w:val="left" w:pos="7474"/>
                <w:tab w:val="left" w:pos="8107"/>
                <w:tab w:val="left" w:pos="8726"/>
              </w:tabs>
              <w:rPr>
                <w:rFonts w:eastAsia="Times New Roman"/>
              </w:rPr>
            </w:pPr>
            <w:r w:rsidRPr="00DB4527">
              <w:rPr>
                <w:rFonts w:eastAsia="Times New Roman"/>
              </w:rPr>
              <w:t>Description of Training Required and Completion Date</w:t>
            </w:r>
          </w:p>
        </w:tc>
        <w:tc>
          <w:tcPr>
            <w:tcW w:w="1033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851A9A" w14:textId="77777777" w:rsidR="00DB4527" w:rsidRPr="00DB4527" w:rsidRDefault="00DB4527" w:rsidP="004A3B74">
            <w:pPr>
              <w:tabs>
                <w:tab w:val="left" w:pos="274"/>
                <w:tab w:val="left" w:pos="806"/>
                <w:tab w:val="left" w:pos="1440"/>
                <w:tab w:val="left" w:pos="2074"/>
                <w:tab w:val="left" w:pos="2707"/>
                <w:tab w:val="left" w:pos="3240"/>
                <w:tab w:val="left" w:pos="3874"/>
                <w:tab w:val="left" w:pos="4507"/>
                <w:tab w:val="left" w:pos="5040"/>
                <w:tab w:val="left" w:pos="5674"/>
                <w:tab w:val="left" w:pos="6307"/>
                <w:tab w:val="left" w:pos="7474"/>
                <w:tab w:val="left" w:pos="8107"/>
                <w:tab w:val="left" w:pos="8726"/>
              </w:tabs>
              <w:rPr>
                <w:rFonts w:eastAsia="Times New Roman"/>
              </w:rPr>
            </w:pPr>
            <w:r w:rsidRPr="00DB4527">
              <w:rPr>
                <w:rFonts w:eastAsia="Times New Roman"/>
              </w:rPr>
              <w:t>Comment and Feedback Resolution Accession Number (Pre-Decisional, Non-Public)</w:t>
            </w:r>
          </w:p>
        </w:tc>
      </w:tr>
      <w:tr w:rsidR="00DB4527" w:rsidRPr="00DB4527" w14:paraId="3624F882" w14:textId="77777777" w:rsidTr="00AF1EA8">
        <w:trPr>
          <w:trHeight w:hRule="exact" w:val="1097"/>
        </w:trPr>
        <w:tc>
          <w:tcPr>
            <w:tcW w:w="6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223ED1" w14:textId="77777777" w:rsidR="00DB4527" w:rsidRPr="00DB4527" w:rsidRDefault="00DB4527" w:rsidP="004A3B74">
            <w:pPr>
              <w:tabs>
                <w:tab w:val="left" w:pos="274"/>
                <w:tab w:val="left" w:pos="806"/>
                <w:tab w:val="left" w:pos="1440"/>
                <w:tab w:val="left" w:pos="2074"/>
                <w:tab w:val="left" w:pos="2707"/>
                <w:tab w:val="left" w:pos="3240"/>
                <w:tab w:val="left" w:pos="3874"/>
                <w:tab w:val="left" w:pos="4507"/>
                <w:tab w:val="left" w:pos="5040"/>
                <w:tab w:val="left" w:pos="5674"/>
                <w:tab w:val="left" w:pos="6307"/>
                <w:tab w:val="left" w:pos="7474"/>
                <w:tab w:val="left" w:pos="8107"/>
                <w:tab w:val="left" w:pos="8726"/>
              </w:tabs>
              <w:rPr>
                <w:rFonts w:eastAsia="Times New Roman"/>
              </w:rPr>
            </w:pPr>
            <w:r w:rsidRPr="00DB4527">
              <w:rPr>
                <w:rFonts w:eastAsia="Times New Roman"/>
              </w:rPr>
              <w:t>N/A</w:t>
            </w:r>
          </w:p>
        </w:tc>
        <w:tc>
          <w:tcPr>
            <w:tcW w:w="7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4CC075" w14:textId="05AB6A8A" w:rsidR="00DB4527" w:rsidRDefault="00DB4527" w:rsidP="004A3B74">
            <w:pPr>
              <w:tabs>
                <w:tab w:val="left" w:pos="274"/>
                <w:tab w:val="left" w:pos="806"/>
                <w:tab w:val="left" w:pos="1440"/>
                <w:tab w:val="left" w:pos="2074"/>
                <w:tab w:val="left" w:pos="2707"/>
                <w:tab w:val="left" w:pos="3240"/>
                <w:tab w:val="left" w:pos="3874"/>
                <w:tab w:val="left" w:pos="4507"/>
                <w:tab w:val="left" w:pos="5040"/>
                <w:tab w:val="left" w:pos="5674"/>
                <w:tab w:val="left" w:pos="6307"/>
                <w:tab w:val="left" w:pos="7474"/>
                <w:tab w:val="left" w:pos="8107"/>
                <w:tab w:val="left" w:pos="8726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>ML</w:t>
            </w:r>
            <w:r w:rsidR="004A3B74">
              <w:rPr>
                <w:rFonts w:eastAsia="Times New Roman"/>
              </w:rPr>
              <w:t>16173A352</w:t>
            </w:r>
          </w:p>
          <w:p w14:paraId="5D512291" w14:textId="2C8B0CAA" w:rsidR="00DB4527" w:rsidRDefault="004A3B74" w:rsidP="004A3B74">
            <w:pPr>
              <w:tabs>
                <w:tab w:val="left" w:pos="274"/>
                <w:tab w:val="left" w:pos="806"/>
                <w:tab w:val="left" w:pos="1440"/>
                <w:tab w:val="left" w:pos="2074"/>
                <w:tab w:val="left" w:pos="2707"/>
                <w:tab w:val="left" w:pos="3240"/>
                <w:tab w:val="left" w:pos="3874"/>
                <w:tab w:val="left" w:pos="4507"/>
                <w:tab w:val="left" w:pos="5040"/>
                <w:tab w:val="left" w:pos="5674"/>
                <w:tab w:val="left" w:pos="6307"/>
                <w:tab w:val="left" w:pos="7474"/>
                <w:tab w:val="left" w:pos="8107"/>
                <w:tab w:val="left" w:pos="8726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>09/20/16</w:t>
            </w:r>
          </w:p>
          <w:p w14:paraId="58CE3116" w14:textId="15A05568" w:rsidR="00DB4527" w:rsidRPr="00DB4527" w:rsidRDefault="00DB4527" w:rsidP="004A3B74">
            <w:pPr>
              <w:tabs>
                <w:tab w:val="left" w:pos="274"/>
                <w:tab w:val="left" w:pos="806"/>
                <w:tab w:val="left" w:pos="1440"/>
                <w:tab w:val="left" w:pos="2074"/>
                <w:tab w:val="left" w:pos="2707"/>
                <w:tab w:val="left" w:pos="3240"/>
                <w:tab w:val="left" w:pos="3874"/>
                <w:tab w:val="left" w:pos="4507"/>
                <w:tab w:val="left" w:pos="5040"/>
                <w:tab w:val="left" w:pos="5674"/>
                <w:tab w:val="left" w:pos="6307"/>
                <w:tab w:val="left" w:pos="7474"/>
                <w:tab w:val="left" w:pos="8107"/>
                <w:tab w:val="left" w:pos="8726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CN </w:t>
            </w:r>
            <w:r w:rsidR="004A3B74">
              <w:rPr>
                <w:rFonts w:eastAsia="Times New Roman"/>
              </w:rPr>
              <w:t>16-023</w:t>
            </w:r>
          </w:p>
        </w:tc>
        <w:tc>
          <w:tcPr>
            <w:tcW w:w="19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3E070F" w14:textId="7F7BA10D" w:rsidR="00DB4527" w:rsidRPr="00DB4527" w:rsidRDefault="004A3B74" w:rsidP="004A3B74">
            <w:pPr>
              <w:tabs>
                <w:tab w:val="left" w:pos="274"/>
                <w:tab w:val="left" w:pos="806"/>
                <w:tab w:val="left" w:pos="1440"/>
                <w:tab w:val="left" w:pos="2074"/>
                <w:tab w:val="left" w:pos="2707"/>
                <w:tab w:val="left" w:pos="3240"/>
                <w:tab w:val="left" w:pos="3874"/>
                <w:tab w:val="left" w:pos="4507"/>
                <w:tab w:val="left" w:pos="5040"/>
                <w:tab w:val="left" w:pos="5674"/>
                <w:tab w:val="left" w:pos="6307"/>
                <w:tab w:val="left" w:pos="7474"/>
                <w:tab w:val="left" w:pos="8107"/>
                <w:tab w:val="left" w:pos="8726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>Initial</w:t>
            </w:r>
            <w:r w:rsidR="00AF1EA8">
              <w:rPr>
                <w:rFonts w:eastAsia="Times New Roman"/>
              </w:rPr>
              <w:t xml:space="preserve"> issuance.</w:t>
            </w:r>
            <w:r w:rsidR="00DB4527" w:rsidRPr="00DB4527">
              <w:rPr>
                <w:rFonts w:eastAsia="Times New Roman"/>
              </w:rPr>
              <w:t xml:space="preserve">  </w:t>
            </w:r>
            <w:r>
              <w:rPr>
                <w:rFonts w:eastAsia="Times New Roman"/>
              </w:rPr>
              <w:t>Researched commitments for the last four years and found none.</w:t>
            </w:r>
          </w:p>
        </w:tc>
        <w:tc>
          <w:tcPr>
            <w:tcW w:w="76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A1C422" w14:textId="77777777" w:rsidR="00DB4527" w:rsidRPr="00DB4527" w:rsidRDefault="00DB4527" w:rsidP="004A3B74">
            <w:pPr>
              <w:tabs>
                <w:tab w:val="left" w:pos="274"/>
                <w:tab w:val="left" w:pos="806"/>
                <w:tab w:val="left" w:pos="1440"/>
                <w:tab w:val="left" w:pos="2074"/>
                <w:tab w:val="left" w:pos="2707"/>
                <w:tab w:val="left" w:pos="3240"/>
                <w:tab w:val="left" w:pos="3874"/>
                <w:tab w:val="left" w:pos="4507"/>
                <w:tab w:val="left" w:pos="5040"/>
                <w:tab w:val="left" w:pos="5674"/>
                <w:tab w:val="left" w:pos="6307"/>
                <w:tab w:val="left" w:pos="7474"/>
                <w:tab w:val="left" w:pos="8107"/>
                <w:tab w:val="left" w:pos="8726"/>
              </w:tabs>
              <w:rPr>
                <w:rFonts w:eastAsia="Times New Roman"/>
              </w:rPr>
            </w:pPr>
            <w:r w:rsidRPr="00DB4527">
              <w:rPr>
                <w:rFonts w:eastAsia="Times New Roman"/>
              </w:rPr>
              <w:t>No</w:t>
            </w:r>
          </w:p>
        </w:tc>
        <w:tc>
          <w:tcPr>
            <w:tcW w:w="1033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EE2597" w14:textId="45808042" w:rsidR="00DB4527" w:rsidRPr="00DB4527" w:rsidRDefault="00156F25" w:rsidP="004A3B74">
            <w:pPr>
              <w:tabs>
                <w:tab w:val="left" w:pos="274"/>
                <w:tab w:val="left" w:pos="806"/>
                <w:tab w:val="left" w:pos="1440"/>
                <w:tab w:val="left" w:pos="2074"/>
                <w:tab w:val="left" w:pos="2707"/>
                <w:tab w:val="left" w:pos="3240"/>
                <w:tab w:val="left" w:pos="3874"/>
                <w:tab w:val="left" w:pos="4507"/>
                <w:tab w:val="left" w:pos="5040"/>
                <w:tab w:val="left" w:pos="5674"/>
                <w:tab w:val="left" w:pos="6307"/>
                <w:tab w:val="left" w:pos="7474"/>
                <w:tab w:val="left" w:pos="8107"/>
                <w:tab w:val="left" w:pos="8726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>N/A</w:t>
            </w:r>
          </w:p>
        </w:tc>
      </w:tr>
      <w:tr w:rsidR="00DB4527" w:rsidRPr="00DB4527" w14:paraId="6710AEDF" w14:textId="77777777" w:rsidTr="00AF1EA8">
        <w:trPr>
          <w:trHeight w:val="432"/>
        </w:trPr>
        <w:tc>
          <w:tcPr>
            <w:tcW w:w="6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5E6739" w14:textId="0CA7FAE2" w:rsidR="00DB4527" w:rsidRPr="00DB4527" w:rsidRDefault="00DB4527" w:rsidP="00DB4527">
            <w:pPr>
              <w:tabs>
                <w:tab w:val="left" w:pos="274"/>
                <w:tab w:val="left" w:pos="806"/>
                <w:tab w:val="left" w:pos="1440"/>
                <w:tab w:val="left" w:pos="2074"/>
                <w:tab w:val="left" w:pos="2707"/>
                <w:tab w:val="left" w:pos="3240"/>
                <w:tab w:val="left" w:pos="3874"/>
                <w:tab w:val="left" w:pos="4507"/>
                <w:tab w:val="left" w:pos="5040"/>
                <w:tab w:val="left" w:pos="5674"/>
                <w:tab w:val="left" w:pos="6307"/>
                <w:tab w:val="left" w:pos="7474"/>
                <w:tab w:val="left" w:pos="8107"/>
                <w:tab w:val="left" w:pos="8726"/>
              </w:tabs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BFD351E" w14:textId="25738B70" w:rsidR="00DB4527" w:rsidRPr="00DB4527" w:rsidRDefault="00DB4527" w:rsidP="00DB4527">
            <w:pPr>
              <w:tabs>
                <w:tab w:val="left" w:pos="274"/>
                <w:tab w:val="left" w:pos="806"/>
                <w:tab w:val="left" w:pos="1440"/>
                <w:tab w:val="left" w:pos="2074"/>
                <w:tab w:val="left" w:pos="2707"/>
                <w:tab w:val="left" w:pos="3240"/>
                <w:tab w:val="left" w:pos="3874"/>
                <w:tab w:val="left" w:pos="4507"/>
                <w:tab w:val="left" w:pos="5040"/>
                <w:tab w:val="left" w:pos="5674"/>
                <w:tab w:val="left" w:pos="6307"/>
                <w:tab w:val="left" w:pos="7474"/>
                <w:tab w:val="left" w:pos="8107"/>
                <w:tab w:val="left" w:pos="8726"/>
              </w:tabs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EB91CB" w14:textId="7F6D76CD" w:rsidR="00DB4527" w:rsidRPr="00DB4527" w:rsidRDefault="00DB4527" w:rsidP="00DB4527">
            <w:pPr>
              <w:tabs>
                <w:tab w:val="left" w:pos="274"/>
                <w:tab w:val="left" w:pos="806"/>
                <w:tab w:val="left" w:pos="1440"/>
                <w:tab w:val="left" w:pos="2074"/>
                <w:tab w:val="left" w:pos="2707"/>
                <w:tab w:val="left" w:pos="3240"/>
                <w:tab w:val="left" w:pos="3874"/>
                <w:tab w:val="left" w:pos="4507"/>
                <w:tab w:val="left" w:pos="5040"/>
                <w:tab w:val="left" w:pos="5674"/>
                <w:tab w:val="left" w:pos="6307"/>
                <w:tab w:val="left" w:pos="7474"/>
                <w:tab w:val="left" w:pos="8107"/>
                <w:tab w:val="left" w:pos="8726"/>
              </w:tabs>
              <w:rPr>
                <w:rFonts w:eastAsia="Times New Roman"/>
              </w:rPr>
            </w:pPr>
          </w:p>
        </w:tc>
        <w:tc>
          <w:tcPr>
            <w:tcW w:w="76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45070A" w14:textId="6056DD1C" w:rsidR="00DB4527" w:rsidRPr="00DB4527" w:rsidRDefault="00DB4527" w:rsidP="00DB4527">
            <w:pPr>
              <w:tabs>
                <w:tab w:val="left" w:pos="274"/>
                <w:tab w:val="left" w:pos="806"/>
                <w:tab w:val="left" w:pos="1440"/>
                <w:tab w:val="left" w:pos="2074"/>
                <w:tab w:val="left" w:pos="2707"/>
                <w:tab w:val="left" w:pos="3240"/>
                <w:tab w:val="left" w:pos="3874"/>
                <w:tab w:val="left" w:pos="4507"/>
                <w:tab w:val="left" w:pos="5040"/>
                <w:tab w:val="left" w:pos="5674"/>
                <w:tab w:val="left" w:pos="6307"/>
                <w:tab w:val="left" w:pos="7474"/>
                <w:tab w:val="left" w:pos="8107"/>
                <w:tab w:val="left" w:pos="8726"/>
              </w:tabs>
              <w:rPr>
                <w:rFonts w:eastAsia="Times New Roman"/>
              </w:rPr>
            </w:pPr>
          </w:p>
        </w:tc>
        <w:tc>
          <w:tcPr>
            <w:tcW w:w="1033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2BF2DC" w14:textId="77777777" w:rsidR="00DB4527" w:rsidRPr="00DB4527" w:rsidRDefault="00DB4527" w:rsidP="00DB4527">
            <w:pPr>
              <w:tabs>
                <w:tab w:val="left" w:pos="274"/>
                <w:tab w:val="left" w:pos="806"/>
                <w:tab w:val="left" w:pos="1440"/>
                <w:tab w:val="left" w:pos="2074"/>
                <w:tab w:val="left" w:pos="2707"/>
                <w:tab w:val="left" w:pos="3240"/>
                <w:tab w:val="left" w:pos="3874"/>
                <w:tab w:val="left" w:pos="4507"/>
                <w:tab w:val="left" w:pos="5040"/>
                <w:tab w:val="left" w:pos="5674"/>
                <w:tab w:val="left" w:pos="6307"/>
                <w:tab w:val="left" w:pos="7474"/>
                <w:tab w:val="left" w:pos="8107"/>
                <w:tab w:val="left" w:pos="8726"/>
              </w:tabs>
              <w:rPr>
                <w:rFonts w:eastAsia="Times New Roman"/>
              </w:rPr>
            </w:pPr>
          </w:p>
        </w:tc>
      </w:tr>
    </w:tbl>
    <w:p w14:paraId="534DC8CA" w14:textId="77777777" w:rsidR="00DB4527" w:rsidRPr="00EB0E8D" w:rsidRDefault="00DB4527" w:rsidP="00DB4527">
      <w:p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jc w:val="center"/>
      </w:pPr>
    </w:p>
    <w:sectPr w:rsidR="00DB4527" w:rsidRPr="00EB0E8D" w:rsidSect="00DB4527">
      <w:footerReference w:type="default" r:id="rId9"/>
      <w:pgSz w:w="15840" w:h="12240" w:orient="landscape"/>
      <w:pgMar w:top="1440" w:right="1440" w:bottom="1440" w:left="1440" w:header="1440" w:footer="144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E95F3B" w14:textId="77777777" w:rsidR="00D42104" w:rsidRDefault="00D42104">
      <w:r>
        <w:separator/>
      </w:r>
    </w:p>
  </w:endnote>
  <w:endnote w:type="continuationSeparator" w:id="0">
    <w:p w14:paraId="5F070BC9" w14:textId="77777777" w:rsidR="00D42104" w:rsidRDefault="00D42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Zurich Cn BT">
    <w:altName w:val="Arial Narrow"/>
    <w:charset w:val="00"/>
    <w:family w:val="swiss"/>
    <w:pitch w:val="variable"/>
    <w:sig w:usb0="00000001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93" w:csb1="00000000"/>
  </w:font>
  <w:font w:name="Mona Lisa Recut">
    <w:altName w:val="Mangal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43FEB2" w14:textId="328969CB" w:rsidR="00F70FB3" w:rsidRPr="00AA05F8" w:rsidRDefault="00F70FB3" w:rsidP="004A3B74">
    <w:pPr>
      <w:tabs>
        <w:tab w:val="center" w:pos="5040"/>
        <w:tab w:val="right" w:pos="9360"/>
      </w:tabs>
    </w:pPr>
    <w:r>
      <w:t xml:space="preserve">Issue Date:  </w:t>
    </w:r>
    <w:r w:rsidR="004A3B74">
      <w:t>09/20/16</w:t>
    </w:r>
    <w:r w:rsidRPr="00AA05F8">
      <w:tab/>
    </w:r>
    <w:r w:rsidRPr="00AA05F8">
      <w:rPr>
        <w:rStyle w:val="PageNumber"/>
      </w:rPr>
      <w:fldChar w:fldCharType="begin"/>
    </w:r>
    <w:r w:rsidRPr="00AA05F8">
      <w:rPr>
        <w:rStyle w:val="PageNumber"/>
      </w:rPr>
      <w:instrText xml:space="preserve"> PAGE </w:instrText>
    </w:r>
    <w:r w:rsidRPr="00AA05F8">
      <w:rPr>
        <w:rStyle w:val="PageNumber"/>
      </w:rPr>
      <w:fldChar w:fldCharType="separate"/>
    </w:r>
    <w:r w:rsidR="004A3B74">
      <w:rPr>
        <w:rStyle w:val="PageNumber"/>
        <w:noProof/>
      </w:rPr>
      <w:t>1</w:t>
    </w:r>
    <w:r w:rsidRPr="00AA05F8">
      <w:rPr>
        <w:rStyle w:val="PageNumber"/>
      </w:rPr>
      <w:fldChar w:fldCharType="end"/>
    </w:r>
    <w:r w:rsidRPr="00AA05F8">
      <w:tab/>
      <w:t>88</w:t>
    </w:r>
    <w:r>
      <w:t>117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B4BE05" w14:textId="0982259C" w:rsidR="00F70FB3" w:rsidRPr="00DB4527" w:rsidRDefault="00F70FB3" w:rsidP="008E476A">
    <w:pPr>
      <w:pStyle w:val="Footer"/>
    </w:pPr>
    <w:r>
      <w:t xml:space="preserve">Issue Date:  </w:t>
    </w:r>
    <w:r w:rsidR="004A3B74">
      <w:t>09/20/16</w:t>
    </w:r>
    <w:r w:rsidRPr="00DB4527">
      <w:ptab w:relativeTo="margin" w:alignment="center" w:leader="none"/>
    </w:r>
    <w:r>
      <w:t>Att-</w:t>
    </w:r>
    <w:r w:rsidRPr="00DB4527">
      <w:fldChar w:fldCharType="begin"/>
    </w:r>
    <w:r w:rsidRPr="00DB4527">
      <w:instrText xml:space="preserve"> PAGE   \* MERGEFORMAT </w:instrText>
    </w:r>
    <w:r w:rsidRPr="00DB4527">
      <w:fldChar w:fldCharType="separate"/>
    </w:r>
    <w:r w:rsidR="004A3B74">
      <w:rPr>
        <w:noProof/>
      </w:rPr>
      <w:t>1</w:t>
    </w:r>
    <w:r w:rsidRPr="00DB4527">
      <w:rPr>
        <w:noProof/>
      </w:rPr>
      <w:fldChar w:fldCharType="end"/>
    </w:r>
    <w:r w:rsidRPr="00DB4527">
      <w:ptab w:relativeTo="margin" w:alignment="right" w:leader="none"/>
    </w:r>
    <w:r>
      <w:t>88117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D1D9C2" w14:textId="77777777" w:rsidR="00D42104" w:rsidRDefault="00D42104">
      <w:r>
        <w:separator/>
      </w:r>
    </w:p>
  </w:footnote>
  <w:footnote w:type="continuationSeparator" w:id="0">
    <w:p w14:paraId="20B8D915" w14:textId="77777777" w:rsidR="00D42104" w:rsidRDefault="00D421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AF6BC9"/>
    <w:multiLevelType w:val="hybridMultilevel"/>
    <w:tmpl w:val="72DCF17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AA7DD4"/>
    <w:multiLevelType w:val="multilevel"/>
    <w:tmpl w:val="6E703688"/>
    <w:lvl w:ilvl="0">
      <w:start w:val="1"/>
      <w:numFmt w:val="lowerLetter"/>
      <w:lvlText w:val="%1."/>
      <w:lvlJc w:val="left"/>
      <w:pPr>
        <w:tabs>
          <w:tab w:val="num" w:pos="806"/>
        </w:tabs>
        <w:ind w:left="806" w:hanging="532"/>
      </w:pPr>
      <w:rPr>
        <w:rFonts w:ascii="Arial" w:hAnsi="Arial" w:hint="default"/>
        <w:b w:val="0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634"/>
      </w:pPr>
      <w:rPr>
        <w:rFonts w:ascii="Arial" w:hAnsi="Arial" w:hint="default"/>
        <w:b w:val="0"/>
        <w:i w:val="0"/>
        <w:sz w:val="22"/>
        <w:szCs w:val="22"/>
      </w:rPr>
    </w:lvl>
    <w:lvl w:ilvl="2">
      <w:start w:val="1"/>
      <w:numFmt w:val="lowerLetter"/>
      <w:lvlText w:val="(%3)"/>
      <w:lvlJc w:val="left"/>
      <w:pPr>
        <w:tabs>
          <w:tab w:val="num" w:pos="2074"/>
        </w:tabs>
        <w:ind w:left="2074" w:hanging="634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2707"/>
        </w:tabs>
        <w:ind w:left="2707" w:hanging="633"/>
      </w:pPr>
      <w:rPr>
        <w:rFonts w:ascii="Arial" w:hAnsi="Arial" w:hint="default"/>
        <w:b w:val="0"/>
        <w:i w:val="0"/>
        <w:sz w:val="24"/>
        <w:szCs w:val="24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0080"/>
        </w:tabs>
        <w:ind w:left="10080" w:hanging="4320"/>
      </w:pPr>
      <w:rPr>
        <w:rFonts w:hint="default"/>
      </w:rPr>
    </w:lvl>
  </w:abstractNum>
  <w:abstractNum w:abstractNumId="2" w15:restartNumberingAfterBreak="0">
    <w:nsid w:val="648760F4"/>
    <w:multiLevelType w:val="hybridMultilevel"/>
    <w:tmpl w:val="906279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E95A19"/>
    <w:multiLevelType w:val="hybridMultilevel"/>
    <w:tmpl w:val="777423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5B57E1"/>
    <w:multiLevelType w:val="multilevel"/>
    <w:tmpl w:val="1B2E2A3A"/>
    <w:lvl w:ilvl="0">
      <w:start w:val="1"/>
      <w:numFmt w:val="decimalZero"/>
      <w:lvlText w:val="%1"/>
      <w:lvlJc w:val="left"/>
      <w:pPr>
        <w:ind w:left="720" w:hanging="720"/>
      </w:pPr>
      <w:rPr>
        <w:rFonts w:ascii="Zurich Cn BT" w:hAnsi="Zurich Cn BT" w:cs="Zurich Cn BT" w:hint="default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Zurich Cn BT" w:hAnsi="Zurich Cn BT" w:cs="Zurich Cn BT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Zurich Cn BT" w:hAnsi="Zurich Cn BT" w:cs="Zurich Cn BT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ascii="Zurich Cn BT" w:hAnsi="Zurich Cn BT" w:cs="Zurich Cn BT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Zurich Cn BT" w:hAnsi="Zurich Cn BT" w:cs="Zurich Cn BT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Zurich Cn BT" w:hAnsi="Zurich Cn BT" w:cs="Zurich Cn BT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Zurich Cn BT" w:hAnsi="Zurich Cn BT" w:cs="Zurich Cn BT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Zurich Cn BT" w:hAnsi="Zurich Cn BT" w:cs="Zurich Cn BT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E8D"/>
    <w:rsid w:val="000172F6"/>
    <w:rsid w:val="000321DB"/>
    <w:rsid w:val="000B4F26"/>
    <w:rsid w:val="000E760B"/>
    <w:rsid w:val="001040B6"/>
    <w:rsid w:val="001075B1"/>
    <w:rsid w:val="001114AB"/>
    <w:rsid w:val="00132E56"/>
    <w:rsid w:val="00147E77"/>
    <w:rsid w:val="00151BD7"/>
    <w:rsid w:val="00155FAF"/>
    <w:rsid w:val="00156F25"/>
    <w:rsid w:val="001623D9"/>
    <w:rsid w:val="00174A89"/>
    <w:rsid w:val="00190DCF"/>
    <w:rsid w:val="001915BD"/>
    <w:rsid w:val="00193233"/>
    <w:rsid w:val="001C377C"/>
    <w:rsid w:val="001C760D"/>
    <w:rsid w:val="001E2277"/>
    <w:rsid w:val="00290EBC"/>
    <w:rsid w:val="002C0971"/>
    <w:rsid w:val="002D4C34"/>
    <w:rsid w:val="002D716A"/>
    <w:rsid w:val="002E62FA"/>
    <w:rsid w:val="003162C6"/>
    <w:rsid w:val="00320CE6"/>
    <w:rsid w:val="00364EBB"/>
    <w:rsid w:val="003B5224"/>
    <w:rsid w:val="00414CD3"/>
    <w:rsid w:val="004242B6"/>
    <w:rsid w:val="00456DB6"/>
    <w:rsid w:val="00492D0C"/>
    <w:rsid w:val="004A3B74"/>
    <w:rsid w:val="004C4B9A"/>
    <w:rsid w:val="004F3222"/>
    <w:rsid w:val="004F7DF3"/>
    <w:rsid w:val="0054054F"/>
    <w:rsid w:val="005B5005"/>
    <w:rsid w:val="005C1557"/>
    <w:rsid w:val="005C4558"/>
    <w:rsid w:val="005E1E3C"/>
    <w:rsid w:val="00617678"/>
    <w:rsid w:val="00660466"/>
    <w:rsid w:val="006823A9"/>
    <w:rsid w:val="006A5BD3"/>
    <w:rsid w:val="006B14B2"/>
    <w:rsid w:val="006C1052"/>
    <w:rsid w:val="006D76EB"/>
    <w:rsid w:val="006E1C2B"/>
    <w:rsid w:val="006E3C37"/>
    <w:rsid w:val="0071270A"/>
    <w:rsid w:val="00712D42"/>
    <w:rsid w:val="00713321"/>
    <w:rsid w:val="0073304D"/>
    <w:rsid w:val="00772B2C"/>
    <w:rsid w:val="00773248"/>
    <w:rsid w:val="007A2C9E"/>
    <w:rsid w:val="007C7306"/>
    <w:rsid w:val="007D0E70"/>
    <w:rsid w:val="007E163F"/>
    <w:rsid w:val="00811F75"/>
    <w:rsid w:val="00842394"/>
    <w:rsid w:val="008830E6"/>
    <w:rsid w:val="008A3C71"/>
    <w:rsid w:val="008D0144"/>
    <w:rsid w:val="008E476A"/>
    <w:rsid w:val="008F6A3C"/>
    <w:rsid w:val="0091773F"/>
    <w:rsid w:val="009851D2"/>
    <w:rsid w:val="00993E58"/>
    <w:rsid w:val="009A4590"/>
    <w:rsid w:val="009C21CC"/>
    <w:rsid w:val="00A17C3E"/>
    <w:rsid w:val="00A76B8E"/>
    <w:rsid w:val="00A915FD"/>
    <w:rsid w:val="00AF1EA8"/>
    <w:rsid w:val="00B03DBB"/>
    <w:rsid w:val="00B1397D"/>
    <w:rsid w:val="00B62E76"/>
    <w:rsid w:val="00B74D60"/>
    <w:rsid w:val="00BB2C24"/>
    <w:rsid w:val="00BB3BF0"/>
    <w:rsid w:val="00C231BA"/>
    <w:rsid w:val="00C72A45"/>
    <w:rsid w:val="00CC3AB0"/>
    <w:rsid w:val="00CE0773"/>
    <w:rsid w:val="00D136EB"/>
    <w:rsid w:val="00D1452A"/>
    <w:rsid w:val="00D42104"/>
    <w:rsid w:val="00D6119E"/>
    <w:rsid w:val="00D6386C"/>
    <w:rsid w:val="00D9033F"/>
    <w:rsid w:val="00DB4527"/>
    <w:rsid w:val="00E12EFE"/>
    <w:rsid w:val="00E36C3E"/>
    <w:rsid w:val="00E51AA8"/>
    <w:rsid w:val="00E51B02"/>
    <w:rsid w:val="00E56D17"/>
    <w:rsid w:val="00E76F5F"/>
    <w:rsid w:val="00E8629D"/>
    <w:rsid w:val="00EA18A7"/>
    <w:rsid w:val="00EB0E8D"/>
    <w:rsid w:val="00EB25A6"/>
    <w:rsid w:val="00EB56A5"/>
    <w:rsid w:val="00EB63AA"/>
    <w:rsid w:val="00EB6FAA"/>
    <w:rsid w:val="00F17C7A"/>
    <w:rsid w:val="00F537E9"/>
    <w:rsid w:val="00F70FB3"/>
    <w:rsid w:val="00F77E3C"/>
    <w:rsid w:val="00F82A44"/>
    <w:rsid w:val="00FB5F74"/>
    <w:rsid w:val="00FC03A6"/>
    <w:rsid w:val="00FC45A4"/>
    <w:rsid w:val="00FC473C"/>
    <w:rsid w:val="00FC5DB8"/>
    <w:rsid w:val="00FD3883"/>
    <w:rsid w:val="00FF3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E65313"/>
  <w15:docId w15:val="{78A30F8E-5288-4B88-8D7C-6B3C50F67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0E8D"/>
    <w:pPr>
      <w:widowControl w:val="0"/>
      <w:autoSpaceDE w:val="0"/>
      <w:autoSpaceDN w:val="0"/>
      <w:adjustRightInd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7306"/>
    <w:pPr>
      <w:ind w:left="720"/>
      <w:contextualSpacing/>
    </w:pPr>
  </w:style>
  <w:style w:type="character" w:styleId="PageNumber">
    <w:name w:val="page number"/>
    <w:basedOn w:val="DefaultParagraphFont"/>
    <w:rsid w:val="001040B6"/>
  </w:style>
  <w:style w:type="paragraph" w:styleId="Header">
    <w:name w:val="header"/>
    <w:basedOn w:val="Normal"/>
    <w:link w:val="HeaderChar"/>
    <w:uiPriority w:val="99"/>
    <w:unhideWhenUsed/>
    <w:rsid w:val="00BB3B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3BF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B3B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3BF0"/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4B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4B9A"/>
    <w:rPr>
      <w:rFonts w:ascii="Tahoma" w:eastAsiaTheme="minorEastAsi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E07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077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0773"/>
    <w:rPr>
      <w:rFonts w:ascii="Times New Roman" w:eastAsiaTheme="minorEastAsia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07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0773"/>
    <w:rPr>
      <w:rFonts w:ascii="Times New Roman" w:eastAsiaTheme="minorEastAsia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80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4A0051-6063-41C1-BED3-A3F135423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1204</Words>
  <Characters>6866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USNRC</Company>
  <LinksUpToDate>false</LinksUpToDate>
  <CharactersWithSpaces>8054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Tiktinsky, David</dc:creator>
  <cp:lastModifiedBy>Curran, Bridget</cp:lastModifiedBy>
  <cp:revision>2</cp:revision>
  <cp:lastPrinted>2016-08-25T16:13:00Z</cp:lastPrinted>
  <dcterms:created xsi:type="dcterms:W3CDTF">2016-09-19T12:46:00Z</dcterms:created>
  <dcterms:modified xsi:type="dcterms:W3CDTF">2016-09-19T12:46:00Z</dcterms:modified>
</cp:coreProperties>
</file>